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QUALITY IMPROVEMENT &amp; PATIENT SAFETY CULTURE</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ASF-CH12-QPS-v2.0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mqcj1hcz3zz5ilaupt1xj">
              <w:r>
                <w:rPr>
                  <w:rFonts w:ascii="Arial" w:cs="Arial" w:eastAsia="Arial" w:hAnsi="Arial"/>
                  <w:b/>
                  <w:bCs/>
                  <w:color w:val="c9a227"/>
                  <w:sz w:val="13"/>
                  <w:szCs w:val="13"/>
                  <w:u w:val="single"/>
                </w:rPr>
                <w:t xml:space="preserve">france-asf.fr</w:t>
              </w:r>
            </w:hyperlink>
          </w:p>
          <w:p>
            <w:pPr>
              <w:spacing w:after="36" w:before="0"/>
            </w:pPr>
            <w:hyperlink w:history="1" r:id="rIdmmrpqyklb1dxh2ubfruul">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ASF-CH12-QPS-v2.0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uluu36paz-zyvp5qod9ma">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12 — Quality Improvement &amp; Patient Safety Culture.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quality improvement and patient safety culture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is the closing loop for every other chapter in these standards. Standard 12.1 (Incident Reporting) receives input from every clinical chapter — every standard in this library feeds into it. Standard 12.4 (Clinical Audit Programme) connects to Standard 11.8 (Clinical Audit Using Health Information) and Standard 1.8 (Quality Improvement Programme). Standard 12.9 (External Accreditation) is where ASF’s own survey process itself becomes part of this chapter’s subject matter.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ecpt-wvz3qnllz-ynclf5">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12: QUALITY IMPROVEMENT &amp; PATIENT SAFETY CULTURE</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12.1 to 12.5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seeking accreditation must fully meet all five. Standards 12.1, 12.2, and 12.3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Incident Reporting System</w:t>
            </w:r>
          </w:p>
          <w:p>
            <w:pPr>
              <w:spacing w:after="36" w:before="0"/>
            </w:pPr>
            <w:r>
              <w:rPr>
                <w:rFonts w:ascii="Arial" w:cs="Arial" w:eastAsia="Arial" w:hAnsi="Arial"/>
                <w:b w:val="false"/>
                <w:bCs w:val="false"/>
                <w:i/>
                <w:iCs/>
                <w:caps w:val="false"/>
                <w:color w:val="4b5563"/>
                <w:sz w:val="12"/>
                <w:szCs w:val="12"/>
              </w:rPr>
              <w:t xml:space="preserve">The hospital operates an accessible incident reporting system covering all staff and departments, with reports reviewed, categorised by severity, and tracked to resolution.</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Root Cause Analysis Process</w:t>
            </w:r>
          </w:p>
          <w:p>
            <w:pPr>
              <w:spacing w:after="36" w:before="0"/>
            </w:pPr>
            <w:r>
              <w:rPr>
                <w:rFonts w:ascii="Arial" w:cs="Arial" w:eastAsia="Arial" w:hAnsi="Arial"/>
                <w:b w:val="false"/>
                <w:bCs w:val="false"/>
                <w:i/>
                <w:iCs/>
                <w:caps w:val="false"/>
                <w:color w:val="4b5563"/>
                <w:sz w:val="12"/>
                <w:szCs w:val="12"/>
              </w:rPr>
              <w:t xml:space="preserve">The hospital conducts structured root cause analysis for serious incidents, using a recognised methodology, with findings translated into specific, tracked action plans.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Patient Safety Culture Measurement</w:t>
            </w:r>
          </w:p>
          <w:p>
            <w:pPr>
              <w:spacing w:after="36" w:before="0"/>
            </w:pPr>
            <w:r>
              <w:rPr>
                <w:rFonts w:ascii="Arial" w:cs="Arial" w:eastAsia="Arial" w:hAnsi="Arial"/>
                <w:b w:val="false"/>
                <w:bCs w:val="false"/>
                <w:i/>
                <w:iCs/>
                <w:caps w:val="false"/>
                <w:color w:val="4b5563"/>
                <w:sz w:val="12"/>
                <w:szCs w:val="12"/>
              </w:rPr>
              <w:t xml:space="preserve">The hospital measures patient safety culture using a validated survey tool at a defined interval, with results reviewed by leadership and used to inform specific improvement actions.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Clinical Audit Programme</w:t>
            </w:r>
          </w:p>
          <w:p>
            <w:pPr>
              <w:spacing w:after="36" w:before="0"/>
            </w:pPr>
            <w:r>
              <w:rPr>
                <w:rFonts w:ascii="Arial" w:cs="Arial" w:eastAsia="Arial" w:hAnsi="Arial"/>
                <w:b w:val="false"/>
                <w:bCs w:val="false"/>
                <w:i/>
                <w:iCs/>
                <w:caps w:val="false"/>
                <w:color w:val="4b5563"/>
                <w:sz w:val="12"/>
                <w:szCs w:val="12"/>
              </w:rPr>
              <w:t xml:space="preserve">The hospital operates a structured clinical audit programme with a defined annual cycle, prioritised topics, and a process ensuring audit findings lead to a documented action and re-audit.</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Near-Miss Reporting and Learning</w:t>
            </w:r>
          </w:p>
          <w:p>
            <w:pPr>
              <w:spacing w:after="36" w:before="0"/>
            </w:pPr>
            <w:r>
              <w:rPr>
                <w:rFonts w:ascii="Arial" w:cs="Arial" w:eastAsia="Arial" w:hAnsi="Arial"/>
                <w:b w:val="false"/>
                <w:bCs w:val="false"/>
                <w:i/>
                <w:iCs/>
                <w:caps w:val="false"/>
                <w:color w:val="4b5563"/>
                <w:sz w:val="12"/>
                <w:szCs w:val="12"/>
              </w:rPr>
              <w:t xml:space="preserve">The hospital actively encourages and captures near-miss reporting, distinct from incidents that caused harm, with near-miss data analysed to identify and address risks before they cause harm.</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12.6 to 12.8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reports, analyses, and measures its safety culture. An Accredited facility actively reviews mortality and morbidity, brings leadership physically into clinical areas through walkrounds, and coordinates same-shift safety through structured huddles. These are the marks of a facility where quality improvement is lived practice, not a periodic report.</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Mortality and Morbidity Review</w:t>
            </w:r>
          </w:p>
          <w:p>
            <w:pPr>
              <w:spacing w:after="36" w:before="0"/>
            </w:pPr>
            <w:r>
              <w:rPr>
                <w:rFonts w:ascii="Arial" w:cs="Arial" w:eastAsia="Arial" w:hAnsi="Arial"/>
                <w:b w:val="false"/>
                <w:bCs w:val="false"/>
                <w:i/>
                <w:iCs/>
                <w:caps w:val="false"/>
                <w:color w:val="4b5563"/>
                <w:sz w:val="12"/>
                <w:szCs w:val="12"/>
              </w:rPr>
              <w:t xml:space="preserve">The hospital conducts regular, structured mortality and morbidity review, with a defined process, multidisciplinary participation, and findings translated into specific practice changes.</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Patient Safety Walkrounds</w:t>
            </w:r>
          </w:p>
          <w:p>
            <w:pPr>
              <w:spacing w:after="36" w:before="0"/>
            </w:pPr>
            <w:r>
              <w:rPr>
                <w:rFonts w:ascii="Arial" w:cs="Arial" w:eastAsia="Arial" w:hAnsi="Arial"/>
                <w:b w:val="false"/>
                <w:bCs w:val="false"/>
                <w:i/>
                <w:iCs/>
                <w:caps w:val="false"/>
                <w:color w:val="4b5563"/>
                <w:sz w:val="12"/>
                <w:szCs w:val="12"/>
              </w:rPr>
              <w:t xml:space="preserve">Hospital leadership conducts regular patient safety walkrounds in clinical areas, engaging directly with frontline staff about safety concerns, with issues raised tracked to resolution.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Safety Huddles and Briefings</w:t>
            </w:r>
          </w:p>
          <w:p>
            <w:pPr>
              <w:spacing w:after="36" w:before="0"/>
            </w:pPr>
            <w:r>
              <w:rPr>
                <w:rFonts w:ascii="Arial" w:cs="Arial" w:eastAsia="Arial" w:hAnsi="Arial"/>
                <w:b w:val="false"/>
                <w:bCs w:val="false"/>
                <w:i/>
                <w:iCs/>
                <w:caps w:val="false"/>
                <w:color w:val="4b5563"/>
                <w:sz w:val="12"/>
                <w:szCs w:val="12"/>
              </w:rPr>
              <w:t xml:space="preserve">Clinical teams conduct brief, structured safety huddles at a defined frequency, surfacing immediate risks and coordinating a same-shift response.</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12.9 to 12.10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commitment to quality extends beyond its own walls. It welcomes external scrutiny through accreditation and peer review, and it measures itself honestly against national and international benchmarks rather than only its own history. These mark a facility at international best-practice level — and complete the full twelve-chapter ASF Hospital Standards library.</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External Accreditation and Peer Review</w:t>
            </w:r>
          </w:p>
          <w:p>
            <w:pPr>
              <w:spacing w:after="36" w:before="0"/>
            </w:pPr>
            <w:r>
              <w:rPr>
                <w:rFonts w:ascii="Arial" w:cs="Arial" w:eastAsia="Arial" w:hAnsi="Arial"/>
                <w:b w:val="false"/>
                <w:bCs w:val="false"/>
                <w:i/>
                <w:iCs/>
                <w:caps w:val="false"/>
                <w:color w:val="4b5563"/>
                <w:sz w:val="12"/>
                <w:szCs w:val="12"/>
              </w:rPr>
              <w:t xml:space="preserve">The hospital participates in external accreditation or structured peer review, with findings integrated into its internal quality improvement programme.</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12.10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National and International Benchmarking</w:t>
            </w:r>
          </w:p>
          <w:p>
            <w:pPr>
              <w:spacing w:after="36" w:before="0"/>
            </w:pPr>
            <w:r>
              <w:rPr>
                <w:rFonts w:ascii="Arial" w:cs="Arial" w:eastAsia="Arial" w:hAnsi="Arial"/>
                <w:b w:val="false"/>
                <w:bCs w:val="false"/>
                <w:i/>
                <w:iCs/>
                <w:caps w:val="false"/>
                <w:color w:val="4b5563"/>
                <w:sz w:val="12"/>
                <w:szCs w:val="12"/>
              </w:rPr>
              <w:t xml:space="preserve">The hospital compares its quality and safety indicators against national or international benchmarks, using the comparison to identify improvement priorities across all chapters of these standards.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ob-w2kb-l0_lakq3cyeyb">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h6mqdyhk5l7hrnoqc-ozf">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9kbcvfrvzkufpteujni6o">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ASF-CH12-QPS-v2.0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Incident Reporting System</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Incident Reporting System</w:t>
            </w:r>
          </w:p>
          <w:p>
            <w:pPr>
              <w:spacing w:after="36" w:before="0"/>
            </w:pPr>
            <w:r>
              <w:rPr>
                <w:rFonts w:ascii="Arial" w:cs="Arial" w:eastAsia="Arial" w:hAnsi="Arial"/>
                <w:b w:val="false"/>
                <w:bCs w:val="false"/>
                <w:i w:val="false"/>
                <w:iCs w:val="false"/>
                <w:caps w:val="false"/>
                <w:color w:val="4b5563"/>
                <w:sz w:val="15"/>
                <w:szCs w:val="15"/>
              </w:rPr>
              <w:t xml:space="preserve">The hospital operates an accessible incident reporting system covering all staff and departments, with reports reviewed, categorised by severity, and tracked to resolution.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an accessible incident reporting system available to all staff, clinical and non-clinical?</w:t>
            </w:r>
          </w:p>
          <w:p>
            <w:pPr>
              <w:spacing w:after="7" w:before="0"/>
            </w:pPr>
            <w:r>
              <w:rPr>
                <w:rFonts w:ascii="Arial" w:cs="Arial" w:eastAsia="Arial" w:hAnsi="Arial"/>
                <w:b w:val="false"/>
                <w:bCs w:val="false"/>
                <w:i/>
                <w:iCs/>
                <w:caps w:val="false"/>
                <w:color w:val="4b5563"/>
                <w:sz w:val="15"/>
                <w:szCs w:val="15"/>
              </w:rPr>
              <w:t xml:space="preserve">Check the reporting method is genuinely easy to use, not burdensome.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Incident reporting system</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reported incidents categorised by severity?</w:t>
            </w:r>
          </w:p>
          <w:p>
            <w:pPr>
              <w:spacing w:after="7" w:before="0"/>
            </w:pPr>
            <w:r>
              <w:rPr>
                <w:rFonts w:ascii="Arial" w:cs="Arial" w:eastAsia="Arial" w:hAnsi="Arial"/>
                <w:b w:val="false"/>
                <w:bCs w:val="false"/>
                <w:i/>
                <w:iCs/>
                <w:caps w:val="false"/>
                <w:color w:val="4b5563"/>
                <w:sz w:val="15"/>
                <w:szCs w:val="15"/>
              </w:rPr>
              <w:t xml:space="preserve">Check for a defined severity classification applied consistently.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Severity classification scheme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reports reviewed within a defined timeframe of submission?</w:t>
            </w:r>
          </w:p>
          <w:p>
            <w:pPr>
              <w:spacing w:after="7" w:before="0"/>
            </w:pPr>
            <w:r>
              <w:rPr>
                <w:rFonts w:ascii="Arial" w:cs="Arial" w:eastAsia="Arial" w:hAnsi="Arial"/>
                <w:b w:val="false"/>
                <w:bCs w:val="false"/>
                <w:i/>
                <w:iCs/>
                <w:caps w:val="false"/>
                <w:color w:val="4b5563"/>
                <w:sz w:val="15"/>
                <w:szCs w:val="15"/>
              </w:rPr>
              <w:t xml:space="preserve">Check review timing against a stated standard for a sample of reports.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review timing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incidents tracked to resolution, with the outcome documented?</w:t>
            </w:r>
          </w:p>
          <w:p>
            <w:pPr>
              <w:spacing w:after="7" w:before="0"/>
            </w:pPr>
            <w:r>
              <w:rPr>
                <w:rFonts w:ascii="Arial" w:cs="Arial" w:eastAsia="Arial" w:hAnsi="Arial"/>
                <w:b w:val="false"/>
                <w:bCs w:val="false"/>
                <w:i/>
                <w:iCs/>
                <w:caps w:val="false"/>
                <w:color w:val="4b5563"/>
                <w:sz w:val="15"/>
                <w:szCs w:val="15"/>
              </w:rPr>
              <w:t xml:space="preserve">Spot-check five incidents for documented resolution.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resolution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reporting volume monitored as an indicator of reporting culture, not just individual incident content?</w:t>
            </w:r>
          </w:p>
          <w:p>
            <w:pPr>
              <w:spacing w:after="36" w:before="0"/>
            </w:pPr>
            <w:r>
              <w:rPr>
                <w:rFonts w:ascii="Arial" w:cs="Arial" w:eastAsia="Arial" w:hAnsi="Arial"/>
                <w:b w:val="false"/>
                <w:bCs w:val="false"/>
                <w:i/>
                <w:iCs/>
                <w:caps w:val="false"/>
                <w:color w:val="4b5563"/>
                <w:sz w:val="15"/>
                <w:szCs w:val="15"/>
              </w:rPr>
              <w:t xml:space="preserve">Ask how the hospital interprets a rise or fall in reporting volume.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Reporting system accessibility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reporting system for genuine accessibility to all staff, not only clinical roles.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Severity classification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classification scheme and its consistent application to a sample of reports.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timing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time between report submission and initial review for a sample of incidents.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Resolution tracking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incidents for documented resolution and outcome.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axy5-c_tuhanvgesgqcyo">
              <w:r>
                <w:rPr>
                  <w:rFonts w:ascii="Arial" w:cs="Arial" w:eastAsia="Arial" w:hAnsi="Arial"/>
                  <w:b/>
                  <w:bCs/>
                  <w:color w:val="c9a227"/>
                  <w:sz w:val="13"/>
                  <w:szCs w:val="13"/>
                  <w:u w:val="single"/>
                </w:rPr>
                <w:t xml:space="preserve">World Health Organization. WHO draft guidelines for adverse event reporting and learning systems. Geneva: WHO; 2005.</w:t>
              </w:r>
            </w:hyperlink>
            <w:r>
              <w:rPr>
                <w:rFonts w:ascii="Arial" w:cs="Arial" w:eastAsia="Arial" w:hAnsi="Arial"/>
                <w:b/>
                <w:bCs/>
                <w:i w:val="false"/>
                <w:iCs w:val="false"/>
                <w:caps w:val="false"/>
                <w:color w:val="6b778c"/>
                <w:sz w:val="13"/>
                <w:szCs w:val="13"/>
              </w:rPr>
              <w:t xml:space="preserve">   2. </w:t>
            </w:r>
            <w:hyperlink w:history="1" r:id="rIdm0qqoq7onlx-qnmmbq2kj">
              <w:r>
                <w:rPr>
                  <w:rFonts w:ascii="Arial" w:cs="Arial" w:eastAsia="Arial" w:hAnsi="Arial"/>
                  <w:b/>
                  <w:bCs/>
                  <w:color w:val="c9a227"/>
                  <w:sz w:val="13"/>
                  <w:szCs w:val="13"/>
                  <w:u w:val="single"/>
                </w:rPr>
                <w:t xml:space="preserve">World Health Organization. Patient safety incident reporting and learning systems: technical report. Geneva: WHO; 2020.</w:t>
              </w:r>
            </w:hyperlink>
            <w:r>
              <w:rPr>
                <w:rFonts w:ascii="Arial" w:cs="Arial" w:eastAsia="Arial" w:hAnsi="Arial"/>
                <w:b/>
                <w:bCs/>
                <w:i w:val="false"/>
                <w:iCs w:val="false"/>
                <w:caps w:val="false"/>
                <w:color w:val="6b778c"/>
                <w:sz w:val="13"/>
                <w:szCs w:val="13"/>
              </w:rPr>
              <w:t xml:space="preserve">   3. </w:t>
            </w:r>
            <w:hyperlink w:history="1" r:id="rIdzdzsznm3ddapzgcaeilrp">
              <w:r>
                <w:rPr>
                  <w:rFonts w:ascii="Arial" w:cs="Arial" w:eastAsia="Arial" w:hAnsi="Arial"/>
                  <w:b/>
                  <w:bCs/>
                  <w:color w:val="c9a227"/>
                  <w:sz w:val="13"/>
                  <w:szCs w:val="13"/>
                  <w:u w:val="single"/>
                </w:rPr>
                <w:t xml:space="preserve">Institute for Healthcare Improvement. Patient safety essentials toolkit. Boston: IHI; 2017.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12.1</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incident reporting system is only as valuable as the reports it actually receives, and a system that is difficult to access, slow to review, or that never visibly leads anywhere teaches staff — correctly — that reporting is not worth their time. A genuinely accessible system, reviewed promptly and tracked transparently to resolution, is the foundation every other quality improvement and patient safety activity in this chapter depends on for its raw material.</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Patient Safety Incident Reporting and Learning Systems 2020 — the utility of an incident reporting system depends primarily on organisational response and follow-through, not on the reporting mechanism itself, meaning a technically excellent system with poor review and resolution practices still fails to improve safety.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reporting system is genuinely accessible to all staff, clinical and non-clinical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Reported incidents are consistently categorised by severity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Reports are reviewed within a defined, met timeframe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Incidents are tracked to resolution, with documented outcomes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Reporting volume is actively monitored as an indicator of reporting culture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reporting system is difficult to access or use, particularly for non-clinical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Incidents are not categorised by severity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Reports sit unreviewed for extended periods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Incidents are not tracked to any documented resolution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Reporting volume is not monitored or interpreted as a cultural indicator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system is accessible but slow to review.</w:t>
            </w:r>
          </w:p>
          <w:p>
            <w:pPr>
              <w:spacing w:after="20" w:before="0"/>
            </w:pPr>
            <w:r>
              <w:rPr>
                <w:rFonts w:ascii="Arial" w:cs="Arial" w:eastAsia="Arial" w:hAnsi="Arial"/>
                <w:b w:val="false"/>
                <w:bCs w:val="false"/>
                <w:i/>
                <w:iCs/>
                <w:caps w:val="false"/>
                <w:color w:val="4b5563"/>
                <w:sz w:val="15"/>
                <w:szCs w:val="15"/>
              </w:rPr>
              <w:t xml:space="preserve">Staff can submit reports easily, but review often takes considerably longer than the stated standard, undermining confidence that reporting leads anywhere.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Clinical incidents are well tracked; non-clinical staff reports receive less follow-through.</w:t>
            </w:r>
          </w:p>
          <w:p>
            <w:pPr>
              <w:spacing w:after="20" w:before="0"/>
            </w:pPr>
            <w:r>
              <w:rPr>
                <w:rFonts w:ascii="Arial" w:cs="Arial" w:eastAsia="Arial" w:hAnsi="Arial"/>
                <w:b w:val="false"/>
                <w:bCs w:val="false"/>
                <w:i/>
                <w:iCs/>
                <w:caps w:val="false"/>
                <w:color w:val="4b5563"/>
                <w:sz w:val="15"/>
                <w:szCs w:val="15"/>
              </w:rPr>
              <w:t xml:space="preserve">Reports from clinical areas are reliably reviewed and resolved; reports from support or administrative staff receive less consistent attention.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Volume is tracked but never actually interpreted.</w:t>
            </w:r>
          </w:p>
          <w:p>
            <w:pPr>
              <w:spacing w:after="36" w:before="0"/>
            </w:pPr>
            <w:r>
              <w:rPr>
                <w:rFonts w:ascii="Arial" w:cs="Arial" w:eastAsia="Arial" w:hAnsi="Arial"/>
                <w:b w:val="false"/>
                <w:bCs w:val="false"/>
                <w:i/>
                <w:iCs/>
                <w:caps w:val="false"/>
                <w:color w:val="4b5563"/>
                <w:sz w:val="15"/>
                <w:szCs w:val="15"/>
              </w:rPr>
              <w:t xml:space="preserve">A count of monthly incident reports is maintained, but no one examines whether a change in volume reflects a genuine safety trend or a shift in reporting culture.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reporting system is genuinely accessible to all staff, clinical and non-clinical.</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establish a consistent severity classification scheme.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review timing against the defined standard for a sample of recent reports.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resolution tracking and close any gaps in documented outcomes.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Monitor reporting volume as a cultural indicator; maintain timely review and resolution.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non-clinical staff member how they would report an incident.  </w:t>
            </w:r>
            <w:r>
              <w:rPr>
                <w:rFonts w:ascii="Arial" w:cs="Arial" w:eastAsia="Arial" w:hAnsi="Arial"/>
                <w:b w:val="false"/>
                <w:bCs w:val="false"/>
                <w:i w:val="false"/>
                <w:iCs w:val="false"/>
                <w:caps w:val="false"/>
                <w:color w:val="374151"/>
                <w:sz w:val="16"/>
                <w:szCs w:val="16"/>
              </w:rPr>
              <w:t xml:space="preserve">This is the most reliable test of whether the system is genuinely accessible beyond clinical staff.</w:t>
            </w:r>
          </w:p>
          <w:p>
            <w:pPr>
              <w:spacing w:after="16" w:before="0"/>
            </w:pPr>
            <w:r>
              <w:rPr>
                <w:rFonts w:ascii="Arial" w:cs="Arial" w:eastAsia="Arial" w:hAnsi="Arial"/>
                <w:b/>
                <w:bCs/>
                <w:i w:val="false"/>
                <w:iCs w:val="false"/>
                <w:caps w:val="false"/>
                <w:color w:val="b91c1c"/>
                <w:sz w:val="15"/>
                <w:szCs w:val="15"/>
              </w:rPr>
              <w:t xml:space="preserve">Check review timing against actual dates, not just the stated standard.  </w:t>
            </w:r>
            <w:r>
              <w:rPr>
                <w:rFonts w:ascii="Arial" w:cs="Arial" w:eastAsia="Arial" w:hAnsi="Arial"/>
                <w:b w:val="false"/>
                <w:bCs w:val="false"/>
                <w:i w:val="false"/>
                <w:iCs w:val="false"/>
                <w:caps w:val="false"/>
                <w:color w:val="374151"/>
                <w:sz w:val="16"/>
                <w:szCs w:val="16"/>
              </w:rPr>
              <w:t xml:space="preserve">A defined timeframe with actual review consistently running later reveals a gap between policy and practice.</w:t>
            </w:r>
          </w:p>
          <w:p>
            <w:pPr>
              <w:spacing w:after="36" w:before="0"/>
            </w:pPr>
            <w:r>
              <w:rPr>
                <w:rFonts w:ascii="Arial" w:cs="Arial" w:eastAsia="Arial" w:hAnsi="Arial"/>
                <w:b/>
                <w:bCs/>
                <w:i w:val="false"/>
                <w:iCs w:val="false"/>
                <w:caps w:val="false"/>
                <w:color w:val="b91c1c"/>
                <w:sz w:val="15"/>
                <w:szCs w:val="15"/>
              </w:rPr>
              <w:t xml:space="preserve">Ask how the hospital would interpret a sudden drop in reporting volume.  </w:t>
            </w:r>
            <w:r>
              <w:rPr>
                <w:rFonts w:ascii="Arial" w:cs="Arial" w:eastAsia="Arial" w:hAnsi="Arial"/>
                <w:b w:val="false"/>
                <w:bCs w:val="false"/>
                <w:i w:val="false"/>
                <w:iCs w:val="false"/>
                <w:caps w:val="false"/>
                <w:color w:val="374151"/>
                <w:sz w:val="16"/>
                <w:szCs w:val="16"/>
              </w:rPr>
              <w:t xml:space="preserve">A thoughtful answer indicates the hospital understands reporting volume as a cultural signal, not just a count.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ha7senpdhph-ou2khdpi1">
              <w:r>
                <w:rPr>
                  <w:rFonts w:ascii="Arial" w:cs="Arial" w:eastAsia="Arial" w:hAnsi="Arial"/>
                  <w:b/>
                  <w:bCs/>
                  <w:color w:val="c9a227"/>
                  <w:sz w:val="13"/>
                  <w:szCs w:val="13"/>
                  <w:u w:val="single"/>
                </w:rPr>
                <w:t xml:space="preserve">academy.gmj.ge/ch12-1-incident-reporting-system</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Root Cause Analysis Process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Root Cause Analysis Process</w:t>
            </w:r>
          </w:p>
          <w:p>
            <w:pPr>
              <w:spacing w:after="36" w:before="0"/>
            </w:pPr>
            <w:r>
              <w:rPr>
                <w:rFonts w:ascii="Arial" w:cs="Arial" w:eastAsia="Arial" w:hAnsi="Arial"/>
                <w:b w:val="false"/>
                <w:bCs w:val="false"/>
                <w:i w:val="false"/>
                <w:iCs w:val="false"/>
                <w:caps w:val="false"/>
                <w:color w:val="4b5563"/>
                <w:sz w:val="15"/>
                <w:szCs w:val="15"/>
              </w:rPr>
              <w:t xml:space="preserve">The hospital conducts structured root cause analysis for serious incidents, using a recognised methodology, with findings translated into specific, tracked action plans.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root cause analysis performed for all serious incidents, using a recognised methodology?</w:t>
            </w:r>
          </w:p>
          <w:p>
            <w:pPr>
              <w:spacing w:after="7" w:before="0"/>
            </w:pPr>
            <w:r>
              <w:rPr>
                <w:rFonts w:ascii="Arial" w:cs="Arial" w:eastAsia="Arial" w:hAnsi="Arial"/>
                <w:b w:val="false"/>
                <w:bCs w:val="false"/>
                <w:i/>
                <w:iCs/>
                <w:caps w:val="false"/>
                <w:color w:val="4b5563"/>
                <w:sz w:val="15"/>
                <w:szCs w:val="15"/>
              </w:rPr>
              <w:t xml:space="preserve">Check for a structured approach, such as the "5 Whys" or fishbone analysis, not informal discussion.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RCA methodology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RCA involve a multidisciplinary team, not a single individual’s account?</w:t>
            </w:r>
          </w:p>
          <w:p>
            <w:pPr>
              <w:spacing w:after="7" w:before="0"/>
            </w:pPr>
            <w:r>
              <w:rPr>
                <w:rFonts w:ascii="Arial" w:cs="Arial" w:eastAsia="Arial" w:hAnsi="Arial"/>
                <w:b w:val="false"/>
                <w:bCs w:val="false"/>
                <w:i/>
                <w:iCs/>
                <w:caps w:val="false"/>
                <w:color w:val="4b5563"/>
                <w:sz w:val="15"/>
                <w:szCs w:val="15"/>
              </w:rPr>
              <w:t xml:space="preserve">Check team composition for a sample of RCA records.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RCA team composition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RCA findings result in a specific, documented action plan with assigned responsibility and deadlines?</w:t>
            </w:r>
          </w:p>
          <w:p>
            <w:pPr>
              <w:spacing w:after="7" w:before="0"/>
            </w:pPr>
            <w:r>
              <w:rPr>
                <w:rFonts w:ascii="Arial" w:cs="Arial" w:eastAsia="Arial" w:hAnsi="Arial"/>
                <w:b w:val="false"/>
                <w:bCs w:val="false"/>
                <w:i/>
                <w:iCs/>
                <w:caps w:val="false"/>
                <w:color w:val="4b5563"/>
                <w:sz w:val="15"/>
                <w:szCs w:val="15"/>
              </w:rPr>
              <w:t xml:space="preserve">Check for concrete actions, not general statements of intent.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action plans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RCA action plans tracked to completion?</w:t>
            </w:r>
          </w:p>
          <w:p>
            <w:pPr>
              <w:spacing w:after="7" w:before="0"/>
            </w:pPr>
            <w:r>
              <w:rPr>
                <w:rFonts w:ascii="Arial" w:cs="Arial" w:eastAsia="Arial" w:hAnsi="Arial"/>
                <w:b w:val="false"/>
                <w:bCs w:val="false"/>
                <w:i/>
                <w:iCs/>
                <w:caps w:val="false"/>
                <w:color w:val="4b5563"/>
                <w:sz w:val="15"/>
                <w:szCs w:val="15"/>
              </w:rPr>
              <w:t xml:space="preserve">Check completion status against the assigned deadlines.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Action plan completion tracking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RCA findings shared appropriately to enable learning beyond the immediate team involved?</w:t>
            </w:r>
          </w:p>
          <w:p>
            <w:pPr>
              <w:spacing w:after="36" w:before="0"/>
            </w:pPr>
            <w:r>
              <w:rPr>
                <w:rFonts w:ascii="Arial" w:cs="Arial" w:eastAsia="Arial" w:hAnsi="Arial"/>
                <w:b w:val="false"/>
                <w:bCs w:val="false"/>
                <w:i/>
                <w:iCs/>
                <w:caps w:val="false"/>
                <w:color w:val="4b5563"/>
                <w:sz w:val="15"/>
                <w:szCs w:val="15"/>
              </w:rPr>
              <w:t xml:space="preserve">Check for a mechanism sharing anonymised lessons more broadly.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RCA methodology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RCA process for use of a recognised, structured methodology.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Team composition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RCA records for multidisciplinary team involvement.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Action plan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RCA action plans for specific actions, assigned responsibility, and deadlines.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Completion tracking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action plan completion status against assigned deadlines.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ykj_ykvskpywtz4lemdox">
              <w:r>
                <w:rPr>
                  <w:rFonts w:ascii="Arial" w:cs="Arial" w:eastAsia="Arial" w:hAnsi="Arial"/>
                  <w:b/>
                  <w:bCs/>
                  <w:color w:val="c9a227"/>
                  <w:sz w:val="13"/>
                  <w:szCs w:val="13"/>
                  <w:u w:val="single"/>
                </w:rPr>
                <w:t xml:space="preserve">World Health Organization. Patient safety incident reporting and learning systems: technical report (RCA provisions). Geneva: WHO; 2020.</w:t>
              </w:r>
            </w:hyperlink>
            <w:r>
              <w:rPr>
                <w:rFonts w:ascii="Arial" w:cs="Arial" w:eastAsia="Arial" w:hAnsi="Arial"/>
                <w:b/>
                <w:bCs/>
                <w:i w:val="false"/>
                <w:iCs w:val="false"/>
                <w:caps w:val="false"/>
                <w:color w:val="6b778c"/>
                <w:sz w:val="13"/>
                <w:szCs w:val="13"/>
              </w:rPr>
              <w:t xml:space="preserve">   2. </w:t>
            </w:r>
            <w:hyperlink w:history="1" r:id="rIdqzy9tombcvrabgxo_frkz">
              <w:r>
                <w:rPr>
                  <w:rFonts w:ascii="Arial" w:cs="Arial" w:eastAsia="Arial" w:hAnsi="Arial"/>
                  <w:b/>
                  <w:bCs/>
                  <w:color w:val="c9a227"/>
                  <w:sz w:val="13"/>
                  <w:szCs w:val="13"/>
                  <w:u w:val="single"/>
                </w:rPr>
                <w:t xml:space="preserve">National Patient Safety Foundation. RCA2: Improving Root Cause Analyses and Actions to Prevent Harm. Boston: NPSF; 2016.</w:t>
              </w:r>
            </w:hyperlink>
            <w:r>
              <w:rPr>
                <w:rFonts w:ascii="Arial" w:cs="Arial" w:eastAsia="Arial" w:hAnsi="Arial"/>
                <w:b/>
                <w:bCs/>
                <w:i w:val="false"/>
                <w:iCs w:val="false"/>
                <w:caps w:val="false"/>
                <w:color w:val="6b778c"/>
                <w:sz w:val="13"/>
                <w:szCs w:val="13"/>
              </w:rPr>
              <w:t xml:space="preserve">   3. </w:t>
            </w:r>
            <w:hyperlink w:history="1" r:id="rIdj3fm6j-fvswmckpohu7hy">
              <w:r>
                <w:rPr>
                  <w:rFonts w:ascii="Arial" w:cs="Arial" w:eastAsia="Arial" w:hAnsi="Arial"/>
                  <w:b/>
                  <w:bCs/>
                  <w:color w:val="c9a227"/>
                  <w:sz w:val="13"/>
                  <w:szCs w:val="13"/>
                  <w:u w:val="single"/>
                </w:rPr>
                <w:t xml:space="preserve">Vincent C, Taylor-Adams S, Stanhope N. Framework for analysing risk and safety in clinical medicine. BMJ. 1998;316(7138):1154-1157.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12.2</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serious incident examined only informally, by asking what an individual did wrong, tends to stop at the most visible, human-level explanation without uncovering the deeper system conditions that made the error possible or even likely — the same conditions that will produce a similar incident again with a different person. Structured root cause analysis, using a recognised methodology and a multidisciplinary team, is what reliably surfaces those underlying system factors and turns them into a specific, tracked action plan rather than a closed case file.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RCA2 (NPSF/IHI) — structured root cause analysis followed by specific, tracked action plans is significantly more likely to prevent recurrence than analysis that identifies contributing factors without translating them into concrete, accountable action.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RCA is performed for serious incidents using a recognised, structured methodology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RCA involves a genuinely multidisciplinary team, not a single individual’s account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Findings result in specific action plans with assigned responsibility and deadlines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Action plans are tracked to completion against their deadlines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Findings are shared appropriately to enable learning beyond the immediate team</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Serious incidents are reviewed informally, without a structured methodology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RCA relies on a single individual’s account rather than a multidisciplinary team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Findings produce general statements of intent rather than specific, assigned actions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Action plans are not tracked, leaving unclear whether they were ever completed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Findings are not shared beyond the immediate team involved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RCA is conducted well but action plans are vague.</w:t>
            </w:r>
          </w:p>
          <w:p>
            <w:pPr>
              <w:spacing w:after="20" w:before="0"/>
            </w:pPr>
            <w:r>
              <w:rPr>
                <w:rFonts w:ascii="Arial" w:cs="Arial" w:eastAsia="Arial" w:hAnsi="Arial"/>
                <w:b w:val="false"/>
                <w:bCs w:val="false"/>
                <w:i/>
                <w:iCs/>
                <w:caps w:val="false"/>
                <w:color w:val="4b5563"/>
                <w:sz w:val="15"/>
                <w:szCs w:val="15"/>
              </w:rPr>
              <w:t xml:space="preserve">A structured, multidisciplinary analysis correctly identifies system factors, but the resulting action plan lacks the specificity needed to actually verify it was implemented.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Action plans are specific but tracking to completion is inconsistent.</w:t>
            </w:r>
          </w:p>
          <w:p>
            <w:pPr>
              <w:spacing w:after="20" w:before="0"/>
            </w:pPr>
            <w:r>
              <w:rPr>
                <w:rFonts w:ascii="Arial" w:cs="Arial" w:eastAsia="Arial" w:hAnsi="Arial"/>
                <w:b w:val="false"/>
                <w:bCs w:val="false"/>
                <w:i/>
                <w:iCs/>
                <w:caps w:val="false"/>
                <w:color w:val="4b5563"/>
                <w:sz w:val="15"/>
                <w:szCs w:val="15"/>
              </w:rPr>
              <w:t xml:space="preserve">Well-defined actions with assigned owners are produced, but no one consistently checks whether they were actually completed by the deadline.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RCA happens for the most severe incidents but is applied inconsistently for moderately serious ones.</w:t>
            </w:r>
          </w:p>
          <w:p>
            <w:pPr>
              <w:spacing w:after="36" w:before="0"/>
            </w:pPr>
            <w:r>
              <w:rPr>
                <w:rFonts w:ascii="Arial" w:cs="Arial" w:eastAsia="Arial" w:hAnsi="Arial"/>
                <w:b w:val="false"/>
                <w:bCs w:val="false"/>
                <w:i/>
                <w:iCs/>
                <w:caps w:val="false"/>
                <w:color w:val="4b5563"/>
                <w:sz w:val="15"/>
                <w:szCs w:val="15"/>
              </w:rPr>
              <w:t xml:space="preserve">Catastrophic events reliably trigger full RCA; events causing lesser but still significant harm receive a less structured review that may miss systemic factors.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RCA methodology is structured and recognised, applied consistently for serious incidents.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RCA teams are genuinely multidisciplinary, not reliant on a single account.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Review recent action plans for specificity, assigned responsibility, and deadlines.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or strengthen tracking of action plan completion against deadlines.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Share appropriately anonymised RCA findings for learning beyond the immediate team; audit RCA quality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specific action plan and check whether it was actually completed.  </w:t>
            </w:r>
            <w:r>
              <w:rPr>
                <w:rFonts w:ascii="Arial" w:cs="Arial" w:eastAsia="Arial" w:hAnsi="Arial"/>
                <w:b w:val="false"/>
                <w:bCs w:val="false"/>
                <w:i w:val="false"/>
                <w:iCs w:val="false"/>
                <w:caps w:val="false"/>
                <w:color w:val="374151"/>
                <w:sz w:val="16"/>
                <w:szCs w:val="16"/>
              </w:rPr>
              <w:t xml:space="preserve">This is the clearest test of whether RCA translates into real, tracked change rather than stopping at analysis.</w:t>
            </w:r>
          </w:p>
          <w:p>
            <w:pPr>
              <w:spacing w:after="16" w:before="0"/>
            </w:pPr>
            <w:r>
              <w:rPr>
                <w:rFonts w:ascii="Arial" w:cs="Arial" w:eastAsia="Arial" w:hAnsi="Arial"/>
                <w:b/>
                <w:bCs/>
                <w:i w:val="false"/>
                <w:iCs w:val="false"/>
                <w:caps w:val="false"/>
                <w:color w:val="b91c1c"/>
                <w:sz w:val="15"/>
                <w:szCs w:val="15"/>
              </w:rPr>
              <w:t xml:space="preserve">Check the composition of a recent RCA team.  </w:t>
            </w:r>
            <w:r>
              <w:rPr>
                <w:rFonts w:ascii="Arial" w:cs="Arial" w:eastAsia="Arial" w:hAnsi="Arial"/>
                <w:b w:val="false"/>
                <w:bCs w:val="false"/>
                <w:i w:val="false"/>
                <w:iCs w:val="false"/>
                <w:caps w:val="false"/>
                <w:color w:val="374151"/>
                <w:sz w:val="16"/>
                <w:szCs w:val="16"/>
              </w:rPr>
              <w:t xml:space="preserve">A genuinely multidisciplinary team is more likely to surface system factors that a single account, however thorough, might miss.</w:t>
            </w:r>
          </w:p>
          <w:p>
            <w:pPr>
              <w:spacing w:after="36" w:before="0"/>
            </w:pPr>
            <w:r>
              <w:rPr>
                <w:rFonts w:ascii="Arial" w:cs="Arial" w:eastAsia="Arial" w:hAnsi="Arial"/>
                <w:b/>
                <w:bCs/>
                <w:i w:val="false"/>
                <w:iCs w:val="false"/>
                <w:caps w:val="false"/>
                <w:color w:val="b91c1c"/>
                <w:sz w:val="15"/>
                <w:szCs w:val="15"/>
              </w:rPr>
              <w:t xml:space="preserve">Ask how RCA findings from one department reach others.  </w:t>
            </w:r>
            <w:r>
              <w:rPr>
                <w:rFonts w:ascii="Arial" w:cs="Arial" w:eastAsia="Arial" w:hAnsi="Arial"/>
                <w:b w:val="false"/>
                <w:bCs w:val="false"/>
                <w:i w:val="false"/>
                <w:iCs w:val="false"/>
                <w:caps w:val="false"/>
                <w:color w:val="374151"/>
                <w:sz w:val="16"/>
                <w:szCs w:val="16"/>
              </w:rPr>
              <w:t xml:space="preserve">A mechanism for broader learning distinguishes a hospital that treats incidents as system-wide lessons from one that treats them as isolated, local events.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_hz1qbkhtf1sfl37a6prd">
              <w:r>
                <w:rPr>
                  <w:rFonts w:ascii="Arial" w:cs="Arial" w:eastAsia="Arial" w:hAnsi="Arial"/>
                  <w:b/>
                  <w:bCs/>
                  <w:color w:val="c9a227"/>
                  <w:sz w:val="13"/>
                  <w:szCs w:val="13"/>
                  <w:u w:val="single"/>
                </w:rPr>
                <w:t xml:space="preserve">academy.gmj.ge/ch12-2-root-cause-analysis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Patient Safety Culture Measurement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Patient Safety Culture Measurement</w:t>
            </w:r>
          </w:p>
          <w:p>
            <w:pPr>
              <w:spacing w:after="36" w:before="0"/>
            </w:pPr>
            <w:r>
              <w:rPr>
                <w:rFonts w:ascii="Arial" w:cs="Arial" w:eastAsia="Arial" w:hAnsi="Arial"/>
                <w:b w:val="false"/>
                <w:bCs w:val="false"/>
                <w:i w:val="false"/>
                <w:iCs w:val="false"/>
                <w:caps w:val="false"/>
                <w:color w:val="4b5563"/>
                <w:sz w:val="15"/>
                <w:szCs w:val="15"/>
              </w:rPr>
              <w:t xml:space="preserve">The hospital measures patient safety culture using a validated survey tool at a defined interval, with results reviewed by leadership and used to inform specific improvement actions.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patient safety culture measured using a validated survey tool?</w:t>
            </w:r>
          </w:p>
          <w:p>
            <w:pPr>
              <w:spacing w:after="7" w:before="0"/>
            </w:pPr>
            <w:r>
              <w:rPr>
                <w:rFonts w:ascii="Arial" w:cs="Arial" w:eastAsia="Arial" w:hAnsi="Arial"/>
                <w:b w:val="false"/>
                <w:bCs w:val="false"/>
                <w:i/>
                <w:iCs/>
                <w:caps w:val="false"/>
                <w:color w:val="4b5563"/>
                <w:sz w:val="15"/>
                <w:szCs w:val="15"/>
              </w:rPr>
              <w:t xml:space="preserve">Check the tool is a recognised, validated instrument, not an informal, ad hoc questionnaire.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Safety culture survey tool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survey conducted at a defined interval, such as annually?</w:t>
            </w:r>
          </w:p>
          <w:p>
            <w:pPr>
              <w:spacing w:after="7" w:before="0"/>
            </w:pPr>
            <w:r>
              <w:rPr>
                <w:rFonts w:ascii="Arial" w:cs="Arial" w:eastAsia="Arial" w:hAnsi="Arial"/>
                <w:b w:val="false"/>
                <w:bCs w:val="false"/>
                <w:i/>
                <w:iCs/>
                <w:caps w:val="false"/>
                <w:color w:val="4b5563"/>
                <w:sz w:val="15"/>
                <w:szCs w:val="15"/>
              </w:rPr>
              <w:t xml:space="preserve">Check for a consistent measurement schedule over time.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Survey schedule and history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survey participation reasonably representative across departments and staff roles?</w:t>
            </w:r>
          </w:p>
          <w:p>
            <w:pPr>
              <w:spacing w:after="7" w:before="0"/>
            </w:pPr>
            <w:r>
              <w:rPr>
                <w:rFonts w:ascii="Arial" w:cs="Arial" w:eastAsia="Arial" w:hAnsi="Arial"/>
                <w:b w:val="false"/>
                <w:bCs w:val="false"/>
                <w:i/>
                <w:iCs/>
                <w:caps w:val="false"/>
                <w:color w:val="4b5563"/>
                <w:sz w:val="15"/>
                <w:szCs w:val="15"/>
              </w:rPr>
              <w:t xml:space="preserve">Check response rate and coverage across the hospital.</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Participation/response rate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survey results reviewed by leadership, with findings communicated back to staff?</w:t>
            </w:r>
          </w:p>
          <w:p>
            <w:pPr>
              <w:spacing w:after="7" w:before="0"/>
            </w:pPr>
            <w:r>
              <w:rPr>
                <w:rFonts w:ascii="Arial" w:cs="Arial" w:eastAsia="Arial" w:hAnsi="Arial"/>
                <w:b w:val="false"/>
                <w:bCs w:val="false"/>
                <w:i/>
                <w:iCs/>
                <w:caps w:val="false"/>
                <w:color w:val="4b5563"/>
                <w:sz w:val="15"/>
                <w:szCs w:val="15"/>
              </w:rPr>
              <w:t xml:space="preserve">Check for evidence results reach leadership and are shared, not only collected.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Results review and communication evidence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survey findings inform specific improvement actions?</w:t>
            </w:r>
          </w:p>
          <w:p>
            <w:pPr>
              <w:spacing w:after="7" w:before="0"/>
            </w:pPr>
            <w:r>
              <w:rPr>
                <w:rFonts w:ascii="Arial" w:cs="Arial" w:eastAsia="Arial" w:hAnsi="Arial"/>
                <w:b w:val="false"/>
                <w:bCs w:val="false"/>
                <w:i/>
                <w:iCs/>
                <w:caps w:val="false"/>
                <w:color w:val="4b5563"/>
                <w:sz w:val="15"/>
                <w:szCs w:val="15"/>
              </w:rPr>
              <w:t xml:space="preserve">Ask for a concrete example of an action taken because of survey findings.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resulting action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Survey tool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survey instrument for validated status, not an informal or ad hoc questionnaire.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Survey schedule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measurement history for a consistent, defined interval.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Participation rate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response rate and coverage across departments and staff roles.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Resulting action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an improvement action taken because of safety culture survey findings.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_1zqwitlnz93po9hgqkqa">
              <w:r>
                <w:rPr>
                  <w:rFonts w:ascii="Arial" w:cs="Arial" w:eastAsia="Arial" w:hAnsi="Arial"/>
                  <w:b/>
                  <w:bCs/>
                  <w:color w:val="c9a227"/>
                  <w:sz w:val="13"/>
                  <w:szCs w:val="13"/>
                  <w:u w:val="single"/>
                </w:rPr>
                <w:t xml:space="preserve">World Health Organization. Patient safety culture: measurement instruments and approaches. Geneva: WHO; 2019.</w:t>
              </w:r>
            </w:hyperlink>
            <w:r>
              <w:rPr>
                <w:rFonts w:ascii="Arial" w:cs="Arial" w:eastAsia="Arial" w:hAnsi="Arial"/>
                <w:b/>
                <w:bCs/>
                <w:i w:val="false"/>
                <w:iCs w:val="false"/>
                <w:caps w:val="false"/>
                <w:color w:val="6b778c"/>
                <w:sz w:val="13"/>
                <w:szCs w:val="13"/>
              </w:rPr>
              <w:t xml:space="preserve">   2. </w:t>
            </w:r>
            <w:hyperlink w:history="1" r:id="rId_o5lqio6cfdincht6y7a4">
              <w:r>
                <w:rPr>
                  <w:rFonts w:ascii="Arial" w:cs="Arial" w:eastAsia="Arial" w:hAnsi="Arial"/>
                  <w:b/>
                  <w:bCs/>
                  <w:color w:val="c9a227"/>
                  <w:sz w:val="13"/>
                  <w:szCs w:val="13"/>
                  <w:u w:val="single"/>
                </w:rPr>
                <w:t xml:space="preserve">Agency for Healthcare Research and Quality. Hospital Survey on Patient Safety Culture (HSOPSC). Rockville: AHRQ; 2019.</w:t>
              </w:r>
            </w:hyperlink>
            <w:r>
              <w:rPr>
                <w:rFonts w:ascii="Arial" w:cs="Arial" w:eastAsia="Arial" w:hAnsi="Arial"/>
                <w:b/>
                <w:bCs/>
                <w:i w:val="false"/>
                <w:iCs w:val="false"/>
                <w:caps w:val="false"/>
                <w:color w:val="6b778c"/>
                <w:sz w:val="13"/>
                <w:szCs w:val="13"/>
              </w:rPr>
              <w:t xml:space="preserve">   3. </w:t>
            </w:r>
            <w:hyperlink w:history="1" r:id="rIdk6cgd9hcnpah9aklvrhvj">
              <w:r>
                <w:rPr>
                  <w:rFonts w:ascii="Arial" w:cs="Arial" w:eastAsia="Arial" w:hAnsi="Arial"/>
                  <w:b/>
                  <w:bCs/>
                  <w:color w:val="c9a227"/>
                  <w:sz w:val="13"/>
                  <w:szCs w:val="13"/>
                  <w:u w:val="single"/>
                </w:rPr>
                <w:t xml:space="preserve">Sorra J, Nieva V. Hospital Survey on Patient Safety Culture: technical report. Rockville: AHRQ; 2004.</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12.3</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Patient safety culture — whether staff feel safe raising a concern, whether they trust the reporting system, whether leadership visibly prioritises safety over blame — shapes every other safety standard in this document, because even the best-designed process fails if staff do not feel able to use it honestly. A validated survey tool, measured consistently over time, is what makes this normally invisible cultural dimension visible enough to actually manage and improve, rather than assumed to be fine based on impression alone.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AHRQ Hospital Survey on Patient Safety Culture — validated, standardised safety culture measurement is strongly associated with a hospital’s ability to identify specific, addressable weaknesses in safety climate that would otherwise remain invisible to leadership.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validated survey tool measures patient safety culture, not an informal questionnaire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Measurement occurs at a defined, consistent interval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Participation is reasonably representative across departments and staff roles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Results are reviewed by leadership and communicated back to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Survey findings inform specific, traceable improvement actions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validated tool is used, or safety culture is not measured at all</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Measurement is irregular or has only occurred once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Participation is low or concentrated in particular departments, limiting representativeness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Results are collected but never reviewed by leadership or shared with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improvement action has ever resulted from survey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 validated tool is used but response rates are too low to be representative.</w:t>
            </w:r>
          </w:p>
          <w:p>
            <w:pPr>
              <w:spacing w:after="20" w:before="0"/>
            </w:pPr>
            <w:r>
              <w:rPr>
                <w:rFonts w:ascii="Arial" w:cs="Arial" w:eastAsia="Arial" w:hAnsi="Arial"/>
                <w:b w:val="false"/>
                <w:bCs w:val="false"/>
                <w:i/>
                <w:iCs/>
                <w:caps w:val="false"/>
                <w:color w:val="4b5563"/>
                <w:sz w:val="15"/>
                <w:szCs w:val="15"/>
              </w:rPr>
              <w:t xml:space="preserve">The survey instrument itself is sound, but participation is concentrated among a subset of staff, limiting how representative the results actually are.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Results are reviewed by leadership but rarely communicated back to staff.</w:t>
            </w:r>
          </w:p>
          <w:p>
            <w:pPr>
              <w:spacing w:after="20" w:before="0"/>
            </w:pPr>
            <w:r>
              <w:rPr>
                <w:rFonts w:ascii="Arial" w:cs="Arial" w:eastAsia="Arial" w:hAnsi="Arial"/>
                <w:b w:val="false"/>
                <w:bCs w:val="false"/>
                <w:i/>
                <w:iCs/>
                <w:caps w:val="false"/>
                <w:color w:val="4b5563"/>
                <w:sz w:val="15"/>
                <w:szCs w:val="15"/>
              </w:rPr>
              <w:t xml:space="preserve">Leadership examines the findings, but staff who completed the survey are not told what was learned or what, if anything, will change.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Measurement happens regularly but rarely produces a specific action.</w:t>
            </w:r>
          </w:p>
          <w:p>
            <w:pPr>
              <w:spacing w:after="36" w:before="0"/>
            </w:pPr>
            <w:r>
              <w:rPr>
                <w:rFonts w:ascii="Arial" w:cs="Arial" w:eastAsia="Arial" w:hAnsi="Arial"/>
                <w:b w:val="false"/>
                <w:bCs w:val="false"/>
                <w:i/>
                <w:iCs/>
                <w:caps w:val="false"/>
                <w:color w:val="4b5563"/>
                <w:sz w:val="15"/>
                <w:szCs w:val="15"/>
              </w:rPr>
              <w:t xml:space="preserve">The survey is conducted on schedule and results are discussed, but few concrete improvement actions can be traced back to specific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adopt a validated patient safety culture survey tool.</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confirm a defined, consistent measurement interval.</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Assess and improve participation representativeness across departments and roles.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clear process for leadership review and communicating findings back to staff.</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Identify and implement specific improvement actions from survey findings; track their impact over time.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response rate broken down by department, not just the overall figure.  </w:t>
            </w:r>
            <w:r>
              <w:rPr>
                <w:rFonts w:ascii="Arial" w:cs="Arial" w:eastAsia="Arial" w:hAnsi="Arial"/>
                <w:b w:val="false"/>
                <w:bCs w:val="false"/>
                <w:i w:val="false"/>
                <w:iCs w:val="false"/>
                <w:caps w:val="false"/>
                <w:color w:val="374151"/>
                <w:sz w:val="16"/>
                <w:szCs w:val="16"/>
              </w:rPr>
              <w:t xml:space="preserve">An adequate overall response rate can still conceal very low participation in specific departments, skewing the results.</w:t>
            </w:r>
          </w:p>
          <w:p>
            <w:pPr>
              <w:spacing w:after="16" w:before="0"/>
            </w:pPr>
            <w:r>
              <w:rPr>
                <w:rFonts w:ascii="Arial" w:cs="Arial" w:eastAsia="Arial" w:hAnsi="Arial"/>
                <w:b/>
                <w:bCs/>
                <w:i w:val="false"/>
                <w:iCs w:val="false"/>
                <w:caps w:val="false"/>
                <w:color w:val="b91c1c"/>
                <w:sz w:val="15"/>
                <w:szCs w:val="15"/>
              </w:rPr>
              <w:t xml:space="preserve">Ask staff whether they were told the results of the last survey.  </w:t>
            </w:r>
            <w:r>
              <w:rPr>
                <w:rFonts w:ascii="Arial" w:cs="Arial" w:eastAsia="Arial" w:hAnsi="Arial"/>
                <w:b w:val="false"/>
                <w:bCs w:val="false"/>
                <w:i w:val="false"/>
                <w:iCs w:val="false"/>
                <w:caps w:val="false"/>
                <w:color w:val="374151"/>
                <w:sz w:val="16"/>
                <w:szCs w:val="16"/>
              </w:rPr>
              <w:t xml:space="preserve">This reveals whether communication back to staff genuinely happens, beyond leadership-level review.</w:t>
            </w:r>
          </w:p>
          <w:p>
            <w:pPr>
              <w:spacing w:after="36" w:before="0"/>
            </w:pPr>
            <w:r>
              <w:rPr>
                <w:rFonts w:ascii="Arial" w:cs="Arial" w:eastAsia="Arial" w:hAnsi="Arial"/>
                <w:b/>
                <w:bCs/>
                <w:i w:val="false"/>
                <w:iCs w:val="false"/>
                <w:caps w:val="false"/>
                <w:color w:val="b91c1c"/>
                <w:sz w:val="15"/>
                <w:szCs w:val="15"/>
              </w:rPr>
              <w:t xml:space="preserve">Ask for a specific action resulting from survey findings.  </w:t>
            </w:r>
            <w:r>
              <w:rPr>
                <w:rFonts w:ascii="Arial" w:cs="Arial" w:eastAsia="Arial" w:hAnsi="Arial"/>
                <w:b w:val="false"/>
                <w:bCs w:val="false"/>
                <w:i w:val="false"/>
                <w:iCs w:val="false"/>
                <w:caps w:val="false"/>
                <w:color w:val="374151"/>
                <w:sz w:val="16"/>
                <w:szCs w:val="16"/>
              </w:rPr>
              <w:t xml:space="preserve">This distinguishes a functioning improvement loop from a measurement exercise that produces a report and stops there.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dqfq0y2eoxawv4heygjj_">
              <w:r>
                <w:rPr>
                  <w:rFonts w:ascii="Arial" w:cs="Arial" w:eastAsia="Arial" w:hAnsi="Arial"/>
                  <w:b/>
                  <w:bCs/>
                  <w:color w:val="c9a227"/>
                  <w:sz w:val="13"/>
                  <w:szCs w:val="13"/>
                  <w:u w:val="single"/>
                </w:rPr>
                <w:t xml:space="preserve">academy.gmj.ge/ch12-3-patient-safety-culture-measurement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12.4</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Clinical Audit Programme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Clinical Audit Programme</w:t>
            </w:r>
          </w:p>
          <w:p>
            <w:pPr>
              <w:spacing w:after="36" w:before="0"/>
            </w:pPr>
            <w:r>
              <w:rPr>
                <w:rFonts w:ascii="Arial" w:cs="Arial" w:eastAsia="Arial" w:hAnsi="Arial"/>
                <w:b w:val="false"/>
                <w:bCs w:val="false"/>
                <w:i w:val="false"/>
                <w:iCs w:val="false"/>
                <w:caps w:val="false"/>
                <w:color w:val="4b5563"/>
                <w:sz w:val="15"/>
                <w:szCs w:val="15"/>
              </w:rPr>
              <w:t xml:space="preserve">The hospital operates a structured clinical audit programme with a defined annual cycle, prioritised topics, and a process ensuring audit findings lead to a documented action and re-audit.</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annual clinical audit programme, with topics selected and scheduled in advance?</w:t>
            </w:r>
          </w:p>
          <w:p>
            <w:pPr>
              <w:spacing w:after="7" w:before="0"/>
            </w:pPr>
            <w:r>
              <w:rPr>
                <w:rFonts w:ascii="Arial" w:cs="Arial" w:eastAsia="Arial" w:hAnsi="Arial"/>
                <w:b w:val="false"/>
                <w:bCs w:val="false"/>
                <w:i/>
                <w:iCs/>
                <w:caps w:val="false"/>
                <w:color w:val="4b5563"/>
                <w:sz w:val="15"/>
                <w:szCs w:val="15"/>
              </w:rPr>
              <w:t xml:space="preserve">Check for a documented programme and schedule, not occasional, unplanned audits.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Annual audit programme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audit topics prioritised based on risk, volume, or known concern, not arbitrarily chosen?</w:t>
            </w:r>
          </w:p>
          <w:p>
            <w:pPr>
              <w:spacing w:after="36" w:before="0"/>
            </w:pPr>
            <w:r>
              <w:rPr>
                <w:rFonts w:ascii="Arial" w:cs="Arial" w:eastAsia="Arial" w:hAnsi="Arial"/>
                <w:b w:val="false"/>
                <w:bCs w:val="false"/>
                <w:i/>
                <w:iCs/>
                <w:caps w:val="false"/>
                <w:color w:val="4b5563"/>
                <w:sz w:val="15"/>
                <w:szCs w:val="15"/>
              </w:rPr>
              <w:t xml:space="preserve">Check the rationale for how topics were selected.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audit cycle include a defined action plan following findings, and a re-audit to confirm improvement?</w:t>
            </w:r>
          </w:p>
          <w:p>
            <w:pPr>
              <w:spacing w:after="7" w:before="0"/>
            </w:pPr>
            <w:r>
              <w:rPr>
                <w:rFonts w:ascii="Arial" w:cs="Arial" w:eastAsia="Arial" w:hAnsi="Arial"/>
                <w:b w:val="false"/>
                <w:bCs w:val="false"/>
                <w:i/>
                <w:iCs/>
                <w:caps w:val="false"/>
                <w:color w:val="4b5563"/>
                <w:sz w:val="15"/>
                <w:szCs w:val="15"/>
              </w:rPr>
              <w:t xml:space="preserve">Check for the full cycle: audit, action, re-audit — not audit alone.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Audit cycle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clinical staff participation in audit broad, not limited to a small group?</w:t>
            </w:r>
          </w:p>
          <w:p>
            <w:pPr>
              <w:spacing w:after="7" w:before="0"/>
            </w:pPr>
            <w:r>
              <w:rPr>
                <w:rFonts w:ascii="Arial" w:cs="Arial" w:eastAsia="Arial" w:hAnsi="Arial"/>
                <w:b w:val="false"/>
                <w:bCs w:val="false"/>
                <w:i/>
                <w:iCs/>
                <w:caps w:val="false"/>
                <w:color w:val="4b5563"/>
                <w:sz w:val="15"/>
                <w:szCs w:val="15"/>
              </w:rPr>
              <w:t xml:space="preserve">Check participation records across departments and staff levels.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Participation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audit results reported to relevant clinical governance structures?</w:t>
            </w:r>
          </w:p>
          <w:p>
            <w:pPr>
              <w:spacing w:after="36" w:before="0"/>
            </w:pPr>
            <w:r>
              <w:rPr>
                <w:rFonts w:ascii="Arial" w:cs="Arial" w:eastAsia="Arial" w:hAnsi="Arial"/>
                <w:b w:val="false"/>
                <w:bCs w:val="false"/>
                <w:i/>
                <w:iCs/>
                <w:caps w:val="false"/>
                <w:color w:val="4b5563"/>
                <w:sz w:val="15"/>
                <w:szCs w:val="15"/>
              </w:rPr>
              <w:t xml:space="preserve">Check for evidence audit findings reach governance-level review.</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Annual programme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audit programme and schedule for advance planning.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Topic prioritisation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audit topics are selected and prioritised.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Full cycle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the complete audit-action-re-audit cycle, not audit alone.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Participation and reporting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participation breadth and evidence that findings reach clinical governance.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cbz8bvgiykubztvozfvsy">
              <w:r>
                <w:rPr>
                  <w:rFonts w:ascii="Arial" w:cs="Arial" w:eastAsia="Arial" w:hAnsi="Arial"/>
                  <w:b/>
                  <w:bCs/>
                  <w:color w:val="c9a227"/>
                  <w:sz w:val="13"/>
                  <w:szCs w:val="13"/>
                  <w:u w:val="single"/>
                </w:rPr>
                <w:t xml:space="preserve">National Institute for Health and Care Excellence. Clinical audit: a guide for NHS boards and partners. London: NICE; 2020.</w:t>
              </w:r>
            </w:hyperlink>
            <w:r>
              <w:rPr>
                <w:rFonts w:ascii="Arial" w:cs="Arial" w:eastAsia="Arial" w:hAnsi="Arial"/>
                <w:b/>
                <w:bCs/>
                <w:i w:val="false"/>
                <w:iCs w:val="false"/>
                <w:caps w:val="false"/>
                <w:color w:val="6b778c"/>
                <w:sz w:val="13"/>
                <w:szCs w:val="13"/>
              </w:rPr>
              <w:t xml:space="preserve">   2. </w:t>
            </w:r>
            <w:hyperlink w:history="1" r:id="rIdo_xefsmuawfe8_auxo8jx">
              <w:r>
                <w:rPr>
                  <w:rFonts w:ascii="Arial" w:cs="Arial" w:eastAsia="Arial" w:hAnsi="Arial"/>
                  <w:b/>
                  <w:bCs/>
                  <w:color w:val="c9a227"/>
                  <w:sz w:val="13"/>
                  <w:szCs w:val="13"/>
                  <w:u w:val="single"/>
                </w:rPr>
                <w:t xml:space="preserve">Healthcare Quality Improvement Partnership. Best practice in clinical audit. London: HQIP; 2020.</w:t>
              </w:r>
            </w:hyperlink>
            <w:r>
              <w:rPr>
                <w:rFonts w:ascii="Arial" w:cs="Arial" w:eastAsia="Arial" w:hAnsi="Arial"/>
                <w:b/>
                <w:bCs/>
                <w:i w:val="false"/>
                <w:iCs w:val="false"/>
                <w:caps w:val="false"/>
                <w:color w:val="6b778c"/>
                <w:sz w:val="13"/>
                <w:szCs w:val="13"/>
              </w:rPr>
              <w:t xml:space="preserve">   3. </w:t>
            </w:r>
            <w:hyperlink w:history="1" r:id="rIdi8tqvx41toaptzoersjkt">
              <w:r>
                <w:rPr>
                  <w:rFonts w:ascii="Arial" w:cs="Arial" w:eastAsia="Arial" w:hAnsi="Arial"/>
                  <w:b/>
                  <w:bCs/>
                  <w:color w:val="c9a227"/>
                  <w:sz w:val="13"/>
                  <w:szCs w:val="13"/>
                  <w:u w:val="single"/>
                </w:rPr>
                <w:t xml:space="preserve">World Health Organization. Quality of care: a process for making strategic choices in health systems. Geneva: WHO; 2006.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12.4</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audit that measures practice against a standard once, identifies a gap, and stops there has completed only half the improvement cycle — the re-audit, confirming whether the gap was actually closed after action was taken, is what distinguishes genuine quality improvement from a one-time measurement exercise. A structured annual programme with prioritised, risk-based topics ensures audit effort is deliberately directed at what matters most, and the full audit-action-re-audit cycle is what proves whether the identified action actually changed anything.</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HQIP Best Practice in Clinical Audit — audit programmes that complete the full cycle, including re-audit, demonstrate substantially greater impact on actual clinical practice than audits that stop after the initial measurement and identified action plan.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annual audit programme schedules prioritised topics in advance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Topics are prioritised based on risk, volume, or known concern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audit cycle includes a defined action plan and re-audit to confirm improvement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Clinical staff participation in audit is broad, not limited to a small group</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Audit results reach relevant clinical governance structures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annual audit programme exists; audits happen occasionally and unplanned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 topics are chosen arbitrarily, without a clear rationale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Audits stop after identifying a finding, with no action plan or re-audit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 participation is limited to a small group of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Audit results do not reach clinical governance structures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Audits happen and identify real findings, but re-audit is inconsistent.</w:t>
            </w:r>
          </w:p>
          <w:p>
            <w:pPr>
              <w:spacing w:after="20" w:before="0"/>
            </w:pPr>
            <w:r>
              <w:rPr>
                <w:rFonts w:ascii="Arial" w:cs="Arial" w:eastAsia="Arial" w:hAnsi="Arial"/>
                <w:b w:val="false"/>
                <w:bCs w:val="false"/>
                <w:i/>
                <w:iCs/>
                <w:caps w:val="false"/>
                <w:color w:val="4b5563"/>
                <w:sz w:val="15"/>
                <w:szCs w:val="15"/>
              </w:rPr>
              <w:t xml:space="preserve">The initial measurement and action planning are solid, but the follow-up re-audit confirming whether the action actually worked does not always occur.</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Topics are prioritised for major conditions but not consistently across the full programme.</w:t>
            </w:r>
          </w:p>
          <w:p>
            <w:pPr>
              <w:spacing w:after="20" w:before="0"/>
            </w:pPr>
            <w:r>
              <w:rPr>
                <w:rFonts w:ascii="Arial" w:cs="Arial" w:eastAsia="Arial" w:hAnsi="Arial"/>
                <w:b w:val="false"/>
                <w:bCs w:val="false"/>
                <w:i/>
                <w:iCs/>
                <w:caps w:val="false"/>
                <w:color w:val="4b5563"/>
                <w:sz w:val="15"/>
                <w:szCs w:val="15"/>
              </w:rPr>
              <w:t xml:space="preserve">High-priority audit topics receive a well-justified rationale; other topics in the programme are selected with less clear reasoning.</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Participation is broad for common audits but narrow for more specialised ones.</w:t>
            </w:r>
          </w:p>
          <w:p>
            <w:pPr>
              <w:spacing w:after="36" w:before="0"/>
            </w:pPr>
            <w:r>
              <w:rPr>
                <w:rFonts w:ascii="Arial" w:cs="Arial" w:eastAsia="Arial" w:hAnsi="Arial"/>
                <w:b w:val="false"/>
                <w:bCs w:val="false"/>
                <w:i/>
                <w:iCs/>
                <w:caps w:val="false"/>
                <w:color w:val="4b5563"/>
                <w:sz w:val="15"/>
                <w:szCs w:val="15"/>
              </w:rPr>
              <w:t xml:space="preserve">Widely applicable audits draw participation from many staff; more specialised clinical audits are conducted by a smaller, more limited group.</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defined annual audit programme with topics scheduled in advance.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Review and strengthen the rationale for audit topic prioritisation.</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the audit cycle includes a defined action plan and re-audit step.</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Broaden clinical staff participation in the audit programme where currently limited.</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Report audit results to clinical governance regularly; complete the full cycle for every audit topic.</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specific example of a completed re-audit, not just an initial audit.  </w:t>
            </w:r>
            <w:r>
              <w:rPr>
                <w:rFonts w:ascii="Arial" w:cs="Arial" w:eastAsia="Arial" w:hAnsi="Arial"/>
                <w:b w:val="false"/>
                <w:bCs w:val="false"/>
                <w:i w:val="false"/>
                <w:iCs w:val="false"/>
                <w:caps w:val="false"/>
                <w:color w:val="374151"/>
                <w:sz w:val="16"/>
                <w:szCs w:val="16"/>
              </w:rPr>
              <w:t xml:space="preserve">This is the clearest evidence the programme completes the full improvement cycle rather than stopping at measurement.</w:t>
            </w:r>
          </w:p>
          <w:p>
            <w:pPr>
              <w:spacing w:after="16" w:before="0"/>
            </w:pPr>
            <w:r>
              <w:rPr>
                <w:rFonts w:ascii="Arial" w:cs="Arial" w:eastAsia="Arial" w:hAnsi="Arial"/>
                <w:b/>
                <w:bCs/>
                <w:i w:val="false"/>
                <w:iCs w:val="false"/>
                <w:caps w:val="false"/>
                <w:color w:val="b91c1c"/>
                <w:sz w:val="15"/>
                <w:szCs w:val="15"/>
              </w:rPr>
              <w:t xml:space="preserve">Ask how this year’s audit topics were chosen.  </w:t>
            </w:r>
            <w:r>
              <w:rPr>
                <w:rFonts w:ascii="Arial" w:cs="Arial" w:eastAsia="Arial" w:hAnsi="Arial"/>
                <w:b w:val="false"/>
                <w:bCs w:val="false"/>
                <w:i w:val="false"/>
                <w:iCs w:val="false"/>
                <w:caps w:val="false"/>
                <w:color w:val="374151"/>
                <w:sz w:val="16"/>
                <w:szCs w:val="16"/>
              </w:rPr>
              <w:t xml:space="preserve">A specific, risk-based rationale indicates deliberate prioritisation; a vague answer suggests topics are selected without clear reasoning.</w:t>
            </w:r>
          </w:p>
          <w:p>
            <w:pPr>
              <w:spacing w:after="36" w:before="0"/>
            </w:pPr>
            <w:r>
              <w:rPr>
                <w:rFonts w:ascii="Arial" w:cs="Arial" w:eastAsia="Arial" w:hAnsi="Arial"/>
                <w:b/>
                <w:bCs/>
                <w:i w:val="false"/>
                <w:iCs w:val="false"/>
                <w:caps w:val="false"/>
                <w:color w:val="b91c1c"/>
                <w:sz w:val="15"/>
                <w:szCs w:val="15"/>
              </w:rPr>
              <w:t xml:space="preserve">Check participation breadth for a specialised audit topic, not just a common one.  </w:t>
            </w:r>
            <w:r>
              <w:rPr>
                <w:rFonts w:ascii="Arial" w:cs="Arial" w:eastAsia="Arial" w:hAnsi="Arial"/>
                <w:b w:val="false"/>
                <w:bCs w:val="false"/>
                <w:i w:val="false"/>
                <w:iCs w:val="false"/>
                <w:caps w:val="false"/>
                <w:color w:val="374151"/>
                <w:sz w:val="16"/>
                <w:szCs w:val="16"/>
              </w:rPr>
              <w:t xml:space="preserve">Broad participation is easier to achieve for widely applicable audits and harder, but equally important, for more specialised ones.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rwa5pmea6szyd8njh0ekg">
              <w:r>
                <w:rPr>
                  <w:rFonts w:ascii="Arial" w:cs="Arial" w:eastAsia="Arial" w:hAnsi="Arial"/>
                  <w:b/>
                  <w:bCs/>
                  <w:color w:val="c9a227"/>
                  <w:sz w:val="13"/>
                  <w:szCs w:val="13"/>
                  <w:u w:val="single"/>
                </w:rPr>
                <w:t xml:space="preserve">academy.gmj.ge/ch12-4-clinical-audit-programme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12.5</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Near-Miss Reporting and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Near-Miss Reporting and Learning</w:t>
            </w:r>
          </w:p>
          <w:p>
            <w:pPr>
              <w:spacing w:after="36" w:before="0"/>
            </w:pPr>
            <w:r>
              <w:rPr>
                <w:rFonts w:ascii="Arial" w:cs="Arial" w:eastAsia="Arial" w:hAnsi="Arial"/>
                <w:b w:val="false"/>
                <w:bCs w:val="false"/>
                <w:i w:val="false"/>
                <w:iCs w:val="false"/>
                <w:caps w:val="false"/>
                <w:color w:val="4b5563"/>
                <w:sz w:val="15"/>
                <w:szCs w:val="15"/>
              </w:rPr>
              <w:t xml:space="preserve">The hospital actively encourages and captures near-miss reporting, distinct from incidents that caused harm, with near-miss data analysed to identify and address risks before they cause harm.</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reporting system distinguish near-misses from incidents that caused actual harm?</w:t>
            </w:r>
          </w:p>
          <w:p>
            <w:pPr>
              <w:spacing w:after="7" w:before="0"/>
            </w:pPr>
            <w:r>
              <w:rPr>
                <w:rFonts w:ascii="Arial" w:cs="Arial" w:eastAsia="Arial" w:hAnsi="Arial"/>
                <w:b w:val="false"/>
                <w:bCs w:val="false"/>
                <w:i/>
                <w:iCs/>
                <w:caps w:val="false"/>
                <w:color w:val="4b5563"/>
                <w:sz w:val="15"/>
                <w:szCs w:val="15"/>
              </w:rPr>
              <w:t xml:space="preserve">Check for a specific near-miss category, not conflated with harm events.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Reporting system categorisation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staff specifically encouraged to report near-misses, understanding their value distinct from harm events?</w:t>
            </w:r>
          </w:p>
          <w:p>
            <w:pPr>
              <w:spacing w:after="36" w:before="0"/>
            </w:pPr>
            <w:r>
              <w:rPr>
                <w:rFonts w:ascii="Arial" w:cs="Arial" w:eastAsia="Arial" w:hAnsi="Arial"/>
                <w:b w:val="false"/>
                <w:bCs w:val="false"/>
                <w:i/>
                <w:iCs/>
                <w:caps w:val="false"/>
                <w:color w:val="4b5563"/>
                <w:sz w:val="15"/>
                <w:szCs w:val="15"/>
              </w:rPr>
              <w:t xml:space="preserve">Ask staff whether they understand why near-miss reporting matters.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near-miss data analysed for patterns, separate from serious incident review?</w:t>
            </w:r>
          </w:p>
          <w:p>
            <w:pPr>
              <w:spacing w:after="7" w:before="0"/>
            </w:pPr>
            <w:r>
              <w:rPr>
                <w:rFonts w:ascii="Arial" w:cs="Arial" w:eastAsia="Arial" w:hAnsi="Arial"/>
                <w:b w:val="false"/>
                <w:bCs w:val="false"/>
                <w:i/>
                <w:iCs/>
                <w:caps w:val="false"/>
                <w:color w:val="4b5563"/>
                <w:sz w:val="15"/>
                <w:szCs w:val="15"/>
              </w:rPr>
              <w:t xml:space="preserve">Check for a specific near-miss analysis process.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Near-miss analysis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evidence that near-miss analysis has led to a preventive action before harm occurred?</w:t>
            </w:r>
          </w:p>
          <w:p>
            <w:pPr>
              <w:spacing w:after="7" w:before="0"/>
            </w:pPr>
            <w:r>
              <w:rPr>
                <w:rFonts w:ascii="Arial" w:cs="Arial" w:eastAsia="Arial" w:hAnsi="Arial"/>
                <w:b w:val="false"/>
                <w:bCs w:val="false"/>
                <w:i/>
                <w:iCs/>
                <w:caps w:val="false"/>
                <w:color w:val="4b5563"/>
                <w:sz w:val="15"/>
                <w:szCs w:val="15"/>
              </w:rPr>
              <w:t xml:space="preserve">Ask for a specific example.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preventive action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near-miss reporting volume tracked as a positive indicator of safety culture, not treated as a negative metric?</w:t>
            </w:r>
          </w:p>
          <w:p>
            <w:pPr>
              <w:spacing w:after="36" w:before="0"/>
            </w:pPr>
            <w:r>
              <w:rPr>
                <w:rFonts w:ascii="Arial" w:cs="Arial" w:eastAsia="Arial" w:hAnsi="Arial"/>
                <w:b w:val="false"/>
                <w:bCs w:val="false"/>
                <w:i/>
                <w:iCs/>
                <w:caps w:val="false"/>
                <w:color w:val="4b5563"/>
                <w:sz w:val="15"/>
                <w:szCs w:val="15"/>
              </w:rPr>
              <w:t xml:space="preserve">Ask how the hospital interprets a high near-miss reporting rate.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Categorisation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reporting system for a distinct near-miss category, separate from harm events.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understanding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staff whether they understand the value of reporting a near-miss, distinct from an incident that caused harm.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Analysis process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specific process for analysing near-miss data for patterns.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Preventive action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 preventive action resulting from near-miss analysis.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wdut5msf7qllm2ygy7gic">
              <w:r>
                <w:rPr>
                  <w:rFonts w:ascii="Arial" w:cs="Arial" w:eastAsia="Arial" w:hAnsi="Arial"/>
                  <w:b/>
                  <w:bCs/>
                  <w:color w:val="c9a227"/>
                  <w:sz w:val="13"/>
                  <w:szCs w:val="13"/>
                  <w:u w:val="single"/>
                </w:rPr>
                <w:t xml:space="preserve">World Health Organization. Patient safety incident reporting and learning systems: technical report (near-miss provisions). Geneva: WHO; 2020.</w:t>
              </w:r>
            </w:hyperlink>
            <w:r>
              <w:rPr>
                <w:rFonts w:ascii="Arial" w:cs="Arial" w:eastAsia="Arial" w:hAnsi="Arial"/>
                <w:b/>
                <w:bCs/>
                <w:i w:val="false"/>
                <w:iCs w:val="false"/>
                <w:caps w:val="false"/>
                <w:color w:val="6b778c"/>
                <w:sz w:val="13"/>
                <w:szCs w:val="13"/>
              </w:rPr>
              <w:t xml:space="preserve">   2. </w:t>
            </w:r>
            <w:hyperlink w:history="1" r:id="rIdjboantrt1qpubv9oyjvzn">
              <w:r>
                <w:rPr>
                  <w:rFonts w:ascii="Arial" w:cs="Arial" w:eastAsia="Arial" w:hAnsi="Arial"/>
                  <w:b/>
                  <w:bCs/>
                  <w:color w:val="c9a227"/>
                  <w:sz w:val="13"/>
                  <w:szCs w:val="13"/>
                  <w:u w:val="single"/>
                </w:rPr>
                <w:t xml:space="preserve">Barach P, Small SD. Reporting and preventing medical mishaps: lessons from non-medical near miss reporting systems. BMJ. 2000;320(7237):759-763.</w:t>
              </w:r>
            </w:hyperlink>
            <w:r>
              <w:rPr>
                <w:rFonts w:ascii="Arial" w:cs="Arial" w:eastAsia="Arial" w:hAnsi="Arial"/>
                <w:b/>
                <w:bCs/>
                <w:i w:val="false"/>
                <w:iCs w:val="false"/>
                <w:caps w:val="false"/>
                <w:color w:val="6b778c"/>
                <w:sz w:val="13"/>
                <w:szCs w:val="13"/>
              </w:rPr>
              <w:t xml:space="preserve">   3. </w:t>
            </w:r>
            <w:hyperlink w:history="1" r:id="rIdmtjcrwirqpg23cfyzv52q">
              <w:r>
                <w:rPr>
                  <w:rFonts w:ascii="Arial" w:cs="Arial" w:eastAsia="Arial" w:hAnsi="Arial"/>
                  <w:b/>
                  <w:bCs/>
                  <w:color w:val="c9a227"/>
                  <w:sz w:val="13"/>
                  <w:szCs w:val="13"/>
                  <w:u w:val="single"/>
                </w:rPr>
                <w:t xml:space="preserve">Van der Schaaf TW, Kanse L. Biases in incident reporting databases: an empirical study in the chemical process industry. Saf Sci. 2004;42(1):57-67.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12.5</w:t>
            </w:r>
            <w:r>
              <w:rPr>
                <w:rFonts w:ascii="Arial" w:cs="Arial" w:eastAsia="Arial" w:hAnsi="Arial"/>
                <w:b w:val="false"/>
                <w:bCs w:val="false"/>
                <w:i/>
                <w:iCs/>
                <w:caps w:val="false"/>
                <w:color w:val="8fa8c8"/>
                <w:sz w:val="10"/>
                <w:szCs w:val="10"/>
              </w:rPr>
              <w:t xml:space="preserve">  ·  Level 1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near-miss is a genuine safety event that, through luck or a last-moment catch, did not result in harm — and analysing it carries all the learning value of a serious incident without the cost of the harm having actually occurred. Hospitals that treat near-miss reporting as equally or more valuable than harm-event reporting, because it reveals the same underlying risks before anyone is hurt, are acting on safety information at the point where it is cheapest and most humane to act.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Barach &amp; Small 2000 — near-miss reporting systems, well established in high-reliability industries outside healthcare, provide a far larger volume of safety-relevant data than harm-event reporting alone, because near-misses occur substantially more often than actual harm.</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reporting system distinguishes near-misses from harm-causing incidents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Staff understand and are specifically encouraged to report near-misses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Near-miss data is analysed for patterns as a distinct process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preventive action can be traced to near-miss analysis, taken before harm occurred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Near-miss reporting volume is treated as a positive indicator of safety culture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Near-misses are not distinguished from harm-causing incidents in the reporting system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Staff do not understand or are not specifically encouraged to report near-misses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Near-miss data, if captured, is not analysed for patterns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preventive action has ever resulted from near-miss analysis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 high near-miss reporting rate is viewed negatively rather than as a positive safety signal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Near-misses are captured but analysed together with harm events, diluting specific learning.</w:t>
            </w:r>
          </w:p>
          <w:p>
            <w:pPr>
              <w:spacing w:after="20" w:before="0"/>
            </w:pPr>
            <w:r>
              <w:rPr>
                <w:rFonts w:ascii="Arial" w:cs="Arial" w:eastAsia="Arial" w:hAnsi="Arial"/>
                <w:b w:val="false"/>
                <w:bCs w:val="false"/>
                <w:i/>
                <w:iCs/>
                <w:caps w:val="false"/>
                <w:color w:val="4b5563"/>
                <w:sz w:val="15"/>
                <w:szCs w:val="15"/>
              </w:rPr>
              <w:t xml:space="preserve">The reporting system technically distinguishes near-misses, but analysis treats all reports similarly, missing insights specific to near-miss patterns.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Staff report near-misses but describe uncertainty about their value.</w:t>
            </w:r>
          </w:p>
          <w:p>
            <w:pPr>
              <w:spacing w:after="20" w:before="0"/>
            </w:pPr>
            <w:r>
              <w:rPr>
                <w:rFonts w:ascii="Arial" w:cs="Arial" w:eastAsia="Arial" w:hAnsi="Arial"/>
                <w:b w:val="false"/>
                <w:bCs w:val="false"/>
                <w:i/>
                <w:iCs/>
                <w:caps w:val="false"/>
                <w:color w:val="4b5563"/>
                <w:sz w:val="15"/>
                <w:szCs w:val="15"/>
              </w:rPr>
              <w:t xml:space="preserve">Reporting occurs, but staff interviews reveal some uncertainty about why a near-miss, which caused no actual harm, is worth reporting.</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Analysis happens but rarely produces a preventive action before a similar event with actual harm occurs.</w:t>
            </w:r>
          </w:p>
          <w:p>
            <w:pPr>
              <w:spacing w:after="36" w:before="0"/>
            </w:pPr>
            <w:r>
              <w:rPr>
                <w:rFonts w:ascii="Arial" w:cs="Arial" w:eastAsia="Arial" w:hAnsi="Arial"/>
                <w:b w:val="false"/>
                <w:bCs w:val="false"/>
                <w:i/>
                <w:iCs/>
                <w:caps w:val="false"/>
                <w:color w:val="4b5563"/>
                <w:sz w:val="15"/>
                <w:szCs w:val="15"/>
              </w:rPr>
              <w:t xml:space="preserve">Near-miss patterns are identified, but the connection from analysis to a concrete preventive measure is inconsistent.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reporting system distinguishes near-misses as a specific category.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Communicate to staff why near-miss reporting matters, distinct from harm-event reporting.</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strengthen a specific process for analysing near-miss data for patterns.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implement at least one preventive action from near-miss analysis;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near-miss reporting volume as a positive safety culture indicator; continue pattern analysis.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staff directly why they would bother reporting something that caused no harm.  </w:t>
            </w:r>
            <w:r>
              <w:rPr>
                <w:rFonts w:ascii="Arial" w:cs="Arial" w:eastAsia="Arial" w:hAnsi="Arial"/>
                <w:b w:val="false"/>
                <w:bCs w:val="false"/>
                <w:i w:val="false"/>
                <w:iCs w:val="false"/>
                <w:caps w:val="false"/>
                <w:color w:val="374151"/>
                <w:sz w:val="16"/>
                <w:szCs w:val="16"/>
              </w:rPr>
              <w:t xml:space="preserve">Their answer reveals whether the value of near-miss reporting is genuinely understood, or whether it is seen as unnecessary paperwork.</w:t>
            </w:r>
          </w:p>
          <w:p>
            <w:pPr>
              <w:spacing w:after="16" w:before="0"/>
            </w:pPr>
            <w:r>
              <w:rPr>
                <w:rFonts w:ascii="Arial" w:cs="Arial" w:eastAsia="Arial" w:hAnsi="Arial"/>
                <w:b/>
                <w:bCs/>
                <w:i w:val="false"/>
                <w:iCs w:val="false"/>
                <w:caps w:val="false"/>
                <w:color w:val="b91c1c"/>
                <w:sz w:val="15"/>
                <w:szCs w:val="15"/>
              </w:rPr>
              <w:t xml:space="preserve">Ask for a specific example of a preventive action from near-miss analysis.  </w:t>
            </w:r>
            <w:r>
              <w:rPr>
                <w:rFonts w:ascii="Arial" w:cs="Arial" w:eastAsia="Arial" w:hAnsi="Arial"/>
                <w:b w:val="false"/>
                <w:bCs w:val="false"/>
                <w:i w:val="false"/>
                <w:iCs w:val="false"/>
                <w:caps w:val="false"/>
                <w:color w:val="374151"/>
                <w:sz w:val="16"/>
                <w:szCs w:val="16"/>
              </w:rPr>
              <w:t xml:space="preserve">This distinguishes a functioning early-warning system from one that only records near-misses without acting on the pattern.</w:t>
            </w:r>
          </w:p>
          <w:p>
            <w:pPr>
              <w:spacing w:after="36" w:before="0"/>
            </w:pPr>
            <w:r>
              <w:rPr>
                <w:rFonts w:ascii="Arial" w:cs="Arial" w:eastAsia="Arial" w:hAnsi="Arial"/>
                <w:b/>
                <w:bCs/>
                <w:i w:val="false"/>
                <w:iCs w:val="false"/>
                <w:caps w:val="false"/>
                <w:color w:val="b91c1c"/>
                <w:sz w:val="15"/>
                <w:szCs w:val="15"/>
              </w:rPr>
              <w:t xml:space="preserve">Ask how the hospital would react to a sudden increase in near-miss reports.  </w:t>
            </w:r>
            <w:r>
              <w:rPr>
                <w:rFonts w:ascii="Arial" w:cs="Arial" w:eastAsia="Arial" w:hAnsi="Arial"/>
                <w:b w:val="false"/>
                <w:bCs w:val="false"/>
                <w:i w:val="false"/>
                <w:iCs w:val="false"/>
                <w:caps w:val="false"/>
                <w:color w:val="374151"/>
                <w:sz w:val="16"/>
                <w:szCs w:val="16"/>
              </w:rPr>
              <w:t xml:space="preserve">A hospital that welcomes this as a positive safety signal, rather than treating it as a problem, has genuinely internalised the value of near-miss reporting.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rka477rjmtydeu9mgtj48">
              <w:r>
                <w:rPr>
                  <w:rFonts w:ascii="Arial" w:cs="Arial" w:eastAsia="Arial" w:hAnsi="Arial"/>
                  <w:b/>
                  <w:bCs/>
                  <w:color w:val="c9a227"/>
                  <w:sz w:val="13"/>
                  <w:szCs w:val="13"/>
                  <w:u w:val="single"/>
                </w:rPr>
                <w:t xml:space="preserve">academy.gmj.ge/ch12-5-near-miss-reporting-learning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12.6</w:t>
            </w:r>
            <w:r>
              <w:rPr>
                <w:rFonts w:ascii="Arial" w:cs="Arial" w:eastAsia="Arial" w:hAnsi="Arial"/>
                <w:b w:val="false"/>
                <w:bCs w:val="false"/>
                <w:i/>
                <w:iCs/>
                <w:caps w:val="false"/>
                <w:color w:val="8fa8c8"/>
                <w:sz w:val="10"/>
                <w:szCs w:val="10"/>
              </w:rPr>
              <w:t xml:space="preserve">  ·  Level 2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Mortality and Morbidity Review</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Mortality and Morbidity Review</w:t>
            </w:r>
          </w:p>
          <w:p>
            <w:pPr>
              <w:spacing w:after="36" w:before="0"/>
            </w:pPr>
            <w:r>
              <w:rPr>
                <w:rFonts w:ascii="Arial" w:cs="Arial" w:eastAsia="Arial" w:hAnsi="Arial"/>
                <w:b w:val="false"/>
                <w:bCs w:val="false"/>
                <w:i w:val="false"/>
                <w:iCs w:val="false"/>
                <w:caps w:val="false"/>
                <w:color w:val="4b5563"/>
                <w:sz w:val="15"/>
                <w:szCs w:val="15"/>
              </w:rPr>
              <w:t xml:space="preserve">The hospital conducts regular, structured mortality and morbidity review, with a defined process, multidisciplinary participation, and findings translated into specific practice changes.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mortality and morbidity review conducted on a defined, regular schedule?</w:t>
            </w:r>
          </w:p>
          <w:p>
            <w:pPr>
              <w:spacing w:after="7" w:before="0"/>
            </w:pPr>
            <w:r>
              <w:rPr>
                <w:rFonts w:ascii="Arial" w:cs="Arial" w:eastAsia="Arial" w:hAnsi="Arial"/>
                <w:b w:val="false"/>
                <w:bCs w:val="false"/>
                <w:i/>
                <w:iCs/>
                <w:caps w:val="false"/>
                <w:color w:val="4b5563"/>
                <w:sz w:val="15"/>
                <w:szCs w:val="15"/>
              </w:rPr>
              <w:t xml:space="preserve">Check for a consistent schedule, not occasional or reactive review only.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M&amp;M review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review follow a structured process, examining system factors rather than only clinical narrative?</w:t>
            </w:r>
          </w:p>
          <w:p>
            <w:pPr>
              <w:spacing w:after="7" w:before="0"/>
            </w:pPr>
            <w:r>
              <w:rPr>
                <w:rFonts w:ascii="Arial" w:cs="Arial" w:eastAsia="Arial" w:hAnsi="Arial"/>
                <w:b w:val="false"/>
                <w:bCs w:val="false"/>
                <w:i/>
                <w:iCs/>
                <w:caps w:val="false"/>
                <w:color w:val="4b5563"/>
                <w:sz w:val="15"/>
                <w:szCs w:val="15"/>
              </w:rPr>
              <w:t xml:space="preserve">Check the review format for structured analysis, not only case presentation.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Review process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participation genuinely multidisciplinary, not limited to the most senior clinician involved?</w:t>
            </w:r>
          </w:p>
          <w:p>
            <w:pPr>
              <w:spacing w:after="7" w:before="0"/>
            </w:pPr>
            <w:r>
              <w:rPr>
                <w:rFonts w:ascii="Arial" w:cs="Arial" w:eastAsia="Arial" w:hAnsi="Arial"/>
                <w:b w:val="false"/>
                <w:bCs w:val="false"/>
                <w:i/>
                <w:iCs/>
                <w:caps w:val="false"/>
                <w:color w:val="4b5563"/>
                <w:sz w:val="15"/>
                <w:szCs w:val="15"/>
              </w:rPr>
              <w:t xml:space="preserve">Check attendance records for breadth of participation.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Attendance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M&amp;M review findings result in specific, tracked practice changes?</w:t>
            </w:r>
          </w:p>
          <w:p>
            <w:pPr>
              <w:spacing w:after="7" w:before="0"/>
            </w:pPr>
            <w:r>
              <w:rPr>
                <w:rFonts w:ascii="Arial" w:cs="Arial" w:eastAsia="Arial" w:hAnsi="Arial"/>
                <w:b w:val="false"/>
                <w:bCs w:val="false"/>
                <w:i/>
                <w:iCs/>
                <w:caps w:val="false"/>
                <w:color w:val="4b5563"/>
                <w:sz w:val="15"/>
                <w:szCs w:val="15"/>
              </w:rPr>
              <w:t xml:space="preserve">Ask for a concrete example of a resulting change.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practice change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review conducted in a psychologically safe environment that encourages open discussion, not blame?</w:t>
            </w:r>
          </w:p>
          <w:p>
            <w:pPr>
              <w:spacing w:after="36" w:before="0"/>
            </w:pPr>
            <w:r>
              <w:rPr>
                <w:rFonts w:ascii="Arial" w:cs="Arial" w:eastAsia="Arial" w:hAnsi="Arial"/>
                <w:b w:val="false"/>
                <w:bCs w:val="false"/>
                <w:i/>
                <w:iCs/>
                <w:caps w:val="false"/>
                <w:color w:val="4b5563"/>
                <w:sz w:val="15"/>
                <w:szCs w:val="15"/>
              </w:rPr>
              <w:t xml:space="preserve">Ask staff how they experience participating in M&amp;M review.</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Review schedule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schedule for regular, defined mortality and morbidity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Process structure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review format for structured system-factor analysis, not only clinical narrative.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Attendance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attendance records for genuine multidisciplinary participation.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Practice change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 practice change resulting from M&amp;M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gillmzbrkxiwbjjuuc4vq">
              <w:r>
                <w:rPr>
                  <w:rFonts w:ascii="Arial" w:cs="Arial" w:eastAsia="Arial" w:hAnsi="Arial"/>
                  <w:b/>
                  <w:bCs/>
                  <w:color w:val="c9a227"/>
                  <w:sz w:val="13"/>
                  <w:szCs w:val="13"/>
                  <w:u w:val="single"/>
                </w:rPr>
                <w:t xml:space="preserve">World Health Organization. Quality of care: a process for making strategic choices in health systems (M&amp;M review provisions). Geneva: WHO; 2006.</w:t>
              </w:r>
            </w:hyperlink>
            <w:r>
              <w:rPr>
                <w:rFonts w:ascii="Arial" w:cs="Arial" w:eastAsia="Arial" w:hAnsi="Arial"/>
                <w:b/>
                <w:bCs/>
                <w:i w:val="false"/>
                <w:iCs w:val="false"/>
                <w:caps w:val="false"/>
                <w:color w:val="6b778c"/>
                <w:sz w:val="13"/>
                <w:szCs w:val="13"/>
              </w:rPr>
              <w:t xml:space="preserve">   2. </w:t>
            </w:r>
            <w:hyperlink w:history="1" r:id="rIdjr_uedfpoefsuxzu46a7c">
              <w:r>
                <w:rPr>
                  <w:rFonts w:ascii="Arial" w:cs="Arial" w:eastAsia="Arial" w:hAnsi="Arial"/>
                  <w:b/>
                  <w:bCs/>
                  <w:color w:val="c9a227"/>
                  <w:sz w:val="13"/>
                  <w:szCs w:val="13"/>
                  <w:u w:val="single"/>
                </w:rPr>
                <w:t xml:space="preserve">Higginson J, Walters R, Fulop N. Mortality and morbidity meetings: an untapped resource for improving the governance of patient safety? BMJ Qual Saf. 2012;21(7):576-585.</w:t>
              </w:r>
            </w:hyperlink>
            <w:r>
              <w:rPr>
                <w:rFonts w:ascii="Arial" w:cs="Arial" w:eastAsia="Arial" w:hAnsi="Arial"/>
                <w:b/>
                <w:bCs/>
                <w:i w:val="false"/>
                <w:iCs w:val="false"/>
                <w:caps w:val="false"/>
                <w:color w:val="6b778c"/>
                <w:sz w:val="13"/>
                <w:szCs w:val="13"/>
              </w:rPr>
              <w:t xml:space="preserve">   3. </w:t>
            </w:r>
            <w:hyperlink w:history="1" r:id="rIdkpxb80addhaskdnu78un2">
              <w:r>
                <w:rPr>
                  <w:rFonts w:ascii="Arial" w:cs="Arial" w:eastAsia="Arial" w:hAnsi="Arial"/>
                  <w:b/>
                  <w:bCs/>
                  <w:color w:val="c9a227"/>
                  <w:sz w:val="13"/>
                  <w:szCs w:val="13"/>
                  <w:u w:val="single"/>
                </w:rPr>
                <w:t xml:space="preserve">Kwok AC, Reznor G, Belanger E, et al. Association of surgical mortality and morbidity conference structure with clinical outcomes. Am J Surg. 2015;209(3):515-521.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12.6</w:t>
            </w:r>
            <w:r>
              <w:rPr>
                <w:rFonts w:ascii="Arial" w:cs="Arial" w:eastAsia="Arial" w:hAnsi="Arial"/>
                <w:b w:val="false"/>
                <w:bCs w:val="false"/>
                <w:i/>
                <w:iCs/>
                <w:caps w:val="false"/>
                <w:color w:val="8fa8c8"/>
                <w:sz w:val="10"/>
                <w:szCs w:val="10"/>
              </w:rPr>
              <w:t xml:space="preserve">  ·  Level 2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Every death or serious complication carries information about whether the care provided was optimal, but that information is only extracted through a structured review that goes beyond simply presenting the clinical narrative to actively asking what system factors contributed and what could be different next time. A blame-focused or poorly attended review teaches clinicians to fear or avoid the meeting rather than engage honestly with it, which is precisely the opposite of what turns mortality and morbidity review into a genuine source of learning.</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Higginson, Walters &amp; Fulop 2012 — mortality and morbidity meetings, when structured effectively with genuine multidisciplinary engagement, represent a significant but frequently underused resource for surfacing systemic patient safety issues.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Mortality and morbidity review occurs on a defined, regular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review follows a structured process examining system factors, not only clinical narrative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Participation is genuinely multidisciplinary, beyond the most senior clinician involved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Review findings result in specific, tracked practice changes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review environment is psychologically safe, encouraging open discussion over blame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Mortality and morbidity review is occasional or purely reactive, with no defined schedule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Review consists only of clinical case presentation, without structured system analysis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Participation is limited to senior clinicians, excluding other relevant disciplines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Review findings rarely, if ever, translate into a specific practice change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review environment is perceived as blame-focused, discouraging open discussion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Review happens regularly but rarely produces a specific practice change.</w:t>
            </w:r>
          </w:p>
          <w:p>
            <w:pPr>
              <w:spacing w:after="20" w:before="0"/>
            </w:pPr>
            <w:r>
              <w:rPr>
                <w:rFonts w:ascii="Arial" w:cs="Arial" w:eastAsia="Arial" w:hAnsi="Arial"/>
                <w:b w:val="false"/>
                <w:bCs w:val="false"/>
                <w:i/>
                <w:iCs/>
                <w:caps w:val="false"/>
                <w:color w:val="4b5563"/>
                <w:sz w:val="15"/>
                <w:szCs w:val="15"/>
              </w:rPr>
              <w:t xml:space="preserve">A well-attended, structured review occurs on schedule, but discussion rarely translates into a documented, tracked action.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Senior clinicians engage well, but junior staff feel less able to speak openly.</w:t>
            </w:r>
          </w:p>
          <w:p>
            <w:pPr>
              <w:spacing w:after="20" w:before="0"/>
            </w:pPr>
            <w:r>
              <w:rPr>
                <w:rFonts w:ascii="Arial" w:cs="Arial" w:eastAsia="Arial" w:hAnsi="Arial"/>
                <w:b w:val="false"/>
                <w:bCs w:val="false"/>
                <w:i/>
                <w:iCs/>
                <w:caps w:val="false"/>
                <w:color w:val="4b5563"/>
                <w:sz w:val="15"/>
                <w:szCs w:val="15"/>
              </w:rPr>
              <w:t xml:space="preserve">The review format is sound, but junior staff describe feeling less comfortable contributing candidly compared with senior participants.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Review is thorough for mortality cases but less consistent for significant morbidity.</w:t>
            </w:r>
          </w:p>
          <w:p>
            <w:pPr>
              <w:spacing w:after="36" w:before="0"/>
            </w:pPr>
            <w:r>
              <w:rPr>
                <w:rFonts w:ascii="Arial" w:cs="Arial" w:eastAsia="Arial" w:hAnsi="Arial"/>
                <w:b w:val="false"/>
                <w:bCs w:val="false"/>
                <w:i/>
                <w:iCs/>
                <w:caps w:val="false"/>
                <w:color w:val="4b5563"/>
                <w:sz w:val="15"/>
                <w:szCs w:val="15"/>
              </w:rPr>
              <w:t xml:space="preserve">Deaths reliably trigger a full, structured review; serious but non-fatal complications receive less consistent review attention.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mortality and morbidity review occurs on a defined, regular schedule.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Strengthen the review process to examine system factors, not only present the clinical narrative.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Broaden participation to ensure genuine multidisciplinary engagement.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clear process for translating findings into specific, tracked practice changes.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a psychologically safe review environment; track resulting practice changes over time.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junior staff member how they experience participating in M&amp;M review.  </w:t>
            </w:r>
            <w:r>
              <w:rPr>
                <w:rFonts w:ascii="Arial" w:cs="Arial" w:eastAsia="Arial" w:hAnsi="Arial"/>
                <w:b w:val="false"/>
                <w:bCs w:val="false"/>
                <w:i w:val="false"/>
                <w:iCs w:val="false"/>
                <w:caps w:val="false"/>
                <w:color w:val="374151"/>
                <w:sz w:val="16"/>
                <w:szCs w:val="16"/>
              </w:rPr>
              <w:t xml:space="preserve">Their perspective often reveals whether the environment is genuinely open, or only feels safe for more senior participants.</w:t>
            </w:r>
          </w:p>
          <w:p>
            <w:pPr>
              <w:spacing w:after="16" w:before="0"/>
            </w:pPr>
            <w:r>
              <w:rPr>
                <w:rFonts w:ascii="Arial" w:cs="Arial" w:eastAsia="Arial" w:hAnsi="Arial"/>
                <w:b/>
                <w:bCs/>
                <w:i w:val="false"/>
                <w:iCs w:val="false"/>
                <w:caps w:val="false"/>
                <w:color w:val="b91c1c"/>
                <w:sz w:val="15"/>
                <w:szCs w:val="15"/>
              </w:rPr>
              <w:t xml:space="preserve">Ask for a specific practice change traced to a review finding.  </w:t>
            </w:r>
            <w:r>
              <w:rPr>
                <w:rFonts w:ascii="Arial" w:cs="Arial" w:eastAsia="Arial" w:hAnsi="Arial"/>
                <w:b w:val="false"/>
                <w:bCs w:val="false"/>
                <w:i w:val="false"/>
                <w:iCs w:val="false"/>
                <w:caps w:val="false"/>
                <w:color w:val="374151"/>
                <w:sz w:val="16"/>
                <w:szCs w:val="16"/>
              </w:rPr>
              <w:t xml:space="preserve">This distinguishes a functioning learning process from a meeting that discusses cases without producing action.</w:t>
            </w:r>
          </w:p>
          <w:p>
            <w:pPr>
              <w:spacing w:after="36" w:before="0"/>
            </w:pPr>
            <w:r>
              <w:rPr>
                <w:rFonts w:ascii="Arial" w:cs="Arial" w:eastAsia="Arial" w:hAnsi="Arial"/>
                <w:b/>
                <w:bCs/>
                <w:i w:val="false"/>
                <w:iCs w:val="false"/>
                <w:caps w:val="false"/>
                <w:color w:val="b91c1c"/>
                <w:sz w:val="15"/>
                <w:szCs w:val="15"/>
              </w:rPr>
              <w:t xml:space="preserve">Check whether significant morbidity, not only mortality, receives the same review rigour.  </w:t>
            </w:r>
            <w:r>
              <w:rPr>
                <w:rFonts w:ascii="Arial" w:cs="Arial" w:eastAsia="Arial" w:hAnsi="Arial"/>
                <w:b w:val="false"/>
                <w:bCs w:val="false"/>
                <w:i w:val="false"/>
                <w:iCs w:val="false"/>
                <w:caps w:val="false"/>
                <w:color w:val="374151"/>
                <w:sz w:val="16"/>
                <w:szCs w:val="16"/>
              </w:rPr>
              <w:t xml:space="preserve">Non-fatal but serious complications often receive less structured attention than deaths, despite carrying similar learning value.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pr0d9iomiafkx8xjgxh9o">
              <w:r>
                <w:rPr>
                  <w:rFonts w:ascii="Arial" w:cs="Arial" w:eastAsia="Arial" w:hAnsi="Arial"/>
                  <w:b/>
                  <w:bCs/>
                  <w:color w:val="c9a227"/>
                  <w:sz w:val="13"/>
                  <w:szCs w:val="13"/>
                  <w:u w:val="single"/>
                </w:rPr>
                <w:t xml:space="preserve">academy.gmj.ge/ch12-6-mortality-morbidity-review</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12.7</w:t>
            </w:r>
            <w:r>
              <w:rPr>
                <w:rFonts w:ascii="Arial" w:cs="Arial" w:eastAsia="Arial" w:hAnsi="Arial"/>
                <w:b w:val="false"/>
                <w:bCs w:val="false"/>
                <w:i/>
                <w:iCs/>
                <w:caps w:val="false"/>
                <w:color w:val="8fa8c8"/>
                <w:sz w:val="10"/>
                <w:szCs w:val="10"/>
              </w:rPr>
              <w:t xml:space="preserve">  ·  Level 2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Patient Safety Walkrounds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Patient Safety Walkrounds</w:t>
            </w:r>
          </w:p>
          <w:p>
            <w:pPr>
              <w:spacing w:after="36" w:before="0"/>
            </w:pPr>
            <w:r>
              <w:rPr>
                <w:rFonts w:ascii="Arial" w:cs="Arial" w:eastAsia="Arial" w:hAnsi="Arial"/>
                <w:b w:val="false"/>
                <w:bCs w:val="false"/>
                <w:i w:val="false"/>
                <w:iCs w:val="false"/>
                <w:caps w:val="false"/>
                <w:color w:val="4b5563"/>
                <w:sz w:val="15"/>
                <w:szCs w:val="15"/>
              </w:rPr>
              <w:t xml:space="preserve">Hospital leadership conducts regular patient safety walkrounds in clinical areas, engaging directly with frontline staff about safety concerns, with issues raised tracked to resolution.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senior leaders conduct patient safety walkrounds in clinical areas on a defined schedule?</w:t>
            </w:r>
          </w:p>
          <w:p>
            <w:pPr>
              <w:spacing w:after="7" w:before="0"/>
            </w:pPr>
            <w:r>
              <w:rPr>
                <w:rFonts w:ascii="Arial" w:cs="Arial" w:eastAsia="Arial" w:hAnsi="Arial"/>
                <w:b w:val="false"/>
                <w:bCs w:val="false"/>
                <w:i/>
                <w:iCs/>
                <w:caps w:val="false"/>
                <w:color w:val="4b5563"/>
                <w:sz w:val="15"/>
                <w:szCs w:val="15"/>
              </w:rPr>
              <w:t xml:space="preserve">Check for genuine senior leadership involvement, not delegated entirely to middle management.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Walkround schedule and participation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walkrounds involve direct conversation with frontline staff about safety concerns?</w:t>
            </w:r>
          </w:p>
          <w:p>
            <w:pPr>
              <w:spacing w:after="36" w:before="0"/>
            </w:pPr>
            <w:r>
              <w:rPr>
                <w:rFonts w:ascii="Arial" w:cs="Arial" w:eastAsia="Arial" w:hAnsi="Arial"/>
                <w:b w:val="false"/>
                <w:bCs w:val="false"/>
                <w:i/>
                <w:iCs/>
                <w:caps w:val="false"/>
                <w:color w:val="4b5563"/>
                <w:sz w:val="15"/>
                <w:szCs w:val="15"/>
              </w:rPr>
              <w:t xml:space="preserve">Check the format is genuinely conversational, not a scripted inspection.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issues raised during walkrounds documented?</w:t>
            </w:r>
          </w:p>
          <w:p>
            <w:pPr>
              <w:spacing w:after="7" w:before="0"/>
            </w:pPr>
            <w:r>
              <w:rPr>
                <w:rFonts w:ascii="Arial" w:cs="Arial" w:eastAsia="Arial" w:hAnsi="Arial"/>
                <w:b w:val="false"/>
                <w:bCs w:val="false"/>
                <w:i/>
                <w:iCs/>
                <w:caps w:val="false"/>
                <w:color w:val="4b5563"/>
                <w:sz w:val="15"/>
                <w:szCs w:val="15"/>
              </w:rPr>
              <w:t xml:space="preserve">Check for a record of what was raised during a sample of walkrounds.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Walkround issue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documented issues tracked to resolution, with feedback to the staff who raised them?</w:t>
            </w:r>
          </w:p>
          <w:p>
            <w:pPr>
              <w:spacing w:after="7" w:before="0"/>
            </w:pPr>
            <w:r>
              <w:rPr>
                <w:rFonts w:ascii="Arial" w:cs="Arial" w:eastAsia="Arial" w:hAnsi="Arial"/>
                <w:b w:val="false"/>
                <w:bCs w:val="false"/>
                <w:i/>
                <w:iCs/>
                <w:caps w:val="false"/>
                <w:color w:val="4b5563"/>
                <w:sz w:val="15"/>
                <w:szCs w:val="15"/>
              </w:rPr>
              <w:t xml:space="preserve">Check resolution status and evidence of feedback.</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Resolution and feedback evidence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walkrounds reach all clinical areas over a reasonable cycle, not concentrating on the same few areas?</w:t>
            </w:r>
          </w:p>
          <w:p>
            <w:pPr>
              <w:spacing w:after="36" w:before="0"/>
            </w:pPr>
            <w:r>
              <w:rPr>
                <w:rFonts w:ascii="Arial" w:cs="Arial" w:eastAsia="Arial" w:hAnsi="Arial"/>
                <w:b w:val="false"/>
                <w:bCs w:val="false"/>
                <w:i/>
                <w:iCs/>
                <w:caps w:val="false"/>
                <w:color w:val="4b5563"/>
                <w:sz w:val="15"/>
                <w:szCs w:val="15"/>
              </w:rPr>
              <w:t xml:space="preserve">Check walkround coverage across departments over time.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Leadership participation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walkround records for genuine senior leadership involvement.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Conversation format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or observes whether walkrounds involve genuine conversation, not a scripted inspection format.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Issue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issues raised during a sample of walkrounds.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Resolution and feedback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resolution status and evidence of feedback to staff who raised issues.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4bpo_m1pwcxsjrgxqhp8">
              <w:r>
                <w:rPr>
                  <w:rFonts w:ascii="Arial" w:cs="Arial" w:eastAsia="Arial" w:hAnsi="Arial"/>
                  <w:b/>
                  <w:bCs/>
                  <w:color w:val="c9a227"/>
                  <w:sz w:val="13"/>
                  <w:szCs w:val="13"/>
                  <w:u w:val="single"/>
                </w:rPr>
                <w:t xml:space="preserve">Frankel A, Graydon-Baker E, Neppl C, Simmonds T, Gustafson M, Gandhi TK. Patient safety leadership WalkRounds. Jt Comm J Qual Saf. 2003;29(1):16-26.</w:t>
              </w:r>
            </w:hyperlink>
            <w:r>
              <w:rPr>
                <w:rFonts w:ascii="Arial" w:cs="Arial" w:eastAsia="Arial" w:hAnsi="Arial"/>
                <w:b/>
                <w:bCs/>
                <w:i w:val="false"/>
                <w:iCs w:val="false"/>
                <w:caps w:val="false"/>
                <w:color w:val="6b778c"/>
                <w:sz w:val="13"/>
                <w:szCs w:val="13"/>
              </w:rPr>
              <w:t xml:space="preserve">   2. </w:t>
            </w:r>
            <w:hyperlink w:history="1" r:id="rIdycw8qfhwc-zvayl1fnlzv">
              <w:r>
                <w:rPr>
                  <w:rFonts w:ascii="Arial" w:cs="Arial" w:eastAsia="Arial" w:hAnsi="Arial"/>
                  <w:b/>
                  <w:bCs/>
                  <w:color w:val="c9a227"/>
                  <w:sz w:val="13"/>
                  <w:szCs w:val="13"/>
                  <w:u w:val="single"/>
                </w:rPr>
                <w:t xml:space="preserve">Institute for Healthcare Improvement. Patient safety leadership walkrounds: how-to guide. Boston: IHI; 2004.</w:t>
              </w:r>
            </w:hyperlink>
            <w:r>
              <w:rPr>
                <w:rFonts w:ascii="Arial" w:cs="Arial" w:eastAsia="Arial" w:hAnsi="Arial"/>
                <w:b/>
                <w:bCs/>
                <w:i w:val="false"/>
                <w:iCs w:val="false"/>
                <w:caps w:val="false"/>
                <w:color w:val="6b778c"/>
                <w:sz w:val="13"/>
                <w:szCs w:val="13"/>
              </w:rPr>
              <w:t xml:space="preserve">   3. </w:t>
            </w:r>
            <w:hyperlink w:history="1" r:id="rIdlckouvkwtdpknctvsd1hi">
              <w:r>
                <w:rPr>
                  <w:rFonts w:ascii="Arial" w:cs="Arial" w:eastAsia="Arial" w:hAnsi="Arial"/>
                  <w:b/>
                  <w:bCs/>
                  <w:color w:val="c9a227"/>
                  <w:sz w:val="13"/>
                  <w:szCs w:val="13"/>
                  <w:u w:val="single"/>
                </w:rPr>
                <w:t xml:space="preserve">Frankel A, Grillo SP, Pittman M, et al. Revealing and resolving patient safety defects: the impact of leadership WalkRounds on frontline caregiver assessments of patient safety. Health Serv Res. 2008;43(6):2050-2066.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12.7</w:t>
            </w:r>
            <w:r>
              <w:rPr>
                <w:rFonts w:ascii="Arial" w:cs="Arial" w:eastAsia="Arial" w:hAnsi="Arial"/>
                <w:b w:val="false"/>
                <w:bCs w:val="false"/>
                <w:i/>
                <w:iCs/>
                <w:caps w:val="false"/>
                <w:color w:val="8fa8c8"/>
                <w:sz w:val="10"/>
                <w:szCs w:val="10"/>
              </w:rPr>
              <w:t xml:space="preserve">  ·  Level 2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Senior leaders are often physically and organisationally distant from the daily realities frontline staff navigate, and safety concerns that seem obvious on the ward can be entirely invisible from a leadership office unless leaders deliberately go and ask. Walkrounds that involve genuine conversation, with issues actually tracked to resolution and fed back to the staff who raised them, close that distance and demonstrate — through action, not just statement — that leadership takes frontline safety concerns seriously.</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Frankel et al. 2008 — hospitals conducting structured leadership walkrounds with genuine issue tracking and feedback showed measurable improvement in frontline staff perception of patient safety culture compared with hospitals without this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Senior leaders genuinely participate in walkrounds on a defined, regular schedule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Walkrounds involve real conversation with frontline staff, not a scripted inspection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Issues raised are documented for every walkround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Documented issues are tracked to resolution, with feedback to the staff who raised them</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Walkrounds reach all clinical areas over a reasonable cycle, not concentrated on a few</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Walkrounds are delegated entirely to middle management, with no genuine senior leadership involvement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Walkrounds function as a scripted inspection rather than genuine conversation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Issues raised are not 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Documented issues are not tracked to resolution or fed back to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Walkrounds concentrate on the same few, easily accessible areas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Senior leaders participate but issues raised rarely receive visible follow-up.</w:t>
            </w:r>
          </w:p>
          <w:p>
            <w:pPr>
              <w:spacing w:after="20" w:before="0"/>
            </w:pPr>
            <w:r>
              <w:rPr>
                <w:rFonts w:ascii="Arial" w:cs="Arial" w:eastAsia="Arial" w:hAnsi="Arial"/>
                <w:b w:val="false"/>
                <w:bCs w:val="false"/>
                <w:i/>
                <w:iCs/>
                <w:caps w:val="false"/>
                <w:color w:val="4b5563"/>
                <w:sz w:val="15"/>
                <w:szCs w:val="15"/>
              </w:rPr>
              <w:t xml:space="preserve">Walkrounds happen with genuine leadership presence, but staff describe raising the same concerns repeatedly without seeing them addressed.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Walkrounds are conversational but coverage is uneven across departments.</w:t>
            </w:r>
          </w:p>
          <w:p>
            <w:pPr>
              <w:spacing w:after="20" w:before="0"/>
            </w:pPr>
            <w:r>
              <w:rPr>
                <w:rFonts w:ascii="Arial" w:cs="Arial" w:eastAsia="Arial" w:hAnsi="Arial"/>
                <w:b w:val="false"/>
                <w:bCs w:val="false"/>
                <w:i/>
                <w:iCs/>
                <w:caps w:val="false"/>
                <w:color w:val="4b5563"/>
                <w:sz w:val="15"/>
                <w:szCs w:val="15"/>
              </w:rPr>
              <w:t xml:space="preserve">The format genuinely engages frontline staff where it occurs, but some clinical areas are visited far more often than others.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Issues are documented but feedback to the staff who raised them is inconsistent.</w:t>
            </w:r>
          </w:p>
          <w:p>
            <w:pPr>
              <w:spacing w:after="36" w:before="0"/>
            </w:pPr>
            <w:r>
              <w:rPr>
                <w:rFonts w:ascii="Arial" w:cs="Arial" w:eastAsia="Arial" w:hAnsi="Arial"/>
                <w:b w:val="false"/>
                <w:bCs w:val="false"/>
                <w:i/>
                <w:iCs/>
                <w:caps w:val="false"/>
                <w:color w:val="4b5563"/>
                <w:sz w:val="15"/>
                <w:szCs w:val="15"/>
              </w:rPr>
              <w:t xml:space="preserve">A log tracks what was raised during walkrounds, but staff are not always told what happened as a result.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senior leaders genuinely participate in walkrounds, not delegated entirely to middle management.</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Ensure the walkround format encourages real conversation, not a scripted inspection.</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strengthen documentation of issues raised during walkrounds.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clear process for tracking issues to resolution and feeding back to staff.</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Ensure walkround coverage reaches all clinical areas over a reasonable cycle.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frontline staff whether an issue they raised during a walkround was ever addressed.  </w:t>
            </w:r>
            <w:r>
              <w:rPr>
                <w:rFonts w:ascii="Arial" w:cs="Arial" w:eastAsia="Arial" w:hAnsi="Arial"/>
                <w:b w:val="false"/>
                <w:bCs w:val="false"/>
                <w:i w:val="false"/>
                <w:iCs w:val="false"/>
                <w:caps w:val="false"/>
                <w:color w:val="374151"/>
                <w:sz w:val="16"/>
                <w:szCs w:val="16"/>
              </w:rPr>
              <w:t xml:space="preserve">This is the clearest test of whether walkrounds produce real action or are a symbolic leadership gesture.</w:t>
            </w:r>
          </w:p>
          <w:p>
            <w:pPr>
              <w:spacing w:after="16" w:before="0"/>
            </w:pPr>
            <w:r>
              <w:rPr>
                <w:rFonts w:ascii="Arial" w:cs="Arial" w:eastAsia="Arial" w:hAnsi="Arial"/>
                <w:b/>
                <w:bCs/>
                <w:i w:val="false"/>
                <w:iCs w:val="false"/>
                <w:caps w:val="false"/>
                <w:color w:val="b91c1c"/>
                <w:sz w:val="15"/>
                <w:szCs w:val="15"/>
              </w:rPr>
              <w:t xml:space="preserve">Check the walkround schedule for coverage across all departments, not just the most visible ones.  </w:t>
            </w:r>
            <w:r>
              <w:rPr>
                <w:rFonts w:ascii="Arial" w:cs="Arial" w:eastAsia="Arial" w:hAnsi="Arial"/>
                <w:b w:val="false"/>
                <w:bCs w:val="false"/>
                <w:i w:val="false"/>
                <w:iCs w:val="false"/>
                <w:caps w:val="false"/>
                <w:color w:val="374151"/>
                <w:sz w:val="16"/>
                <w:szCs w:val="16"/>
              </w:rPr>
              <w:t xml:space="preserve">Some areas are naturally easier and more comfortable to visit; genuine coverage requires deliberate attention to less frequently visited areas.</w:t>
            </w:r>
          </w:p>
          <w:p>
            <w:pPr>
              <w:spacing w:after="36" w:before="0"/>
            </w:pPr>
            <w:r>
              <w:rPr>
                <w:rFonts w:ascii="Arial" w:cs="Arial" w:eastAsia="Arial" w:hAnsi="Arial"/>
                <w:b/>
                <w:bCs/>
                <w:i w:val="false"/>
                <w:iCs w:val="false"/>
                <w:caps w:val="false"/>
                <w:color w:val="b91c1c"/>
                <w:sz w:val="15"/>
                <w:szCs w:val="15"/>
              </w:rPr>
              <w:t xml:space="preserve">Ask a staff member whether the walkround felt like a genuine conversation or an inspection.  </w:t>
            </w:r>
            <w:r>
              <w:rPr>
                <w:rFonts w:ascii="Arial" w:cs="Arial" w:eastAsia="Arial" w:hAnsi="Arial"/>
                <w:b w:val="false"/>
                <w:bCs w:val="false"/>
                <w:i w:val="false"/>
                <w:iCs w:val="false"/>
                <w:caps w:val="false"/>
                <w:color w:val="374151"/>
                <w:sz w:val="16"/>
                <w:szCs w:val="16"/>
              </w:rPr>
              <w:t xml:space="preserve">Their honest impression reveals whether the format achieves its intended purpose of open engagement.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qsaeelgcoqabyhabsedem">
              <w:r>
                <w:rPr>
                  <w:rFonts w:ascii="Arial" w:cs="Arial" w:eastAsia="Arial" w:hAnsi="Arial"/>
                  <w:b/>
                  <w:bCs/>
                  <w:color w:val="c9a227"/>
                  <w:sz w:val="13"/>
                  <w:szCs w:val="13"/>
                  <w:u w:val="single"/>
                </w:rPr>
                <w:t xml:space="preserve">academy.gmj.ge/ch12-7-patient-safety-walkrounds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12.8</w:t>
            </w:r>
            <w:r>
              <w:rPr>
                <w:rFonts w:ascii="Arial" w:cs="Arial" w:eastAsia="Arial" w:hAnsi="Arial"/>
                <w:b w:val="false"/>
                <w:bCs w:val="false"/>
                <w:i/>
                <w:iCs/>
                <w:caps w:val="false"/>
                <w:color w:val="8fa8c8"/>
                <w:sz w:val="10"/>
                <w:szCs w:val="10"/>
              </w:rPr>
              <w:t xml:space="preserve">  ·  Level 2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Safety Huddles and Briefings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Safety Huddles and Briefings</w:t>
            </w:r>
          </w:p>
          <w:p>
            <w:pPr>
              <w:spacing w:after="36" w:before="0"/>
            </w:pPr>
            <w:r>
              <w:rPr>
                <w:rFonts w:ascii="Arial" w:cs="Arial" w:eastAsia="Arial" w:hAnsi="Arial"/>
                <w:b w:val="false"/>
                <w:bCs w:val="false"/>
                <w:i w:val="false"/>
                <w:iCs w:val="false"/>
                <w:caps w:val="false"/>
                <w:color w:val="4b5563"/>
                <w:sz w:val="15"/>
                <w:szCs w:val="15"/>
              </w:rPr>
              <w:t xml:space="preserve">Clinical teams conduct brief, structured safety huddles at a defined frequency, surfacing immediate risks and coordinating a same-shift response.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structured safety huddles conducted at a defined frequency, such as at the start of every shift?</w:t>
            </w:r>
          </w:p>
          <w:p>
            <w:pPr>
              <w:spacing w:after="7" w:before="0"/>
            </w:pPr>
            <w:r>
              <w:rPr>
                <w:rFonts w:ascii="Arial" w:cs="Arial" w:eastAsia="Arial" w:hAnsi="Arial"/>
                <w:b w:val="false"/>
                <w:bCs w:val="false"/>
                <w:i/>
                <w:iCs/>
                <w:caps w:val="false"/>
                <w:color w:val="4b5563"/>
                <w:sz w:val="15"/>
                <w:szCs w:val="15"/>
              </w:rPr>
              <w:t xml:space="preserve">Check for a consistent schedule, not occasional or informal gathering.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Huddle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huddles follow a structured format covering specific safety-relevant content?</w:t>
            </w:r>
          </w:p>
          <w:p>
            <w:pPr>
              <w:spacing w:after="7" w:before="0"/>
            </w:pPr>
            <w:r>
              <w:rPr>
                <w:rFonts w:ascii="Arial" w:cs="Arial" w:eastAsia="Arial" w:hAnsi="Arial"/>
                <w:b w:val="false"/>
                <w:bCs w:val="false"/>
                <w:i/>
                <w:iCs/>
                <w:caps w:val="false"/>
                <w:color w:val="4b5563"/>
                <w:sz w:val="15"/>
                <w:szCs w:val="15"/>
              </w:rPr>
              <w:t xml:space="preserve">Check the format addresses defined content, such as high-risk patients or recent incidents, not open-ended chat.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Huddle format/template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huddles result in same-shift action when a risk is identified, not only discussion?</w:t>
            </w:r>
          </w:p>
          <w:p>
            <w:pPr>
              <w:spacing w:after="36" w:before="0"/>
            </w:pPr>
            <w:r>
              <w:rPr>
                <w:rFonts w:ascii="Arial" w:cs="Arial" w:eastAsia="Arial" w:hAnsi="Arial"/>
                <w:b w:val="false"/>
                <w:bCs w:val="false"/>
                <w:i/>
                <w:iCs/>
                <w:caps w:val="false"/>
                <w:color w:val="4b5563"/>
                <w:sz w:val="15"/>
                <w:szCs w:val="15"/>
              </w:rPr>
              <w:t xml:space="preserve">Ask for a specific example of a huddle identifying a risk that led to an immediate action.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huddle attendance inclusive of the full team present, not limited to senior staff?</w:t>
            </w:r>
          </w:p>
          <w:p>
            <w:pPr>
              <w:spacing w:after="36" w:before="0"/>
            </w:pPr>
            <w:r>
              <w:rPr>
                <w:rFonts w:ascii="Arial" w:cs="Arial" w:eastAsia="Arial" w:hAnsi="Arial"/>
                <w:b w:val="false"/>
                <w:bCs w:val="false"/>
                <w:i/>
                <w:iCs/>
                <w:caps w:val="false"/>
                <w:color w:val="4b5563"/>
                <w:sz w:val="15"/>
                <w:szCs w:val="15"/>
              </w:rPr>
              <w:t xml:space="preserve">Check attendance expectations and practice.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huddles evaluated periodically for effectiveness and adjusted as needed?</w:t>
            </w:r>
          </w:p>
          <w:p>
            <w:pPr>
              <w:spacing w:after="36" w:before="0"/>
            </w:pPr>
            <w:r>
              <w:rPr>
                <w:rFonts w:ascii="Arial" w:cs="Arial" w:eastAsia="Arial" w:hAnsi="Arial"/>
                <w:b w:val="false"/>
                <w:bCs w:val="false"/>
                <w:i/>
                <w:iCs/>
                <w:caps w:val="false"/>
                <w:color w:val="4b5563"/>
                <w:sz w:val="15"/>
                <w:szCs w:val="15"/>
              </w:rPr>
              <w:t xml:space="preserve">Check for evidence the huddle format has been reviewed and refined over time.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Huddle schedule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huddle schedule for a consistent, defined frequency.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Format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or observes the huddle format for structured, specific safety content.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Same-shift action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 huddle identifying a risk that led to immediate same-shift action.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Attendance inclusiveness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attendance practice for inclusion of the full team present, not only senior staff.</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tf4vsda7jusokfg3e0fyl">
              <w:r>
                <w:rPr>
                  <w:rFonts w:ascii="Arial" w:cs="Arial" w:eastAsia="Arial" w:hAnsi="Arial"/>
                  <w:b/>
                  <w:bCs/>
                  <w:color w:val="c9a227"/>
                  <w:sz w:val="13"/>
                  <w:szCs w:val="13"/>
                  <w:u w:val="single"/>
                </w:rPr>
                <w:t xml:space="preserve">Goldenhar LM, Brady PW, Sutcliffe KM, Muething SE. Huddling for high reliability and situation awareness. BMJ Qual Saf. 2013;22(11):899-906.</w:t>
              </w:r>
            </w:hyperlink>
            <w:r>
              <w:rPr>
                <w:rFonts w:ascii="Arial" w:cs="Arial" w:eastAsia="Arial" w:hAnsi="Arial"/>
                <w:b/>
                <w:bCs/>
                <w:i w:val="false"/>
                <w:iCs w:val="false"/>
                <w:caps w:val="false"/>
                <w:color w:val="6b778c"/>
                <w:sz w:val="13"/>
                <w:szCs w:val="13"/>
              </w:rPr>
              <w:t xml:space="preserve">   2. </w:t>
            </w:r>
            <w:hyperlink w:history="1" r:id="rIdmmelu-wcdpziwqydwqfmi">
              <w:r>
                <w:rPr>
                  <w:rFonts w:ascii="Arial" w:cs="Arial" w:eastAsia="Arial" w:hAnsi="Arial"/>
                  <w:b/>
                  <w:bCs/>
                  <w:color w:val="c9a227"/>
                  <w:sz w:val="13"/>
                  <w:szCs w:val="13"/>
                  <w:u w:val="single"/>
                </w:rPr>
                <w:t xml:space="preserve">Institute for Healthcare Improvement. Huddles: a practical guide. Boston: IHI; 2015.</w:t>
              </w:r>
            </w:hyperlink>
            <w:r>
              <w:rPr>
                <w:rFonts w:ascii="Arial" w:cs="Arial" w:eastAsia="Arial" w:hAnsi="Arial"/>
                <w:b/>
                <w:bCs/>
                <w:i w:val="false"/>
                <w:iCs w:val="false"/>
                <w:caps w:val="false"/>
                <w:color w:val="6b778c"/>
                <w:sz w:val="13"/>
                <w:szCs w:val="13"/>
              </w:rPr>
              <w:t xml:space="preserve">   3. </w:t>
            </w:r>
            <w:hyperlink w:history="1" r:id="rIdei8fvpnivezgnz1hfw4rf">
              <w:r>
                <w:rPr>
                  <w:rFonts w:ascii="Arial" w:cs="Arial" w:eastAsia="Arial" w:hAnsi="Arial"/>
                  <w:b/>
                  <w:bCs/>
                  <w:color w:val="c9a227"/>
                  <w:sz w:val="13"/>
                  <w:szCs w:val="13"/>
                  <w:u w:val="single"/>
                </w:rPr>
                <w:t xml:space="preserve">Provost SM, Lanham HJ, Leykum LK, McDaniel RR, Pugh J. Health care huddles: managing complexity to achieve high reliability. Health Care Manage Rev. 2015;40(1):2-12.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12.8</w:t>
            </w:r>
            <w:r>
              <w:rPr>
                <w:rFonts w:ascii="Arial" w:cs="Arial" w:eastAsia="Arial" w:hAnsi="Arial"/>
                <w:b w:val="false"/>
                <w:bCs w:val="false"/>
                <w:i/>
                <w:iCs/>
                <w:caps w:val="false"/>
                <w:color w:val="8fa8c8"/>
                <w:sz w:val="10"/>
                <w:szCs w:val="10"/>
              </w:rPr>
              <w:t xml:space="preserve">  ·  Level 2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safety huddle works because it is brief enough to actually happen consistently and structured enough to reliably surface what matters most for the shift ahead — a high-risk patient, a staffing gap, a recent near-miss relevant to the team’s work today — turning individual awareness scattered across different team members into shared situational awareness the whole team can act on together. A huddle that becomes open-ended discussion, or that surfaces risks without any resulting action, loses the specific value that makes this brief format worth the time it takes.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Goldenhar et al. 2013 — structured huddles are associated with improved situational awareness and earlier identification of safety risks in high-reliability healthcare settings, precisely because their brevity and structure make consistent daily use practical.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Structured huddles occur at a defined, consistent frequency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Huddles follow a structured format covering specific safety-relevant content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Identified risks result in same-shift action, not only discussion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Huddle attendance is inclusive of the full team present, not limited to senior staff</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Huddle effectiveness is periodically evaluated and the format adjusted as needed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Huddles occur inconsistently or informally, with no defined frequency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Huddles are unstructured, open-ended conversation rather than focused on specific content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Identified risks are discussed but rarely lead to any same-shift action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Huddle attendance is effectively limited to senior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Huddle format has never been evaluated or adjusted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Huddles happen consistently but tend to drift into general discussion.</w:t>
            </w:r>
          </w:p>
          <w:p>
            <w:pPr>
              <w:spacing w:after="20" w:before="0"/>
            </w:pPr>
            <w:r>
              <w:rPr>
                <w:rFonts w:ascii="Arial" w:cs="Arial" w:eastAsia="Arial" w:hAnsi="Arial"/>
                <w:b w:val="false"/>
                <w:bCs w:val="false"/>
                <w:i/>
                <w:iCs/>
                <w:caps w:val="false"/>
                <w:color w:val="4b5563"/>
                <w:sz w:val="15"/>
                <w:szCs w:val="15"/>
              </w:rPr>
              <w:t xml:space="preserve">The schedule is well maintained, but without a strong structured format, huddles sometimes lose focus and run long without covering the intended content.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Huddles are well structured but staffing pressure sometimes causes them to be skipped.</w:t>
            </w:r>
          </w:p>
          <w:p>
            <w:pPr>
              <w:spacing w:after="20" w:before="0"/>
            </w:pPr>
            <w:r>
              <w:rPr>
                <w:rFonts w:ascii="Arial" w:cs="Arial" w:eastAsia="Arial" w:hAnsi="Arial"/>
                <w:b w:val="false"/>
                <w:bCs w:val="false"/>
                <w:i/>
                <w:iCs/>
                <w:caps w:val="false"/>
                <w:color w:val="4b5563"/>
                <w:sz w:val="15"/>
                <w:szCs w:val="15"/>
              </w:rPr>
              <w:t xml:space="preserve">The format is sound when it happens, but under significant time pressure, huddles are occasionally dropped rather than shortened and preserved.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Senior staff engage fully; junior staff attend but participate less actively.</w:t>
            </w:r>
          </w:p>
          <w:p>
            <w:pPr>
              <w:spacing w:after="36" w:before="0"/>
            </w:pPr>
            <w:r>
              <w:rPr>
                <w:rFonts w:ascii="Arial" w:cs="Arial" w:eastAsia="Arial" w:hAnsi="Arial"/>
                <w:b w:val="false"/>
                <w:bCs w:val="false"/>
                <w:i/>
                <w:iCs/>
                <w:caps w:val="false"/>
                <w:color w:val="4b5563"/>
                <w:sz w:val="15"/>
                <w:szCs w:val="15"/>
              </w:rPr>
              <w:t xml:space="preserve">All team members are present, but junior staff describe feeling less comfortable raising a concern during the huddle compared with more senior colleagues.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establish a defined, consistent huddle frequency.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Introduce or strengthen a structured format covering specific safety-relevant content.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Reinforce that identified risks should result in same-shift action, not discussion alone.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attendance genuinely includes the full team present, encouraging junior staff participation.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Evaluate huddle effectiveness periodically and adjust the format as needed.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a huddle directly, if possible.  </w:t>
            </w:r>
            <w:r>
              <w:rPr>
                <w:rFonts w:ascii="Arial" w:cs="Arial" w:eastAsia="Arial" w:hAnsi="Arial"/>
                <w:b w:val="false"/>
                <w:bCs w:val="false"/>
                <w:i w:val="false"/>
                <w:iCs w:val="false"/>
                <w:caps w:val="false"/>
                <w:color w:val="374151"/>
                <w:sz w:val="16"/>
                <w:szCs w:val="16"/>
              </w:rPr>
              <w:t xml:space="preserve">Watching whether the huddle stays focused and structured, or drifts into open discussion, is more reliable than reviewing a template alone.</w:t>
            </w:r>
          </w:p>
          <w:p>
            <w:pPr>
              <w:spacing w:after="16" w:before="0"/>
            </w:pPr>
            <w:r>
              <w:rPr>
                <w:rFonts w:ascii="Arial" w:cs="Arial" w:eastAsia="Arial" w:hAnsi="Arial"/>
                <w:b/>
                <w:bCs/>
                <w:i w:val="false"/>
                <w:iCs w:val="false"/>
                <w:caps w:val="false"/>
                <w:color w:val="b91c1c"/>
                <w:sz w:val="15"/>
                <w:szCs w:val="15"/>
              </w:rPr>
              <w:t xml:space="preserve">Ask for a specific example of same-shift action resulting from a huddle.  </w:t>
            </w:r>
            <w:r>
              <w:rPr>
                <w:rFonts w:ascii="Arial" w:cs="Arial" w:eastAsia="Arial" w:hAnsi="Arial"/>
                <w:b w:val="false"/>
                <w:bCs w:val="false"/>
                <w:i w:val="false"/>
                <w:iCs w:val="false"/>
                <w:caps w:val="false"/>
                <w:color w:val="374151"/>
                <w:sz w:val="16"/>
                <w:szCs w:val="16"/>
              </w:rPr>
              <w:t xml:space="preserve">This is the clearest evidence huddles produce real coordination, not just a routine gathering.</w:t>
            </w:r>
          </w:p>
          <w:p>
            <w:pPr>
              <w:spacing w:after="36" w:before="0"/>
            </w:pPr>
            <w:r>
              <w:rPr>
                <w:rFonts w:ascii="Arial" w:cs="Arial" w:eastAsia="Arial" w:hAnsi="Arial"/>
                <w:b/>
                <w:bCs/>
                <w:i w:val="false"/>
                <w:iCs w:val="false"/>
                <w:caps w:val="false"/>
                <w:color w:val="b91c1c"/>
                <w:sz w:val="15"/>
                <w:szCs w:val="15"/>
              </w:rPr>
              <w:t xml:space="preserve">Ask a junior staff member whether they feel comfortable raising something during the huddle.  </w:t>
            </w:r>
            <w:r>
              <w:rPr>
                <w:rFonts w:ascii="Arial" w:cs="Arial" w:eastAsia="Arial" w:hAnsi="Arial"/>
                <w:b w:val="false"/>
                <w:bCs w:val="false"/>
                <w:i w:val="false"/>
                <w:iCs w:val="false"/>
                <w:caps w:val="false"/>
                <w:color w:val="374151"/>
                <w:sz w:val="16"/>
                <w:szCs w:val="16"/>
              </w:rPr>
              <w:t xml:space="preserve">This reveals whether the format is genuinely inclusive or dominated by more senior voices.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vqkqojocpiqhj6y743xoa">
              <w:r>
                <w:rPr>
                  <w:rFonts w:ascii="Arial" w:cs="Arial" w:eastAsia="Arial" w:hAnsi="Arial"/>
                  <w:b/>
                  <w:bCs/>
                  <w:color w:val="c9a227"/>
                  <w:sz w:val="13"/>
                  <w:szCs w:val="13"/>
                  <w:u w:val="single"/>
                </w:rPr>
                <w:t xml:space="preserve">academy.gmj.ge/ch12-8-safety-huddles-briefings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12.9</w:t>
            </w:r>
            <w:r>
              <w:rPr>
                <w:rFonts w:ascii="Arial" w:cs="Arial" w:eastAsia="Arial" w:hAnsi="Arial"/>
                <w:b w:val="false"/>
                <w:bCs w:val="false"/>
                <w:i/>
                <w:iCs/>
                <w:caps w:val="false"/>
                <w:color w:val="8fa8c8"/>
                <w:sz w:val="10"/>
                <w:szCs w:val="10"/>
              </w:rPr>
              <w:t xml:space="preserve">  ·  Level 3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External Accreditation and Peer Review</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External Accreditation and Peer Review</w:t>
            </w:r>
          </w:p>
          <w:p>
            <w:pPr>
              <w:spacing w:after="36" w:before="0"/>
            </w:pPr>
            <w:r>
              <w:rPr>
                <w:rFonts w:ascii="Arial" w:cs="Arial" w:eastAsia="Arial" w:hAnsi="Arial"/>
                <w:b w:val="false"/>
                <w:bCs w:val="false"/>
                <w:i w:val="false"/>
                <w:iCs w:val="false"/>
                <w:caps w:val="false"/>
                <w:color w:val="4b5563"/>
                <w:sz w:val="15"/>
                <w:szCs w:val="15"/>
              </w:rPr>
              <w:t xml:space="preserve">The hospital participates in external accreditation or structured peer review, with findings integrated into its internal quality improvement programme.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hospital participate in an external accreditation or structured peer review process?</w:t>
            </w:r>
          </w:p>
          <w:p>
            <w:pPr>
              <w:spacing w:after="7" w:before="0"/>
            </w:pPr>
            <w:r>
              <w:rPr>
                <w:rFonts w:ascii="Arial" w:cs="Arial" w:eastAsia="Arial" w:hAnsi="Arial"/>
                <w:b w:val="false"/>
                <w:bCs w:val="false"/>
                <w:i/>
                <w:iCs/>
                <w:caps w:val="false"/>
                <w:color w:val="4b5563"/>
                <w:sz w:val="15"/>
                <w:szCs w:val="15"/>
              </w:rPr>
              <w:t xml:space="preserve">Check for genuine external participation, not only internal self-assessment.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External accreditation/peer review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external review findings formally reviewed by hospital leadership?</w:t>
            </w:r>
          </w:p>
          <w:p>
            <w:pPr>
              <w:spacing w:after="7" w:before="0"/>
            </w:pPr>
            <w:r>
              <w:rPr>
                <w:rFonts w:ascii="Arial" w:cs="Arial" w:eastAsia="Arial" w:hAnsi="Arial"/>
                <w:b w:val="false"/>
                <w:bCs w:val="false"/>
                <w:i/>
                <w:iCs/>
                <w:caps w:val="false"/>
                <w:color w:val="4b5563"/>
                <w:sz w:val="15"/>
                <w:szCs w:val="15"/>
              </w:rPr>
              <w:t xml:space="preserve">Check for a specific review process following external feedback.</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Leadership review evidence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external findings integrated into the internal quality improvement programme described in Standard 1.8?</w:t>
            </w:r>
          </w:p>
          <w:p>
            <w:pPr>
              <w:spacing w:after="36" w:before="0"/>
            </w:pPr>
            <w:r>
              <w:rPr>
                <w:rFonts w:ascii="Arial" w:cs="Arial" w:eastAsia="Arial" w:hAnsi="Arial"/>
                <w:b w:val="false"/>
                <w:bCs w:val="false"/>
                <w:i/>
                <w:iCs/>
                <w:caps w:val="false"/>
                <w:color w:val="4b5563"/>
                <w:sz w:val="15"/>
                <w:szCs w:val="15"/>
              </w:rPr>
              <w:t xml:space="preserve">Check for a specific, traceable connection.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evidence of a specific practice change resulting from external review findings?</w:t>
            </w:r>
          </w:p>
          <w:p>
            <w:pPr>
              <w:spacing w:after="7" w:before="0"/>
            </w:pPr>
            <w:r>
              <w:rPr>
                <w:rFonts w:ascii="Arial" w:cs="Arial" w:eastAsia="Arial" w:hAnsi="Arial"/>
                <w:b w:val="false"/>
                <w:bCs w:val="false"/>
                <w:i/>
                <w:iCs/>
                <w:caps w:val="false"/>
                <w:color w:val="4b5563"/>
                <w:sz w:val="15"/>
                <w:szCs w:val="15"/>
              </w:rPr>
              <w:t xml:space="preserve">Ask for a concrete example.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resulting change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external review participation maintained on a continuing basis, not a one-time exercise?</w:t>
            </w:r>
          </w:p>
          <w:p>
            <w:pPr>
              <w:spacing w:after="36" w:before="0"/>
            </w:pPr>
            <w:r>
              <w:rPr>
                <w:rFonts w:ascii="Arial" w:cs="Arial" w:eastAsia="Arial" w:hAnsi="Arial"/>
                <w:b w:val="false"/>
                <w:bCs w:val="false"/>
                <w:i/>
                <w:iCs/>
                <w:caps w:val="false"/>
                <w:color w:val="4b5563"/>
                <w:sz w:val="15"/>
                <w:szCs w:val="15"/>
              </w:rPr>
              <w:t xml:space="preserve">Check for a renewal or ongoing participation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External participation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genuine participation in external accreditation or structured peer review.</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Leadership review evidence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that external findings are formally reviewed by hospital leadership.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QI integration check</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Checks for a specific, traceable connection between external findings and the Standard 1.8 quality improvement programme.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Resulting change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 practice change resulting from external review findings.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nezux7_hle2cd9szlefq5">
              <w:r>
                <w:rPr>
                  <w:rFonts w:ascii="Arial" w:cs="Arial" w:eastAsia="Arial" w:hAnsi="Arial"/>
                  <w:b/>
                  <w:bCs/>
                  <w:color w:val="c9a227"/>
                  <w:sz w:val="13"/>
                  <w:szCs w:val="13"/>
                  <w:u w:val="single"/>
                </w:rPr>
                <w:t xml:space="preserve">World Health Organization. Quality of care: a process for making strategic choices in health systems (external evaluation provisions). Geneva: WHO; 2006.</w:t>
              </w:r>
            </w:hyperlink>
            <w:r>
              <w:rPr>
                <w:rFonts w:ascii="Arial" w:cs="Arial" w:eastAsia="Arial" w:hAnsi="Arial"/>
                <w:b/>
                <w:bCs/>
                <w:i w:val="false"/>
                <w:iCs w:val="false"/>
                <w:caps w:val="false"/>
                <w:color w:val="6b778c"/>
                <w:sz w:val="13"/>
                <w:szCs w:val="13"/>
              </w:rPr>
              <w:t xml:space="preserve">   2. </w:t>
            </w:r>
            <w:hyperlink w:history="1" r:id="rIds9xpcn1r_vgurv3lwy2jy">
              <w:r>
                <w:rPr>
                  <w:rFonts w:ascii="Arial" w:cs="Arial" w:eastAsia="Arial" w:hAnsi="Arial"/>
                  <w:b/>
                  <w:bCs/>
                  <w:color w:val="c9a227"/>
                  <w:sz w:val="13"/>
                  <w:szCs w:val="13"/>
                  <w:u w:val="single"/>
                </w:rPr>
                <w:t xml:space="preserve">International Society for Quality in Health Care. Guidelines and principles for the development of health and social care standards. Dublin: ISQua; 2018.</w:t>
              </w:r>
            </w:hyperlink>
            <w:r>
              <w:rPr>
                <w:rFonts w:ascii="Arial" w:cs="Arial" w:eastAsia="Arial" w:hAnsi="Arial"/>
                <w:b/>
                <w:bCs/>
                <w:i w:val="false"/>
                <w:iCs w:val="false"/>
                <w:caps w:val="false"/>
                <w:color w:val="6b778c"/>
                <w:sz w:val="13"/>
                <w:szCs w:val="13"/>
              </w:rPr>
              <w:t xml:space="preserve">   3. </w:t>
            </w:r>
            <w:hyperlink w:history="1" r:id="rIdbcwbbibqpbgvwl3urvcy8">
              <w:r>
                <w:rPr>
                  <w:rFonts w:ascii="Arial" w:cs="Arial" w:eastAsia="Arial" w:hAnsi="Arial"/>
                  <w:b/>
                  <w:bCs/>
                  <w:color w:val="c9a227"/>
                  <w:sz w:val="13"/>
                  <w:szCs w:val="13"/>
                  <w:u w:val="single"/>
                </w:rPr>
                <w:t xml:space="preserve">Shaw CD, Braithwaite J, Moldovan M, et al. Profiling health-care accreditation organizations: an international survey. Int J Qual Health Care. 2013;25(3):222-231.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12.9</w:t>
            </w:r>
            <w:r>
              <w:rPr>
                <w:rFonts w:ascii="Arial" w:cs="Arial" w:eastAsia="Arial" w:hAnsi="Arial"/>
                <w:b w:val="false"/>
                <w:bCs w:val="false"/>
                <w:i/>
                <w:iCs/>
                <w:caps w:val="false"/>
                <w:color w:val="8fa8c8"/>
                <w:sz w:val="10"/>
                <w:szCs w:val="10"/>
              </w:rPr>
              <w:t xml:space="preserve">  ·  Level 3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internal quality programme, however well designed, inevitably shares the blind spots of the people running it — the same assumptions and habits that shape daily practice also shape how that practice is assessed from inside. External accreditation or structured peer review brings a genuinely outside perspective, capable of noticing what internal review has normalised, and integrating those external findings into the hospital’s own improvement programme is what converts an external assessment from a one-time exercise into lasting institutional learning.</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Shaw et al. 2013 — international survey evidence indicates that hospitals engaging seriously with external accreditation and peer review processes, integrating findings into internal quality systems, demonstrate more sustained quality improvement than those treating external review as a one-time compliance exercise.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hospital genuinely participates in external accreditation or structured peer review</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External review findings are formally reviewed by hospital leadership</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Findings are integrated into the internal quality improvement programme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At least one specific practice change can be traced to external review findings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External review participation is maintained continuously, not as a one-time exercise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external accreditation or peer review participation exists beyond internal self-assessment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External findings, if received, are not formally reviewed by leadership</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connection exists between external findings and the internal quality improvement programme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practice change has ever resulted from external review</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External review participation was a one-time exercise, not maintained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External review happens but findings are filed rather than actively integrated.</w:t>
            </w:r>
          </w:p>
          <w:p>
            <w:pPr>
              <w:spacing w:after="20" w:before="0"/>
            </w:pPr>
            <w:r>
              <w:rPr>
                <w:rFonts w:ascii="Arial" w:cs="Arial" w:eastAsia="Arial" w:hAnsi="Arial"/>
                <w:b w:val="false"/>
                <w:bCs w:val="false"/>
                <w:i/>
                <w:iCs/>
                <w:caps w:val="false"/>
                <w:color w:val="4b5563"/>
                <w:sz w:val="15"/>
                <w:szCs w:val="15"/>
              </w:rPr>
              <w:t xml:space="preserve">The hospital participates genuinely in external review, but the resulting report is reviewed once and does not visibly connect to ongoing internal quality improvement activity.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Leadership reviews findings but the connection to frontline practice is unclear.</w:t>
            </w:r>
          </w:p>
          <w:p>
            <w:pPr>
              <w:spacing w:after="20" w:before="0"/>
            </w:pPr>
            <w:r>
              <w:rPr>
                <w:rFonts w:ascii="Arial" w:cs="Arial" w:eastAsia="Arial" w:hAnsi="Arial"/>
                <w:b w:val="false"/>
                <w:bCs w:val="false"/>
                <w:i/>
                <w:iCs/>
                <w:caps w:val="false"/>
                <w:color w:val="4b5563"/>
                <w:sz w:val="15"/>
                <w:szCs w:val="15"/>
              </w:rPr>
              <w:t xml:space="preserve">External findings reach senior leadership discussion, but staff at the point of care are often unaware of what was found or what should change as a result.</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Participation was strong initially but has become less consistent over time.</w:t>
            </w:r>
          </w:p>
          <w:p>
            <w:pPr>
              <w:spacing w:after="36" w:before="0"/>
            </w:pPr>
            <w:r>
              <w:rPr>
                <w:rFonts w:ascii="Arial" w:cs="Arial" w:eastAsia="Arial" w:hAnsi="Arial"/>
                <w:b w:val="false"/>
                <w:bCs w:val="false"/>
                <w:i/>
                <w:iCs/>
                <w:caps w:val="false"/>
                <w:color w:val="4b5563"/>
                <w:sz w:val="15"/>
                <w:szCs w:val="15"/>
              </w:rPr>
              <w:t xml:space="preserve">An early external review cycle was taken seriously and produced real change; subsequent cycles have received less sustained engagement.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genuine participation in external accreditation or structured peer review.</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formal leadership review of external findings.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a clear, traceable connection between external findings and the internal quality improvement programme.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implement at least one specific practice change from external findings;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continuous external review participation; track resulting changes over successive cycles.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a specific finding from the last external review and what happened next.  </w:t>
            </w:r>
            <w:r>
              <w:rPr>
                <w:rFonts w:ascii="Arial" w:cs="Arial" w:eastAsia="Arial" w:hAnsi="Arial"/>
                <w:b w:val="false"/>
                <w:bCs w:val="false"/>
                <w:i w:val="false"/>
                <w:iCs w:val="false"/>
                <w:caps w:val="false"/>
                <w:color w:val="374151"/>
                <w:sz w:val="16"/>
                <w:szCs w:val="16"/>
              </w:rPr>
              <w:t xml:space="preserve">This traces whether external review genuinely feeds into internal action, or produces a report that is filed away.</w:t>
            </w:r>
          </w:p>
          <w:p>
            <w:pPr>
              <w:spacing w:after="16" w:before="0"/>
            </w:pPr>
            <w:r>
              <w:rPr>
                <w:rFonts w:ascii="Arial" w:cs="Arial" w:eastAsia="Arial" w:hAnsi="Arial"/>
                <w:b/>
                <w:bCs/>
                <w:i w:val="false"/>
                <w:iCs w:val="false"/>
                <w:caps w:val="false"/>
                <w:color w:val="b91c1c"/>
                <w:sz w:val="15"/>
                <w:szCs w:val="15"/>
              </w:rPr>
              <w:t xml:space="preserve">Ask frontline staff whether they know what the last external review found.  </w:t>
            </w:r>
            <w:r>
              <w:rPr>
                <w:rFonts w:ascii="Arial" w:cs="Arial" w:eastAsia="Arial" w:hAnsi="Arial"/>
                <w:b w:val="false"/>
                <w:bCs w:val="false"/>
                <w:i w:val="false"/>
                <w:iCs w:val="false"/>
                <w:caps w:val="false"/>
                <w:color w:val="374151"/>
                <w:sz w:val="16"/>
                <w:szCs w:val="16"/>
              </w:rPr>
              <w:t xml:space="preserve">Awareness at the point of care indicates findings genuinely reach practice, not only leadership-level discussion.</w:t>
            </w:r>
          </w:p>
          <w:p>
            <w:pPr>
              <w:spacing w:after="36" w:before="0"/>
            </w:pPr>
            <w:r>
              <w:rPr>
                <w:rFonts w:ascii="Arial" w:cs="Arial" w:eastAsia="Arial" w:hAnsi="Arial"/>
                <w:b/>
                <w:bCs/>
                <w:i w:val="false"/>
                <w:iCs w:val="false"/>
                <w:caps w:val="false"/>
                <w:color w:val="b91c1c"/>
                <w:sz w:val="15"/>
                <w:szCs w:val="15"/>
              </w:rPr>
              <w:t xml:space="preserve">Check participation continuity across successive review cycles, not just the most recent one.  </w:t>
            </w:r>
            <w:r>
              <w:rPr>
                <w:rFonts w:ascii="Arial" w:cs="Arial" w:eastAsia="Arial" w:hAnsi="Arial"/>
                <w:b w:val="false"/>
                <w:bCs w:val="false"/>
                <w:i w:val="false"/>
                <w:iCs w:val="false"/>
                <w:caps w:val="false"/>
                <w:color w:val="374151"/>
                <w:sz w:val="16"/>
                <w:szCs w:val="16"/>
              </w:rPr>
              <w:t xml:space="preserve">Engagement that was strong initially but has since become less consistent is a common pattern worth specifically checking for.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dplye_tt9egwp04ch6gmo">
              <w:r>
                <w:rPr>
                  <w:rFonts w:ascii="Arial" w:cs="Arial" w:eastAsia="Arial" w:hAnsi="Arial"/>
                  <w:b/>
                  <w:bCs/>
                  <w:color w:val="c9a227"/>
                  <w:sz w:val="13"/>
                  <w:szCs w:val="13"/>
                  <w:u w:val="single"/>
                </w:rPr>
                <w:t xml:space="preserve">academy.gmj.ge/ch12-9-external-accreditation-peer-review</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12.10</w:t>
            </w:r>
            <w:r>
              <w:rPr>
                <w:rFonts w:ascii="Arial" w:cs="Arial" w:eastAsia="Arial" w:hAnsi="Arial"/>
                <w:b w:val="false"/>
                <w:bCs w:val="false"/>
                <w:i/>
                <w:iCs/>
                <w:caps w:val="false"/>
                <w:color w:val="8fa8c8"/>
                <w:sz w:val="10"/>
                <w:szCs w:val="10"/>
              </w:rPr>
              <w:t xml:space="preserve">  ·  Level 3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National and International Benchmarking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12.10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National and International Benchmarking</w:t>
            </w:r>
          </w:p>
          <w:p>
            <w:pPr>
              <w:spacing w:after="36" w:before="0"/>
            </w:pPr>
            <w:r>
              <w:rPr>
                <w:rFonts w:ascii="Arial" w:cs="Arial" w:eastAsia="Arial" w:hAnsi="Arial"/>
                <w:b w:val="false"/>
                <w:bCs w:val="false"/>
                <w:i w:val="false"/>
                <w:iCs w:val="false"/>
                <w:caps w:val="false"/>
                <w:color w:val="4b5563"/>
                <w:sz w:val="15"/>
                <w:szCs w:val="15"/>
              </w:rPr>
              <w:t xml:space="preserve">The hospital compares its quality and safety indicators against national or international benchmarks, using the comparison to identify improvement priorities across all chapters of these standards.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hospital compare its quality and safety indicators against defined national or international benchmarks?</w:t>
            </w:r>
          </w:p>
          <w:p>
            <w:pPr>
              <w:spacing w:after="7" w:before="0"/>
            </w:pPr>
            <w:r>
              <w:rPr>
                <w:rFonts w:ascii="Arial" w:cs="Arial" w:eastAsia="Arial" w:hAnsi="Arial"/>
                <w:b w:val="false"/>
                <w:bCs w:val="false"/>
                <w:i/>
                <w:iCs/>
                <w:caps w:val="false"/>
                <w:color w:val="4b5563"/>
                <w:sz w:val="15"/>
                <w:szCs w:val="15"/>
              </w:rPr>
              <w:t xml:space="preserve">Check for genuine external comparison, not only internal trend tracking.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Benchmarking data sources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benchmarked indicators drawn from across multiple chapters of these standards, not a single narrow focus?</w:t>
            </w:r>
          </w:p>
          <w:p>
            <w:pPr>
              <w:spacing w:after="36" w:before="0"/>
            </w:pPr>
            <w:r>
              <w:rPr>
                <w:rFonts w:ascii="Arial" w:cs="Arial" w:eastAsia="Arial" w:hAnsi="Arial"/>
                <w:b w:val="false"/>
                <w:bCs w:val="false"/>
                <w:i/>
                <w:iCs/>
                <w:caps w:val="false"/>
                <w:color w:val="4b5563"/>
                <w:sz w:val="15"/>
                <w:szCs w:val="15"/>
              </w:rPr>
              <w:t xml:space="preserve">Check the breadth of indicators benchmarked, such as IPC rates alongside surgical outcomes and patient experience.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benchmarking data adjusted or contextualised appropriately for meaningful comparison?</w:t>
            </w:r>
          </w:p>
          <w:p>
            <w:pPr>
              <w:spacing w:after="36" w:before="0"/>
            </w:pPr>
            <w:r>
              <w:rPr>
                <w:rFonts w:ascii="Arial" w:cs="Arial" w:eastAsia="Arial" w:hAnsi="Arial"/>
                <w:b w:val="false"/>
                <w:bCs w:val="false"/>
                <w:i/>
                <w:iCs/>
                <w:caps w:val="false"/>
                <w:color w:val="4b5563"/>
                <w:sz w:val="15"/>
                <w:szCs w:val="15"/>
              </w:rPr>
              <w:t xml:space="preserve">Check for case-mix or context adjustment where relevant.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 benchmarking findings inform specific improvement priorities?</w:t>
            </w:r>
          </w:p>
          <w:p>
            <w:pPr>
              <w:spacing w:after="7" w:before="0"/>
            </w:pPr>
            <w:r>
              <w:rPr>
                <w:rFonts w:ascii="Arial" w:cs="Arial" w:eastAsia="Arial" w:hAnsi="Arial"/>
                <w:b w:val="false"/>
                <w:bCs w:val="false"/>
                <w:i/>
                <w:iCs/>
                <w:caps w:val="false"/>
                <w:color w:val="4b5563"/>
                <w:sz w:val="15"/>
                <w:szCs w:val="15"/>
              </w:rPr>
              <w:t xml:space="preserve">Ask for a concrete example of a priority set because of a benchmarking comparison.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Documented example of resulting priority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benchmarking performed on an ongoing basis, tracking the hospital’s position over time, not a one-time comparison?</w:t>
            </w:r>
          </w:p>
          <w:p>
            <w:pPr>
              <w:spacing w:after="7" w:before="0"/>
            </w:pPr>
            <w:r>
              <w:rPr>
                <w:rFonts w:ascii="Arial" w:cs="Arial" w:eastAsia="Arial" w:hAnsi="Arial"/>
                <w:b w:val="false"/>
                <w:bCs w:val="false"/>
                <w:i/>
                <w:iCs/>
                <w:caps w:val="false"/>
                <w:color w:val="4b5563"/>
                <w:sz w:val="15"/>
                <w:szCs w:val="15"/>
              </w:rPr>
              <w:t xml:space="preserve">Check for benchmarking data across multiple time points.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Benchmarking trend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Benchmark comparison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genuine comparison against defined national or international benchmarks.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Indicator breadth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breadth of benchmarked indicators across multiple standards chapters.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Context adjustment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whether benchmarking data is appropriately adjusted for meaningful comparison.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Resulting priority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an improvement priority set because of a benchmarking finding.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bsnrmntvschbqpco4x1_o">
              <w:r>
                <w:rPr>
                  <w:rFonts w:ascii="Arial" w:cs="Arial" w:eastAsia="Arial" w:hAnsi="Arial"/>
                  <w:b/>
                  <w:bCs/>
                  <w:color w:val="c9a227"/>
                  <w:sz w:val="13"/>
                  <w:szCs w:val="13"/>
                  <w:u w:val="single"/>
                </w:rPr>
                <w:t xml:space="preserve">World Health Organization. Global reference list of 100 core health indicators. Geneva: WHO; 2018.</w:t>
              </w:r>
            </w:hyperlink>
            <w:r>
              <w:rPr>
                <w:rFonts w:ascii="Arial" w:cs="Arial" w:eastAsia="Arial" w:hAnsi="Arial"/>
                <w:b/>
                <w:bCs/>
                <w:i w:val="false"/>
                <w:iCs w:val="false"/>
                <w:caps w:val="false"/>
                <w:color w:val="6b778c"/>
                <w:sz w:val="13"/>
                <w:szCs w:val="13"/>
              </w:rPr>
              <w:t xml:space="preserve">   2. </w:t>
            </w:r>
            <w:hyperlink w:history="1" r:id="rIdnt-cveixz8bwz1lmsdzdt">
              <w:r>
                <w:rPr>
                  <w:rFonts w:ascii="Arial" w:cs="Arial" w:eastAsia="Arial" w:hAnsi="Arial"/>
                  <w:b/>
                  <w:bCs/>
                  <w:color w:val="c9a227"/>
                  <w:sz w:val="13"/>
                  <w:szCs w:val="13"/>
                  <w:u w:val="single"/>
                </w:rPr>
                <w:t xml:space="preserve">Organisation for Economic Co-operation and Development. Health at a Glance: OECD Indicators. Paris: OECD; 2021.</w:t>
              </w:r>
            </w:hyperlink>
            <w:r>
              <w:rPr>
                <w:rFonts w:ascii="Arial" w:cs="Arial" w:eastAsia="Arial" w:hAnsi="Arial"/>
                <w:b/>
                <w:bCs/>
                <w:i w:val="false"/>
                <w:iCs w:val="false"/>
                <w:caps w:val="false"/>
                <w:color w:val="6b778c"/>
                <w:sz w:val="13"/>
                <w:szCs w:val="13"/>
              </w:rPr>
              <w:t xml:space="preserve">   3. </w:t>
            </w:r>
            <w:hyperlink w:history="1" r:id="rIdcz2kzc532m7oir_oaogfv">
              <w:r>
                <w:rPr>
                  <w:rFonts w:ascii="Arial" w:cs="Arial" w:eastAsia="Arial" w:hAnsi="Arial"/>
                  <w:b/>
                  <w:bCs/>
                  <w:color w:val="c9a227"/>
                  <w:sz w:val="13"/>
                  <w:szCs w:val="13"/>
                  <w:u w:val="single"/>
                </w:rPr>
                <w:t xml:space="preserve">International Society for Quality in Health Care. External evaluation and benchmarking guidance. Dublin: ISQua;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12.10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12.10</w:t>
            </w:r>
            <w:r>
              <w:rPr>
                <w:rFonts w:ascii="Arial" w:cs="Arial" w:eastAsia="Arial" w:hAnsi="Arial"/>
                <w:b w:val="false"/>
                <w:bCs w:val="false"/>
                <w:i/>
                <w:iCs/>
                <w:caps w:val="false"/>
                <w:color w:val="8fa8c8"/>
                <w:sz w:val="10"/>
                <w:szCs w:val="10"/>
              </w:rPr>
              <w:t xml:space="preserve">  ·  Level 3  ·  Chapter 12: Quality Improvement &amp; Patient Safety Culture</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ASF-CH12-QPS-v2.0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hospital tracking its own indicators over time can see whether it is improving relative to its own past performance, but only external benchmarking reveals whether that performance is actually good by any wider standard — a steadily improving infection rate can still be well above what comparable facilities elsewhere achieve. Benchmarking against national or international reference points, drawn across multiple domains rather than a single favoured metric, is what tells a hospital not just whether it is getting better, but how it actually compares.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OECD Health at a Glance — international and national benchmarking of health system and facility-level indicators is a well-established mechanism for identifying genuine improvement priorities that internal trend data alone cannot reveal, because it exposes gaps against an external standard of achievable performance.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Quality and safety indicators are genuinely compared against national or international benchmarks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Benchmarked indicators span multiple chapters of these standards, not a single narrow focus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Benchmarking data is appropriately adjusted or contextualised for meaningful comparison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Benchmarking findings inform specific, traceable improvement priorities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Benchmarking is conducted on an ongoing basis, tracking position over time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external benchmarking occurs; indicators are only tracked against the hospital’s own past performance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Benchmarking, if any, focuses narrowly on a single metric rather than a broad indicator set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Comparisons are made without adjustment for case-mix or context, risking misleading conclusions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improvement priority has ever resulted from a benchmarking comparison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Benchmarking was a one-time exercise, not maintained over time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Benchmarking happens for one flagship indicator but not more broadly.</w:t>
            </w:r>
          </w:p>
          <w:p>
            <w:pPr>
              <w:spacing w:after="20" w:before="0"/>
            </w:pPr>
            <w:r>
              <w:rPr>
                <w:rFonts w:ascii="Arial" w:cs="Arial" w:eastAsia="Arial" w:hAnsi="Arial"/>
                <w:b w:val="false"/>
                <w:bCs w:val="false"/>
                <w:i/>
                <w:iCs/>
                <w:caps w:val="false"/>
                <w:color w:val="4b5563"/>
                <w:sz w:val="15"/>
                <w:szCs w:val="15"/>
              </w:rPr>
              <w:t xml:space="preserve">A specific, well-tracked metric, such as a surgical outcome, is benchmarked externally; other important domains lack an equivalent comparison.</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Comparisons are made but without adjustment for context.</w:t>
            </w:r>
          </w:p>
          <w:p>
            <w:pPr>
              <w:spacing w:after="20" w:before="0"/>
            </w:pPr>
            <w:r>
              <w:rPr>
                <w:rFonts w:ascii="Arial" w:cs="Arial" w:eastAsia="Arial" w:hAnsi="Arial"/>
                <w:b w:val="false"/>
                <w:bCs w:val="false"/>
                <w:i/>
                <w:iCs/>
                <w:caps w:val="false"/>
                <w:color w:val="4b5563"/>
                <w:sz w:val="15"/>
                <w:szCs w:val="15"/>
              </w:rPr>
              <w:t xml:space="preserve">Raw indicator comparisons are drawn against external benchmarks, but differences in patient population or case complexity are not accounted for, risking a misleading conclusion.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Benchmarking was done once, as part of a specific project, but hasn’t been repeated.</w:t>
            </w:r>
          </w:p>
          <w:p>
            <w:pPr>
              <w:spacing w:after="36" w:before="0"/>
            </w:pPr>
            <w:r>
              <w:rPr>
                <w:rFonts w:ascii="Arial" w:cs="Arial" w:eastAsia="Arial" w:hAnsi="Arial"/>
                <w:b w:val="false"/>
                <w:bCs w:val="false"/>
                <w:i/>
                <w:iCs/>
                <w:caps w:val="false"/>
                <w:color w:val="4b5563"/>
                <w:sz w:val="15"/>
                <w:szCs w:val="15"/>
              </w:rPr>
              <w:t xml:space="preserve">An initial benchmarking exercise produced useful findings and even some resulting action, but it has not been sustained as an ongoing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Identify appropriate national or international benchmarks relevant to the hospital’s indicators.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Broaden benchmarking to span multiple chapters of these standards, not a single indicator.</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benchmarking comparisons are appropriately adjusted or contextualised.</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Identify and act on at least one specific improvement priority from a benchmarking finding; document it.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benchmarking on an ongoing basis; track the hospital’s position over time.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benchmarking data across more than one indicator domain.  </w:t>
            </w:r>
            <w:r>
              <w:rPr>
                <w:rFonts w:ascii="Arial" w:cs="Arial" w:eastAsia="Arial" w:hAnsi="Arial"/>
                <w:b w:val="false"/>
                <w:bCs w:val="false"/>
                <w:i w:val="false"/>
                <w:iCs w:val="false"/>
                <w:caps w:val="false"/>
                <w:color w:val="374151"/>
                <w:sz w:val="16"/>
                <w:szCs w:val="16"/>
              </w:rPr>
              <w:t xml:space="preserve">Benchmarking often exists for one well-tracked flagship metric while broader comparison across the full range of standards is underdeveloped.</w:t>
            </w:r>
          </w:p>
          <w:p>
            <w:pPr>
              <w:spacing w:after="16" w:before="0"/>
            </w:pPr>
            <w:r>
              <w:rPr>
                <w:rFonts w:ascii="Arial" w:cs="Arial" w:eastAsia="Arial" w:hAnsi="Arial"/>
                <w:b/>
                <w:bCs/>
                <w:i w:val="false"/>
                <w:iCs w:val="false"/>
                <w:caps w:val="false"/>
                <w:color w:val="b91c1c"/>
                <w:sz w:val="15"/>
                <w:szCs w:val="15"/>
              </w:rPr>
              <w:t xml:space="preserve">Ask how case-mix or context differences are accounted for in the comparison.  </w:t>
            </w:r>
            <w:r>
              <w:rPr>
                <w:rFonts w:ascii="Arial" w:cs="Arial" w:eastAsia="Arial" w:hAnsi="Arial"/>
                <w:b w:val="false"/>
                <w:bCs w:val="false"/>
                <w:i w:val="false"/>
                <w:iCs w:val="false"/>
                <w:caps w:val="false"/>
                <w:color w:val="374151"/>
                <w:sz w:val="16"/>
                <w:szCs w:val="16"/>
              </w:rPr>
              <w:t xml:space="preserve">A raw, unadjusted comparison against an external benchmark can be more misleading than informative if context is ignored.</w:t>
            </w:r>
          </w:p>
          <w:p>
            <w:pPr>
              <w:spacing w:after="36" w:before="0"/>
            </w:pPr>
            <w:r>
              <w:rPr>
                <w:rFonts w:ascii="Arial" w:cs="Arial" w:eastAsia="Arial" w:hAnsi="Arial"/>
                <w:b/>
                <w:bCs/>
                <w:i w:val="false"/>
                <w:iCs w:val="false"/>
                <w:caps w:val="false"/>
                <w:color w:val="b91c1c"/>
                <w:sz w:val="15"/>
                <w:szCs w:val="15"/>
              </w:rPr>
              <w:t xml:space="preserve">Ask for a specific improvement priority that emerged from a benchmarking finding.  </w:t>
            </w:r>
            <w:r>
              <w:rPr>
                <w:rFonts w:ascii="Arial" w:cs="Arial" w:eastAsia="Arial" w:hAnsi="Arial"/>
                <w:b w:val="false"/>
                <w:bCs w:val="false"/>
                <w:i w:val="false"/>
                <w:iCs w:val="false"/>
                <w:caps w:val="false"/>
                <w:color w:val="374151"/>
                <w:sz w:val="16"/>
                <w:szCs w:val="16"/>
              </w:rPr>
              <w:t xml:space="preserve">This distinguishes genuine use of external comparison from a passive reporting exercise.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zskpj056zrgd9zemzv9w8">
              <w:r>
                <w:rPr>
                  <w:rFonts w:ascii="Arial" w:cs="Arial" w:eastAsia="Arial" w:hAnsi="Arial"/>
                  <w:b/>
                  <w:bCs/>
                  <w:color w:val="c9a227"/>
                  <w:sz w:val="13"/>
                  <w:szCs w:val="13"/>
                  <w:u w:val="single"/>
                </w:rPr>
                <w:t xml:space="preserve">academy.gmj.ge/ch12-10-national-international-benchmarking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12: QPS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12.1 — Incident Reporting System</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draft guidelines for adverse event reporting and learning systems. Geneva: WHO; 2005.</w:t>
            </w:r>
          </w:p>
          <w:p>
            <w:pPr>
              <w:spacing w:after="36" w:before="0"/>
            </w:pPr>
            <w:r>
              <w:rPr>
                <w:rFonts w:ascii="Arial" w:cs="Arial" w:eastAsia="Arial" w:hAnsi="Arial"/>
                <w:b/>
                <w:bCs/>
                <w:i w:val="false"/>
                <w:iCs w:val="false"/>
                <w:caps w:val="false"/>
                <w:color w:val="6b778c"/>
                <w:sz w:val="12"/>
                <w:szCs w:val="12"/>
              </w:rPr>
              <w:t xml:space="preserve">URL: </w:t>
            </w:r>
            <w:hyperlink w:history="1" r:id="rIdehjaxdaj9o1alcm4pzqij">
              <w:r>
                <w:rPr>
                  <w:rFonts w:ascii="Arial" w:cs="Arial" w:eastAsia="Arial" w:hAnsi="Arial"/>
                  <w:b/>
                  <w:bCs/>
                  <w:color w:val="c9a227"/>
                  <w:sz w:val="12"/>
                  <w:szCs w:val="12"/>
                  <w:u w:val="single"/>
                </w:rPr>
                <w:t xml:space="preserve">https://www.who.int/publications/i/item/9241594822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Patient safety incident reporting and learning systems: technical report.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topxqkex7_sfid_l3yocv">
              <w:r>
                <w:rPr>
                  <w:rFonts w:ascii="Arial" w:cs="Arial" w:eastAsia="Arial" w:hAnsi="Arial"/>
                  <w:b/>
                  <w:bCs/>
                  <w:color w:val="c9a227"/>
                  <w:sz w:val="12"/>
                  <w:szCs w:val="12"/>
                  <w:u w:val="single"/>
                </w:rPr>
                <w:t xml:space="preserve">https://www.who.int/publications/i/item/9789240010600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Patient safety essentials toolkit. Boston: IHI; 2017.</w:t>
            </w:r>
          </w:p>
          <w:p>
            <w:pPr>
              <w:spacing w:after="36" w:before="0"/>
            </w:pPr>
            <w:r>
              <w:rPr>
                <w:rFonts w:ascii="Arial" w:cs="Arial" w:eastAsia="Arial" w:hAnsi="Arial"/>
                <w:b/>
                <w:bCs/>
                <w:i w:val="false"/>
                <w:iCs w:val="false"/>
                <w:caps w:val="false"/>
                <w:color w:val="6b778c"/>
                <w:sz w:val="12"/>
                <w:szCs w:val="12"/>
              </w:rPr>
              <w:t xml:space="preserve">URL: </w:t>
            </w:r>
            <w:hyperlink w:history="1" r:id="rIdahfcsua5s-mefgsasmuol">
              <w:r>
                <w:rPr>
                  <w:rFonts w:ascii="Arial" w:cs="Arial" w:eastAsia="Arial" w:hAnsi="Arial"/>
                  <w:b/>
                  <w:bCs/>
                  <w:color w:val="c9a227"/>
                  <w:sz w:val="12"/>
                  <w:szCs w:val="12"/>
                  <w:u w:val="single"/>
                </w:rPr>
                <w:t xml:space="preserve">http://www.ihi.org/resources/Pages/Tools/PatientSafetyEssentialsToolkit.aspx</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12.2 — Root Cause Analysis Process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Patient safety incident reporting and learning systems: technical report (RCA provisions).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0g66jwcsottzpcr6ceeyh">
              <w:r>
                <w:rPr>
                  <w:rFonts w:ascii="Arial" w:cs="Arial" w:eastAsia="Arial" w:hAnsi="Arial"/>
                  <w:b/>
                  <w:bCs/>
                  <w:color w:val="c9a227"/>
                  <w:sz w:val="12"/>
                  <w:szCs w:val="12"/>
                  <w:u w:val="single"/>
                </w:rPr>
                <w:t xml:space="preserve">https://www.who.int/publications/i/item/9789240010600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Patient Safety Foundation. RCA2: Improving Root Cause Analyses and Actions to Prevent Harm. Boston: NPSF; 2016.</w:t>
            </w:r>
          </w:p>
          <w:p>
            <w:pPr>
              <w:spacing w:after="36" w:before="0"/>
            </w:pPr>
            <w:r>
              <w:rPr>
                <w:rFonts w:ascii="Arial" w:cs="Arial" w:eastAsia="Arial" w:hAnsi="Arial"/>
                <w:b/>
                <w:bCs/>
                <w:i w:val="false"/>
                <w:iCs w:val="false"/>
                <w:caps w:val="false"/>
                <w:color w:val="6b778c"/>
                <w:sz w:val="12"/>
                <w:szCs w:val="12"/>
              </w:rPr>
              <w:t xml:space="preserve">URL: </w:t>
            </w:r>
            <w:hyperlink w:history="1" r:id="rIdholijeyhnmuueiwgtldtk">
              <w:r>
                <w:rPr>
                  <w:rFonts w:ascii="Arial" w:cs="Arial" w:eastAsia="Arial" w:hAnsi="Arial"/>
                  <w:b/>
                  <w:bCs/>
                  <w:color w:val="c9a227"/>
                  <w:sz w:val="12"/>
                  <w:szCs w:val="12"/>
                  <w:u w:val="single"/>
                </w:rPr>
                <w:t xml:space="preserve">https://www.ihi.org/resources/Pages/Tools/RCA2-Improving-Root-Cause-Analyses-and-Actions-to-Prevent-Harm.aspx</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Vincent C, Taylor-Adams S, Stanhope N. Framework for analysing risk and safety in clinical medicine. BMJ. 1998;316(7138):1154-1157.</w:t>
            </w:r>
          </w:p>
          <w:p>
            <w:pPr>
              <w:spacing w:after="36" w:before="0"/>
            </w:pPr>
            <w:r>
              <w:rPr>
                <w:rFonts w:ascii="Arial" w:cs="Arial" w:eastAsia="Arial" w:hAnsi="Arial"/>
                <w:b/>
                <w:bCs/>
                <w:i w:val="false"/>
                <w:iCs w:val="false"/>
                <w:caps w:val="false"/>
                <w:color w:val="6b778c"/>
                <w:sz w:val="12"/>
                <w:szCs w:val="12"/>
              </w:rPr>
              <w:t xml:space="preserve">URL: </w:t>
            </w:r>
            <w:hyperlink w:history="1" r:id="rIdjlegazurqrvpk2l4zmasi">
              <w:r>
                <w:rPr>
                  <w:rFonts w:ascii="Arial" w:cs="Arial" w:eastAsia="Arial" w:hAnsi="Arial"/>
                  <w:b/>
                  <w:bCs/>
                  <w:color w:val="c9a227"/>
                  <w:sz w:val="12"/>
                  <w:szCs w:val="12"/>
                  <w:u w:val="single"/>
                </w:rPr>
                <w:t xml:space="preserve">https://doi.org/10.1136/bmj.316.7138.1154</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12.3 — Patient Safety Culture Measurement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Patient safety culture: measurement instruments and approaches.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gt74niv-pnemj1q0vl3el">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Agency for Healthcare Research and Quality. Hospital Survey on Patient Safety Culture (HSOPSC). Rockville: AHRQ; 2019.</w:t>
            </w:r>
          </w:p>
          <w:p>
            <w:pPr>
              <w:spacing w:after="36" w:before="0"/>
            </w:pPr>
            <w:r>
              <w:rPr>
                <w:rFonts w:ascii="Arial" w:cs="Arial" w:eastAsia="Arial" w:hAnsi="Arial"/>
                <w:b/>
                <w:bCs/>
                <w:i w:val="false"/>
                <w:iCs w:val="false"/>
                <w:caps w:val="false"/>
                <w:color w:val="6b778c"/>
                <w:sz w:val="12"/>
                <w:szCs w:val="12"/>
              </w:rPr>
              <w:t xml:space="preserve">URL: </w:t>
            </w:r>
            <w:hyperlink w:history="1" r:id="rIdbemszo9ruloifgnkbu53v">
              <w:r>
                <w:rPr>
                  <w:rFonts w:ascii="Arial" w:cs="Arial" w:eastAsia="Arial" w:hAnsi="Arial"/>
                  <w:b/>
                  <w:bCs/>
                  <w:color w:val="c9a227"/>
                  <w:sz w:val="12"/>
                  <w:szCs w:val="12"/>
                  <w:u w:val="single"/>
                </w:rPr>
                <w:t xml:space="preserve">https://www.ahrq.gov/sops/surveys/hospital/index.html</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Sorra J, Nieva V. Hospital Survey on Patient Safety Culture: technical report. Rockville: AHRQ; 2004.</w:t>
            </w:r>
          </w:p>
          <w:p>
            <w:pPr>
              <w:spacing w:after="36" w:before="0"/>
            </w:pPr>
            <w:r>
              <w:rPr>
                <w:rFonts w:ascii="Arial" w:cs="Arial" w:eastAsia="Arial" w:hAnsi="Arial"/>
                <w:b/>
                <w:bCs/>
                <w:i w:val="false"/>
                <w:iCs w:val="false"/>
                <w:caps w:val="false"/>
                <w:color w:val="6b778c"/>
                <w:sz w:val="12"/>
                <w:szCs w:val="12"/>
              </w:rPr>
              <w:t xml:space="preserve">URL: </w:t>
            </w:r>
            <w:hyperlink w:history="1" r:id="rIdijbzexmoz4mak6l9wfi-h">
              <w:r>
                <w:rPr>
                  <w:rFonts w:ascii="Arial" w:cs="Arial" w:eastAsia="Arial" w:hAnsi="Arial"/>
                  <w:b/>
                  <w:bCs/>
                  <w:color w:val="c9a227"/>
                  <w:sz w:val="12"/>
                  <w:szCs w:val="12"/>
                  <w:u w:val="single"/>
                </w:rPr>
                <w:t xml:space="preserve">https://www.ahrq.gov/sops/surveys/hospital/index.html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12.4 — Clinical Audit Programme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National Institute for Health and Care Excellence. Clinical audit: a guide for NHS boards and partners. London: NICE; 2020.</w:t>
            </w:r>
          </w:p>
          <w:p>
            <w:pPr>
              <w:spacing w:after="36" w:before="0"/>
            </w:pPr>
            <w:r>
              <w:rPr>
                <w:rFonts w:ascii="Arial" w:cs="Arial" w:eastAsia="Arial" w:hAnsi="Arial"/>
                <w:b/>
                <w:bCs/>
                <w:i w:val="false"/>
                <w:iCs w:val="false"/>
                <w:caps w:val="false"/>
                <w:color w:val="6b778c"/>
                <w:sz w:val="12"/>
                <w:szCs w:val="12"/>
              </w:rPr>
              <w:t xml:space="preserve">URL: </w:t>
            </w:r>
            <w:hyperlink w:history="1" r:id="rIdlypkko-6trdbjssvbkkym">
              <w:r>
                <w:rPr>
                  <w:rFonts w:ascii="Arial" w:cs="Arial" w:eastAsia="Arial" w:hAnsi="Arial"/>
                  <w:b/>
                  <w:bCs/>
                  <w:color w:val="c9a227"/>
                  <w:sz w:val="12"/>
                  <w:szCs w:val="12"/>
                  <w:u w:val="single"/>
                </w:rPr>
                <w:t xml:space="preserve">https://www.nice.org.uk</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Healthcare Quality Improvement Partnership. Best practice in clinical audit. London: HQIP; 2020.</w:t>
            </w:r>
          </w:p>
          <w:p>
            <w:pPr>
              <w:spacing w:after="36" w:before="0"/>
            </w:pPr>
            <w:r>
              <w:rPr>
                <w:rFonts w:ascii="Arial" w:cs="Arial" w:eastAsia="Arial" w:hAnsi="Arial"/>
                <w:b/>
                <w:bCs/>
                <w:i w:val="false"/>
                <w:iCs w:val="false"/>
                <w:caps w:val="false"/>
                <w:color w:val="6b778c"/>
                <w:sz w:val="12"/>
                <w:szCs w:val="12"/>
              </w:rPr>
              <w:t xml:space="preserve">URL: </w:t>
            </w:r>
            <w:hyperlink w:history="1" r:id="rIdwmsja_-17_9iapl31prj5">
              <w:r>
                <w:rPr>
                  <w:rFonts w:ascii="Arial" w:cs="Arial" w:eastAsia="Arial" w:hAnsi="Arial"/>
                  <w:b/>
                  <w:bCs/>
                  <w:color w:val="c9a227"/>
                  <w:sz w:val="12"/>
                  <w:szCs w:val="12"/>
                  <w:u w:val="single"/>
                </w:rPr>
                <w:t xml:space="preserve">https://www.hqip.org.uk</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Quality of care: a process for making strategic choices in health systems.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vliyj1fhtushedbcxoo9m">
              <w:r>
                <w:rPr>
                  <w:rFonts w:ascii="Arial" w:cs="Arial" w:eastAsia="Arial" w:hAnsi="Arial"/>
                  <w:b/>
                  <w:bCs/>
                  <w:color w:val="c9a227"/>
                  <w:sz w:val="12"/>
                  <w:szCs w:val="12"/>
                  <w:u w:val="single"/>
                </w:rPr>
                <w:t xml:space="preserve">https://www.who.int/publications/i/item/9789241548470</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12.5 — Near-Miss Reporting and Learning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Patient safety incident reporting and learning systems: technical report (near-miss provisions). Geneva: WHO; 2020.</w:t>
            </w:r>
          </w:p>
          <w:p>
            <w:pPr>
              <w:spacing w:after="36" w:before="0"/>
            </w:pPr>
            <w:r>
              <w:rPr>
                <w:rFonts w:ascii="Arial" w:cs="Arial" w:eastAsia="Arial" w:hAnsi="Arial"/>
                <w:b/>
                <w:bCs/>
                <w:i w:val="false"/>
                <w:iCs w:val="false"/>
                <w:caps w:val="false"/>
                <w:color w:val="6b778c"/>
                <w:sz w:val="12"/>
                <w:szCs w:val="12"/>
              </w:rPr>
              <w:t xml:space="preserve">URL: </w:t>
            </w:r>
            <w:hyperlink w:history="1" r:id="rIdwk3t_515q3xdtgrapwurm">
              <w:r>
                <w:rPr>
                  <w:rFonts w:ascii="Arial" w:cs="Arial" w:eastAsia="Arial" w:hAnsi="Arial"/>
                  <w:b/>
                  <w:bCs/>
                  <w:color w:val="c9a227"/>
                  <w:sz w:val="12"/>
                  <w:szCs w:val="12"/>
                  <w:u w:val="single"/>
                </w:rPr>
                <w:t xml:space="preserve">https://www.who.int/publications/i/item/9789240010600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Barach P, Small SD. Reporting and preventing medical mishaps: lessons from non-medical near miss reporting systems. BMJ. 2000;320(7237):759-763.</w:t>
            </w:r>
          </w:p>
          <w:p>
            <w:pPr>
              <w:spacing w:after="36" w:before="0"/>
            </w:pPr>
            <w:r>
              <w:rPr>
                <w:rFonts w:ascii="Arial" w:cs="Arial" w:eastAsia="Arial" w:hAnsi="Arial"/>
                <w:b/>
                <w:bCs/>
                <w:i w:val="false"/>
                <w:iCs w:val="false"/>
                <w:caps w:val="false"/>
                <w:color w:val="6b778c"/>
                <w:sz w:val="12"/>
                <w:szCs w:val="12"/>
              </w:rPr>
              <w:t xml:space="preserve">URL: </w:t>
            </w:r>
            <w:hyperlink w:history="1" r:id="rIdropdzglknrloivv1fyuqq">
              <w:r>
                <w:rPr>
                  <w:rFonts w:ascii="Arial" w:cs="Arial" w:eastAsia="Arial" w:hAnsi="Arial"/>
                  <w:b/>
                  <w:bCs/>
                  <w:color w:val="c9a227"/>
                  <w:sz w:val="12"/>
                  <w:szCs w:val="12"/>
                  <w:u w:val="single"/>
                </w:rPr>
                <w:t xml:space="preserve">https://doi.org/10.1136/bmj.320.7237.759</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Van der Schaaf TW, Kanse L. Biases in incident reporting databases: an empirical study in the chemical process industry. Saf Sci. 2004;42(1):57-67.</w:t>
            </w:r>
          </w:p>
          <w:p>
            <w:pPr>
              <w:spacing w:after="36" w:before="0"/>
            </w:pPr>
            <w:r>
              <w:rPr>
                <w:rFonts w:ascii="Arial" w:cs="Arial" w:eastAsia="Arial" w:hAnsi="Arial"/>
                <w:b/>
                <w:bCs/>
                <w:i w:val="false"/>
                <w:iCs w:val="false"/>
                <w:caps w:val="false"/>
                <w:color w:val="6b778c"/>
                <w:sz w:val="12"/>
                <w:szCs w:val="12"/>
              </w:rPr>
              <w:t xml:space="preserve">URL: </w:t>
            </w:r>
            <w:hyperlink w:history="1" r:id="rIdtvhg8r1kdsxtbxwnqco5k">
              <w:r>
                <w:rPr>
                  <w:rFonts w:ascii="Arial" w:cs="Arial" w:eastAsia="Arial" w:hAnsi="Arial"/>
                  <w:b/>
                  <w:bCs/>
                  <w:color w:val="c9a227"/>
                  <w:sz w:val="12"/>
                  <w:szCs w:val="12"/>
                  <w:u w:val="single"/>
                </w:rPr>
                <w:t xml:space="preserve">https://doi.org/10.1016/S0925-7535(03)00023-7</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12.6 — Mortality and Morbidity Review</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Quality of care: a process for making strategic choices in health systems (M&amp;M review provisions).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p6w4zzy3rviuhkewfi4qv">
              <w:r>
                <w:rPr>
                  <w:rFonts w:ascii="Arial" w:cs="Arial" w:eastAsia="Arial" w:hAnsi="Arial"/>
                  <w:b/>
                  <w:bCs/>
                  <w:color w:val="c9a227"/>
                  <w:sz w:val="12"/>
                  <w:szCs w:val="12"/>
                  <w:u w:val="single"/>
                </w:rPr>
                <w:t xml:space="preserve">https://www.who.int/publications/i/item/9789241548470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Higginson J, Walters R, Fulop N. Mortality and morbidity meetings: an untapped resource for improving the governance of patient safety? BMJ Qual Saf. 2012;21(7):576-585.</w:t>
            </w:r>
          </w:p>
          <w:p>
            <w:pPr>
              <w:spacing w:after="36" w:before="0"/>
            </w:pPr>
            <w:r>
              <w:rPr>
                <w:rFonts w:ascii="Arial" w:cs="Arial" w:eastAsia="Arial" w:hAnsi="Arial"/>
                <w:b/>
                <w:bCs/>
                <w:i w:val="false"/>
                <w:iCs w:val="false"/>
                <w:caps w:val="false"/>
                <w:color w:val="6b778c"/>
                <w:sz w:val="12"/>
                <w:szCs w:val="12"/>
              </w:rPr>
              <w:t xml:space="preserve">URL: </w:t>
            </w:r>
            <w:hyperlink w:history="1" r:id="rId_l4nsxphf3ts8zgvagqhf">
              <w:r>
                <w:rPr>
                  <w:rFonts w:ascii="Arial" w:cs="Arial" w:eastAsia="Arial" w:hAnsi="Arial"/>
                  <w:b/>
                  <w:bCs/>
                  <w:color w:val="c9a227"/>
                  <w:sz w:val="12"/>
                  <w:szCs w:val="12"/>
                  <w:u w:val="single"/>
                </w:rPr>
                <w:t xml:space="preserve">https://doi.org/10.1136/bmjqs-2011-000603</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Kwok AC, Reznor G, Belanger E, et al. Association of surgical mortality and morbidity conference structure with clinical outcomes. Am J Surg. 2015;209(3):515-521.</w:t>
            </w:r>
          </w:p>
          <w:p>
            <w:pPr>
              <w:spacing w:after="36" w:before="0"/>
            </w:pPr>
            <w:r>
              <w:rPr>
                <w:rFonts w:ascii="Arial" w:cs="Arial" w:eastAsia="Arial" w:hAnsi="Arial"/>
                <w:b/>
                <w:bCs/>
                <w:i w:val="false"/>
                <w:iCs w:val="false"/>
                <w:caps w:val="false"/>
                <w:color w:val="6b778c"/>
                <w:sz w:val="12"/>
                <w:szCs w:val="12"/>
              </w:rPr>
              <w:t xml:space="preserve">URL: </w:t>
            </w:r>
            <w:hyperlink w:history="1" r:id="rIdak9dlstrogyzeu1atudcp">
              <w:r>
                <w:rPr>
                  <w:rFonts w:ascii="Arial" w:cs="Arial" w:eastAsia="Arial" w:hAnsi="Arial"/>
                  <w:b/>
                  <w:bCs/>
                  <w:color w:val="c9a227"/>
                  <w:sz w:val="12"/>
                  <w:szCs w:val="12"/>
                  <w:u w:val="single"/>
                </w:rPr>
                <w:t xml:space="preserve">https://doi.org/10.1016/j.amjsurg.2014.10.015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12.7 — Patient Safety Walkrounds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Frankel A, Graydon-Baker E, Neppl C, Simmonds T, Gustafson M, Gandhi TK. Patient safety leadership WalkRounds. Jt Comm J Qual Saf. 2003;29(1):16-26.</w:t>
            </w:r>
          </w:p>
          <w:p>
            <w:pPr>
              <w:spacing w:after="36" w:before="0"/>
            </w:pPr>
            <w:r>
              <w:rPr>
                <w:rFonts w:ascii="Arial" w:cs="Arial" w:eastAsia="Arial" w:hAnsi="Arial"/>
                <w:b/>
                <w:bCs/>
                <w:i w:val="false"/>
                <w:iCs w:val="false"/>
                <w:caps w:val="false"/>
                <w:color w:val="6b778c"/>
                <w:sz w:val="12"/>
                <w:szCs w:val="12"/>
              </w:rPr>
              <w:t xml:space="preserve">URL: </w:t>
            </w:r>
            <w:hyperlink w:history="1" r:id="rIdsdpfbh8osn1-rbmizoshm">
              <w:r>
                <w:rPr>
                  <w:rFonts w:ascii="Arial" w:cs="Arial" w:eastAsia="Arial" w:hAnsi="Arial"/>
                  <w:b/>
                  <w:bCs/>
                  <w:color w:val="c9a227"/>
                  <w:sz w:val="12"/>
                  <w:szCs w:val="12"/>
                  <w:u w:val="single"/>
                </w:rPr>
                <w:t xml:space="preserve">https://doi.org/10.1016/S1549-3741(03)29003-5</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Patient safety leadership walkrounds: how-to guide. Boston: IHI; 2004.</w:t>
            </w:r>
          </w:p>
          <w:p>
            <w:pPr>
              <w:spacing w:after="36" w:before="0"/>
            </w:pPr>
            <w:r>
              <w:rPr>
                <w:rFonts w:ascii="Arial" w:cs="Arial" w:eastAsia="Arial" w:hAnsi="Arial"/>
                <w:b/>
                <w:bCs/>
                <w:i w:val="false"/>
                <w:iCs w:val="false"/>
                <w:caps w:val="false"/>
                <w:color w:val="6b778c"/>
                <w:sz w:val="12"/>
                <w:szCs w:val="12"/>
              </w:rPr>
              <w:t xml:space="preserve">URL: </w:t>
            </w:r>
            <w:hyperlink w:history="1" r:id="rIdwv9-faxdfctationz4w0x">
              <w:r>
                <w:rPr>
                  <w:rFonts w:ascii="Arial" w:cs="Arial" w:eastAsia="Arial" w:hAnsi="Arial"/>
                  <w:b/>
                  <w:bCs/>
                  <w:color w:val="c9a227"/>
                  <w:sz w:val="12"/>
                  <w:szCs w:val="12"/>
                  <w:u w:val="single"/>
                </w:rPr>
                <w:t xml:space="preserve">http://www.ihi.org/resources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Frankel A, Grillo SP, Pittman M, et al. Revealing and resolving patient safety defects: the impact of leadership WalkRounds on frontline caregiver assessments of patient safety. Health Serv Res. 2008;43(6):2050-2066.</w:t>
            </w:r>
          </w:p>
          <w:p>
            <w:pPr>
              <w:spacing w:after="36" w:before="0"/>
            </w:pPr>
            <w:r>
              <w:rPr>
                <w:rFonts w:ascii="Arial" w:cs="Arial" w:eastAsia="Arial" w:hAnsi="Arial"/>
                <w:b/>
                <w:bCs/>
                <w:i w:val="false"/>
                <w:iCs w:val="false"/>
                <w:caps w:val="false"/>
                <w:color w:val="6b778c"/>
                <w:sz w:val="12"/>
                <w:szCs w:val="12"/>
              </w:rPr>
              <w:t xml:space="preserve">URL: </w:t>
            </w:r>
            <w:hyperlink w:history="1" r:id="rIdyzyj447gbsaie7nfsypuu">
              <w:r>
                <w:rPr>
                  <w:rFonts w:ascii="Arial" w:cs="Arial" w:eastAsia="Arial" w:hAnsi="Arial"/>
                  <w:b/>
                  <w:bCs/>
                  <w:color w:val="c9a227"/>
                  <w:sz w:val="12"/>
                  <w:szCs w:val="12"/>
                  <w:u w:val="single"/>
                </w:rPr>
                <w:t xml:space="preserve">https://doi.org/10.1111/j.1475-6773.2008.00878.x</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12.8 — Safety Huddles and Briefings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Goldenhar LM, Brady PW, Sutcliffe KM, Muething SE. Huddling for high reliability and situation awareness. BMJ Qual Saf. 2013;22(11):899-906.</w:t>
            </w:r>
          </w:p>
          <w:p>
            <w:pPr>
              <w:spacing w:after="36" w:before="0"/>
            </w:pPr>
            <w:r>
              <w:rPr>
                <w:rFonts w:ascii="Arial" w:cs="Arial" w:eastAsia="Arial" w:hAnsi="Arial"/>
                <w:b/>
                <w:bCs/>
                <w:i w:val="false"/>
                <w:iCs w:val="false"/>
                <w:caps w:val="false"/>
                <w:color w:val="6b778c"/>
                <w:sz w:val="12"/>
                <w:szCs w:val="12"/>
              </w:rPr>
              <w:t xml:space="preserve">URL: </w:t>
            </w:r>
            <w:hyperlink w:history="1" r:id="rIdtg2rguibmfrhzcs_antgr">
              <w:r>
                <w:rPr>
                  <w:rFonts w:ascii="Arial" w:cs="Arial" w:eastAsia="Arial" w:hAnsi="Arial"/>
                  <w:b/>
                  <w:bCs/>
                  <w:color w:val="c9a227"/>
                  <w:sz w:val="12"/>
                  <w:szCs w:val="12"/>
                  <w:u w:val="single"/>
                </w:rPr>
                <w:t xml:space="preserve">https://doi.org/10.1136/bmjqs-2012-001467</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Institute for Healthcare Improvement. Huddles: a practical guide. Boston: IHI; 2015.</w:t>
            </w:r>
          </w:p>
          <w:p>
            <w:pPr>
              <w:spacing w:after="36" w:before="0"/>
            </w:pPr>
            <w:r>
              <w:rPr>
                <w:rFonts w:ascii="Arial" w:cs="Arial" w:eastAsia="Arial" w:hAnsi="Arial"/>
                <w:b/>
                <w:bCs/>
                <w:i w:val="false"/>
                <w:iCs w:val="false"/>
                <w:caps w:val="false"/>
                <w:color w:val="6b778c"/>
                <w:sz w:val="12"/>
                <w:szCs w:val="12"/>
              </w:rPr>
              <w:t xml:space="preserve">URL: </w:t>
            </w:r>
            <w:hyperlink w:history="1" r:id="rId2rq6myau_ufqqvrpokgx1">
              <w:r>
                <w:rPr>
                  <w:rFonts w:ascii="Arial" w:cs="Arial" w:eastAsia="Arial" w:hAnsi="Arial"/>
                  <w:b/>
                  <w:bCs/>
                  <w:color w:val="c9a227"/>
                  <w:sz w:val="12"/>
                  <w:szCs w:val="12"/>
                  <w:u w:val="single"/>
                </w:rPr>
                <w:t xml:space="preserve">http://www.ihi.org/resources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Provost SM, Lanham HJ, Leykum LK, McDaniel RR, Pugh J. Health care huddles: managing complexity to achieve high reliability. Health Care Manage Rev. 2015;40(1):2-12.</w:t>
            </w:r>
          </w:p>
          <w:p>
            <w:pPr>
              <w:spacing w:after="36" w:before="0"/>
            </w:pPr>
            <w:r>
              <w:rPr>
                <w:rFonts w:ascii="Arial" w:cs="Arial" w:eastAsia="Arial" w:hAnsi="Arial"/>
                <w:b/>
                <w:bCs/>
                <w:i w:val="false"/>
                <w:iCs w:val="false"/>
                <w:caps w:val="false"/>
                <w:color w:val="6b778c"/>
                <w:sz w:val="12"/>
                <w:szCs w:val="12"/>
              </w:rPr>
              <w:t xml:space="preserve">URL: </w:t>
            </w:r>
            <w:hyperlink w:history="1" r:id="rId6l30t01tigmhr1php75fc">
              <w:r>
                <w:rPr>
                  <w:rFonts w:ascii="Arial" w:cs="Arial" w:eastAsia="Arial" w:hAnsi="Arial"/>
                  <w:b/>
                  <w:bCs/>
                  <w:color w:val="c9a227"/>
                  <w:sz w:val="12"/>
                  <w:szCs w:val="12"/>
                  <w:u w:val="single"/>
                </w:rPr>
                <w:t xml:space="preserve">https://doi.org/10.1097/HMR.0000000000000009</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12.9 — External Accreditation and Peer Review</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Quality of care: a process for making strategic choices in health systems (external evaluation provisions). Geneva: WHO; 2006.</w:t>
            </w:r>
          </w:p>
          <w:p>
            <w:pPr>
              <w:spacing w:after="36" w:before="0"/>
            </w:pPr>
            <w:r>
              <w:rPr>
                <w:rFonts w:ascii="Arial" w:cs="Arial" w:eastAsia="Arial" w:hAnsi="Arial"/>
                <w:b/>
                <w:bCs/>
                <w:i w:val="false"/>
                <w:iCs w:val="false"/>
                <w:caps w:val="false"/>
                <w:color w:val="6b778c"/>
                <w:sz w:val="12"/>
                <w:szCs w:val="12"/>
              </w:rPr>
              <w:t xml:space="preserve">URL: </w:t>
            </w:r>
            <w:hyperlink w:history="1" r:id="rId9vlb9f0lfb2sxoajjkrrm">
              <w:r>
                <w:rPr>
                  <w:rFonts w:ascii="Arial" w:cs="Arial" w:eastAsia="Arial" w:hAnsi="Arial"/>
                  <w:b/>
                  <w:bCs/>
                  <w:color w:val="c9a227"/>
                  <w:sz w:val="12"/>
                  <w:szCs w:val="12"/>
                  <w:u w:val="single"/>
                </w:rPr>
                <w:t xml:space="preserve">https://www.who.int/publications/i/item/9789241548470</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Society for Quality in Health Care. Guidelines and principles for the development of health and social care standards. Dublin: ISQua; 2018.</w:t>
            </w:r>
          </w:p>
          <w:p>
            <w:pPr>
              <w:spacing w:after="36" w:before="0"/>
            </w:pPr>
            <w:r>
              <w:rPr>
                <w:rFonts w:ascii="Arial" w:cs="Arial" w:eastAsia="Arial" w:hAnsi="Arial"/>
                <w:b/>
                <w:bCs/>
                <w:i w:val="false"/>
                <w:iCs w:val="false"/>
                <w:caps w:val="false"/>
                <w:color w:val="6b778c"/>
                <w:sz w:val="12"/>
                <w:szCs w:val="12"/>
              </w:rPr>
              <w:t xml:space="preserve">URL: </w:t>
            </w:r>
            <w:hyperlink w:history="1" r:id="rIdsythubrcw2gkmvgglo7st">
              <w:r>
                <w:rPr>
                  <w:rFonts w:ascii="Arial" w:cs="Arial" w:eastAsia="Arial" w:hAnsi="Arial"/>
                  <w:b/>
                  <w:bCs/>
                  <w:color w:val="c9a227"/>
                  <w:sz w:val="12"/>
                  <w:szCs w:val="12"/>
                  <w:u w:val="single"/>
                </w:rPr>
                <w:t xml:space="preserve">https://isqua.org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Shaw CD, Braithwaite J, Moldovan M, et al. Profiling health-care accreditation organizations: an international survey. Int J Qual Health Care. 2013;25(3):222-231.</w:t>
            </w:r>
          </w:p>
          <w:p>
            <w:pPr>
              <w:spacing w:after="36" w:before="0"/>
            </w:pPr>
            <w:r>
              <w:rPr>
                <w:rFonts w:ascii="Arial" w:cs="Arial" w:eastAsia="Arial" w:hAnsi="Arial"/>
                <w:b/>
                <w:bCs/>
                <w:i w:val="false"/>
                <w:iCs w:val="false"/>
                <w:caps w:val="false"/>
                <w:color w:val="6b778c"/>
                <w:sz w:val="12"/>
                <w:szCs w:val="12"/>
              </w:rPr>
              <w:t xml:space="preserve">URL: </w:t>
            </w:r>
            <w:hyperlink w:history="1" r:id="rId5ed_kesdtpqodh6mpqqch">
              <w:r>
                <w:rPr>
                  <w:rFonts w:ascii="Arial" w:cs="Arial" w:eastAsia="Arial" w:hAnsi="Arial"/>
                  <w:b/>
                  <w:bCs/>
                  <w:color w:val="c9a227"/>
                  <w:sz w:val="12"/>
                  <w:szCs w:val="12"/>
                  <w:u w:val="single"/>
                </w:rPr>
                <w:t xml:space="preserve">https://doi.org/10.1093/intqhc/mzt011</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12.10 — National and International Benchmarking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Global reference list of 100 core health indicators. Geneva: WHO; 2018.</w:t>
            </w:r>
          </w:p>
          <w:p>
            <w:pPr>
              <w:spacing w:after="36" w:before="0"/>
            </w:pPr>
            <w:r>
              <w:rPr>
                <w:rFonts w:ascii="Arial" w:cs="Arial" w:eastAsia="Arial" w:hAnsi="Arial"/>
                <w:b/>
                <w:bCs/>
                <w:i w:val="false"/>
                <w:iCs w:val="false"/>
                <w:caps w:val="false"/>
                <w:color w:val="6b778c"/>
                <w:sz w:val="12"/>
                <w:szCs w:val="12"/>
              </w:rPr>
              <w:t xml:space="preserve">URL: </w:t>
            </w:r>
            <w:hyperlink w:history="1" r:id="rIdmh_durgc0kzafyozf9gzi">
              <w:r>
                <w:rPr>
                  <w:rFonts w:ascii="Arial" w:cs="Arial" w:eastAsia="Arial" w:hAnsi="Arial"/>
                  <w:b/>
                  <w:bCs/>
                  <w:color w:val="c9a227"/>
                  <w:sz w:val="12"/>
                  <w:szCs w:val="12"/>
                  <w:u w:val="single"/>
                </w:rPr>
                <w:t xml:space="preserve">https://www.who.int/publications/i/item/WHO-HIS-IER-GPM-2018.1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Organisation for Economic Co-operation and Development. Health at a Glance: OECD Indicators. Paris: OECD; 2021.</w:t>
            </w:r>
          </w:p>
          <w:p>
            <w:pPr>
              <w:spacing w:after="36" w:before="0"/>
            </w:pPr>
            <w:r>
              <w:rPr>
                <w:rFonts w:ascii="Arial" w:cs="Arial" w:eastAsia="Arial" w:hAnsi="Arial"/>
                <w:b/>
                <w:bCs/>
                <w:i w:val="false"/>
                <w:iCs w:val="false"/>
                <w:caps w:val="false"/>
                <w:color w:val="6b778c"/>
                <w:sz w:val="12"/>
                <w:szCs w:val="12"/>
              </w:rPr>
              <w:t xml:space="preserve">URL: </w:t>
            </w:r>
            <w:hyperlink w:history="1" r:id="rIdjxurl7seclyu9lrbkm0zl">
              <w:r>
                <w:rPr>
                  <w:rFonts w:ascii="Arial" w:cs="Arial" w:eastAsia="Arial" w:hAnsi="Arial"/>
                  <w:b/>
                  <w:bCs/>
                  <w:color w:val="c9a227"/>
                  <w:sz w:val="12"/>
                  <w:szCs w:val="12"/>
                  <w:u w:val="single"/>
                </w:rPr>
                <w:t xml:space="preserve">https://www.oecd.org/health/health-at-a-glance/</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Society for Quality in Health Care. External evaluation and benchmarking guidance. Dublin: ISQua; 2019.</w:t>
            </w:r>
          </w:p>
          <w:p>
            <w:pPr>
              <w:spacing w:after="36" w:before="0"/>
            </w:pPr>
            <w:r>
              <w:rPr>
                <w:rFonts w:ascii="Arial" w:cs="Arial" w:eastAsia="Arial" w:hAnsi="Arial"/>
                <w:b/>
                <w:bCs/>
                <w:i w:val="false"/>
                <w:iCs w:val="false"/>
                <w:caps w:val="false"/>
                <w:color w:val="6b778c"/>
                <w:sz w:val="12"/>
                <w:szCs w:val="12"/>
              </w:rPr>
              <w:t xml:space="preserve">URL: </w:t>
            </w:r>
            <w:hyperlink w:history="1" r:id="rIdg9qrve9v14boitl6x0clo">
              <w:r>
                <w:rPr>
                  <w:rFonts w:ascii="Arial" w:cs="Arial" w:eastAsia="Arial" w:hAnsi="Arial"/>
                  <w:b/>
                  <w:bCs/>
                  <w:color w:val="c9a227"/>
                  <w:sz w:val="12"/>
                  <w:szCs w:val="12"/>
                  <w:u w:val="single"/>
                </w:rPr>
                <w:t xml:space="preserve">https://isqua.org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12: QPS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25</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Action plan — RCA  </w:t>
            </w:r>
            <w:r>
              <w:rPr>
                <w:rFonts w:ascii="Arial" w:cs="Arial" w:eastAsia="Arial" w:hAnsi="Arial"/>
                <w:b w:val="false"/>
                <w:bCs w:val="false"/>
                <w:i w:val="false"/>
                <w:iCs w:val="false"/>
                <w:caps w:val="false"/>
                <w:color w:val="6b778c"/>
                <w:sz w:val="12"/>
                <w:szCs w:val="12"/>
              </w:rPr>
              <w:t xml:space="preserve">12.2 (p.5)</w:t>
            </w:r>
          </w:p>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Benchmarking — national/international  </w:t>
            </w:r>
            <w:r>
              <w:rPr>
                <w:rFonts w:ascii="Arial" w:cs="Arial" w:eastAsia="Arial" w:hAnsi="Arial"/>
                <w:b w:val="false"/>
                <w:bCs w:val="false"/>
                <w:i w:val="false"/>
                <w:iCs w:val="false"/>
                <w:caps w:val="false"/>
                <w:color w:val="6b778c"/>
                <w:sz w:val="12"/>
                <w:szCs w:val="12"/>
              </w:rPr>
              <w:t xml:space="preserve">12.10 (p.21)</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External accreditation / peer review  </w:t>
            </w:r>
            <w:r>
              <w:rPr>
                <w:rFonts w:ascii="Arial" w:cs="Arial" w:eastAsia="Arial" w:hAnsi="Arial"/>
                <w:b w:val="false"/>
                <w:bCs w:val="false"/>
                <w:i w:val="false"/>
                <w:iCs w:val="false"/>
                <w:caps w:val="false"/>
                <w:color w:val="6b778c"/>
                <w:sz w:val="12"/>
                <w:szCs w:val="12"/>
              </w:rPr>
              <w:t xml:space="preserve">12.9 (p.19)</w:t>
            </w:r>
          </w:p>
          <w:p>
            <w:pPr>
              <w:spacing w:after="10" w:before="0"/>
            </w:pPr>
            <w:r>
              <w:rPr>
                <w:rFonts w:ascii="Arial" w:cs="Arial" w:eastAsia="Arial" w:hAnsi="Arial"/>
                <w:b/>
                <w:bCs/>
                <w:i w:val="false"/>
                <w:iCs w:val="false"/>
                <w:caps w:val="false"/>
                <w:color w:val="14335c"/>
                <w:sz w:val="13"/>
                <w:szCs w:val="13"/>
              </w:rPr>
              <w:t xml:space="preserve">Fishbone / 5 Whys  </w:t>
            </w:r>
            <w:r>
              <w:rPr>
                <w:rFonts w:ascii="Arial" w:cs="Arial" w:eastAsia="Arial" w:hAnsi="Arial"/>
                <w:b w:val="false"/>
                <w:bCs w:val="false"/>
                <w:i w:val="false"/>
                <w:iCs w:val="false"/>
                <w:caps w:val="false"/>
                <w:color w:val="6b778c"/>
                <w:sz w:val="12"/>
                <w:szCs w:val="12"/>
              </w:rPr>
              <w:t xml:space="preserve">12.2 (p.5)</w:t>
            </w:r>
          </w:p>
          <w:p>
            <w:pPr>
              <w:spacing w:after="10" w:before="0"/>
            </w:pPr>
            <w:r>
              <w:rPr>
                <w:rFonts w:ascii="Arial" w:cs="Arial" w:eastAsia="Arial" w:hAnsi="Arial"/>
                <w:b/>
                <w:bCs/>
                <w:i w:val="false"/>
                <w:iCs w:val="false"/>
                <w:caps w:val="false"/>
                <w:color w:val="14335c"/>
                <w:sz w:val="13"/>
                <w:szCs w:val="13"/>
              </w:rPr>
              <w:t xml:space="preserve">HSOPSC — safety culture survey  </w:t>
            </w:r>
            <w:r>
              <w:rPr>
                <w:rFonts w:ascii="Arial" w:cs="Arial" w:eastAsia="Arial" w:hAnsi="Arial"/>
                <w:b w:val="false"/>
                <w:bCs w:val="false"/>
                <w:i w:val="false"/>
                <w:iCs w:val="false"/>
                <w:caps w:val="false"/>
                <w:color w:val="6b778c"/>
                <w:sz w:val="12"/>
                <w:szCs w:val="12"/>
              </w:rPr>
              <w:t xml:space="preserve">12.3 (p.7)</w:t>
            </w:r>
          </w:p>
          <w:p>
            <w:pPr>
              <w:spacing w:after="10" w:before="0"/>
            </w:pPr>
            <w:r>
              <w:rPr>
                <w:rFonts w:ascii="Arial" w:cs="Arial" w:eastAsia="Arial" w:hAnsi="Arial"/>
                <w:b/>
                <w:bCs/>
                <w:i w:val="false"/>
                <w:iCs w:val="false"/>
                <w:caps w:val="false"/>
                <w:color w:val="14335c"/>
                <w:sz w:val="13"/>
                <w:szCs w:val="13"/>
              </w:rPr>
              <w:t xml:space="preserve">Huddle — structured safety  </w:t>
            </w:r>
            <w:r>
              <w:rPr>
                <w:rFonts w:ascii="Arial" w:cs="Arial" w:eastAsia="Arial" w:hAnsi="Arial"/>
                <w:b w:val="false"/>
                <w:bCs w:val="false"/>
                <w:i w:val="false"/>
                <w:iCs w:val="false"/>
                <w:caps w:val="false"/>
                <w:color w:val="6b778c"/>
                <w:sz w:val="12"/>
                <w:szCs w:val="12"/>
              </w:rPr>
              <w:t xml:space="preserve">12.8 (p.17)</w:t>
            </w:r>
          </w:p>
          <w:p>
            <w:pPr>
              <w:spacing w:after="10" w:before="0"/>
            </w:pPr>
            <w:r>
              <w:rPr>
                <w:rFonts w:ascii="Arial" w:cs="Arial" w:eastAsia="Arial" w:hAnsi="Arial"/>
                <w:b/>
                <w:bCs/>
                <w:i w:val="false"/>
                <w:iCs w:val="false"/>
                <w:caps w:val="false"/>
                <w:color w:val="14335c"/>
                <w:sz w:val="13"/>
                <w:szCs w:val="13"/>
              </w:rPr>
              <w:t xml:space="preserve">Incident reporting system  </w:t>
            </w:r>
            <w:r>
              <w:rPr>
                <w:rFonts w:ascii="Arial" w:cs="Arial" w:eastAsia="Arial" w:hAnsi="Arial"/>
                <w:b w:val="false"/>
                <w:bCs w:val="false"/>
                <w:i w:val="false"/>
                <w:iCs w:val="false"/>
                <w:caps w:val="false"/>
                <w:color w:val="6b778c"/>
                <w:sz w:val="12"/>
                <w:szCs w:val="12"/>
              </w:rPr>
              <w:t xml:space="preserve">12.1 (p.3)</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12.1–12.5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12.6–12.8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12.9–12.10 (p.19–22)</w:t>
            </w:r>
          </w:p>
          <w:p>
            <w:pPr>
              <w:spacing w:after="10" w:before="0"/>
            </w:pPr>
            <w:r>
              <w:rPr>
                <w:rFonts w:ascii="Arial" w:cs="Arial" w:eastAsia="Arial" w:hAnsi="Arial"/>
                <w:b/>
                <w:bCs/>
                <w:i w:val="false"/>
                <w:iCs w:val="false"/>
                <w:caps w:val="false"/>
                <w:color w:val="14335c"/>
                <w:sz w:val="13"/>
                <w:szCs w:val="13"/>
              </w:rPr>
              <w:t xml:space="preserve">Mortality and morbidity review  </w:t>
            </w:r>
            <w:r>
              <w:rPr>
                <w:rFonts w:ascii="Arial" w:cs="Arial" w:eastAsia="Arial" w:hAnsi="Arial"/>
                <w:b w:val="false"/>
                <w:bCs w:val="false"/>
                <w:i w:val="false"/>
                <w:iCs w:val="false"/>
                <w:caps w:val="false"/>
                <w:color w:val="6b778c"/>
                <w:sz w:val="12"/>
                <w:szCs w:val="12"/>
              </w:rPr>
              <w:t xml:space="preserve">12.6 (p.13)</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Multidisciplinary team — RCA  </w:t>
            </w:r>
            <w:r>
              <w:rPr>
                <w:rFonts w:ascii="Arial" w:cs="Arial" w:eastAsia="Arial" w:hAnsi="Arial"/>
                <w:b w:val="false"/>
                <w:bCs w:val="false"/>
                <w:i w:val="false"/>
                <w:iCs w:val="false"/>
                <w:caps w:val="false"/>
                <w:color w:val="6b778c"/>
                <w:sz w:val="12"/>
                <w:szCs w:val="12"/>
              </w:rPr>
              <w:t xml:space="preserve">12.2 (p.5)</w:t>
            </w:r>
          </w:p>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Near-miss reporting  </w:t>
            </w:r>
            <w:r>
              <w:rPr>
                <w:rFonts w:ascii="Arial" w:cs="Arial" w:eastAsia="Arial" w:hAnsi="Arial"/>
                <w:b w:val="false"/>
                <w:bCs w:val="false"/>
                <w:i w:val="false"/>
                <w:iCs w:val="false"/>
                <w:caps w:val="false"/>
                <w:color w:val="6b778c"/>
                <w:sz w:val="12"/>
                <w:szCs w:val="12"/>
              </w:rPr>
              <w:t xml:space="preserve">12.5 (p.11)</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Patient safety culture measurement  </w:t>
            </w:r>
            <w:r>
              <w:rPr>
                <w:rFonts w:ascii="Arial" w:cs="Arial" w:eastAsia="Arial" w:hAnsi="Arial"/>
                <w:b w:val="false"/>
                <w:bCs w:val="false"/>
                <w:i w:val="false"/>
                <w:iCs w:val="false"/>
                <w:caps w:val="false"/>
                <w:color w:val="6b778c"/>
                <w:sz w:val="12"/>
                <w:szCs w:val="12"/>
              </w:rPr>
              <w:t xml:space="preserve">12.3 (p.7)</w:t>
            </w:r>
          </w:p>
          <w:p>
            <w:pPr>
              <w:spacing w:after="10" w:before="0"/>
            </w:pPr>
            <w:r>
              <w:rPr>
                <w:rFonts w:ascii="Arial" w:cs="Arial" w:eastAsia="Arial" w:hAnsi="Arial"/>
                <w:b/>
                <w:bCs/>
                <w:i w:val="false"/>
                <w:iCs w:val="false"/>
                <w:caps w:val="false"/>
                <w:color w:val="14335c"/>
                <w:sz w:val="13"/>
                <w:szCs w:val="13"/>
              </w:rPr>
              <w:t xml:space="preserve">Re-audit  </w:t>
            </w:r>
            <w:r>
              <w:rPr>
                <w:rFonts w:ascii="Arial" w:cs="Arial" w:eastAsia="Arial" w:hAnsi="Arial"/>
                <w:b w:val="false"/>
                <w:bCs w:val="false"/>
                <w:i w:val="false"/>
                <w:iCs w:val="false"/>
                <w:caps w:val="false"/>
                <w:color w:val="6b778c"/>
                <w:sz w:val="12"/>
                <w:szCs w:val="12"/>
              </w:rPr>
              <w:t xml:space="preserve">12.4 (p.9)</w:t>
            </w:r>
          </w:p>
          <w:p>
            <w:pPr>
              <w:spacing w:after="10" w:before="0"/>
            </w:pPr>
            <w:r>
              <w:rPr>
                <w:rFonts w:ascii="Arial" w:cs="Arial" w:eastAsia="Arial" w:hAnsi="Arial"/>
                <w:b/>
                <w:bCs/>
                <w:i w:val="false"/>
                <w:iCs w:val="false"/>
                <w:caps w:val="false"/>
                <w:color w:val="14335c"/>
                <w:sz w:val="13"/>
                <w:szCs w:val="13"/>
              </w:rPr>
              <w:t xml:space="preserve">Root cause analysis (RCA)  </w:t>
            </w:r>
            <w:r>
              <w:rPr>
                <w:rFonts w:ascii="Arial" w:cs="Arial" w:eastAsia="Arial" w:hAnsi="Arial"/>
                <w:b w:val="false"/>
                <w:bCs w:val="false"/>
                <w:i w:val="false"/>
                <w:iCs w:val="false"/>
                <w:caps w:val="false"/>
                <w:color w:val="6b778c"/>
                <w:sz w:val="12"/>
                <w:szCs w:val="12"/>
              </w:rPr>
              <w:t xml:space="preserve">12.2 (p.5)</w:t>
            </w:r>
          </w:p>
          <w:p>
            <w:pPr>
              <w:spacing w:after="10" w:before="0"/>
            </w:pPr>
            <w:r>
              <w:rPr>
                <w:rFonts w:ascii="Arial" w:cs="Arial" w:eastAsia="Arial" w:hAnsi="Arial"/>
                <w:b/>
                <w:bCs/>
                <w:i w:val="false"/>
                <w:iCs w:val="false"/>
                <w:caps w:val="false"/>
                <w:color w:val="14335c"/>
                <w:sz w:val="13"/>
                <w:szCs w:val="13"/>
              </w:rPr>
              <w:t xml:space="preserve">Severity classification — incidents  </w:t>
            </w:r>
            <w:r>
              <w:rPr>
                <w:rFonts w:ascii="Arial" w:cs="Arial" w:eastAsia="Arial" w:hAnsi="Arial"/>
                <w:b w:val="false"/>
                <w:bCs w:val="false"/>
                <w:i w:val="false"/>
                <w:iCs w:val="false"/>
                <w:caps w:val="false"/>
                <w:color w:val="6b778c"/>
                <w:sz w:val="12"/>
                <w:szCs w:val="12"/>
              </w:rPr>
              <w:t xml:space="preserve">12.1 (p.3)</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Walkrounds — leadership  </w:t>
            </w:r>
            <w:r>
              <w:rPr>
                <w:rFonts w:ascii="Arial" w:cs="Arial" w:eastAsia="Arial" w:hAnsi="Arial"/>
                <w:b w:val="false"/>
                <w:bCs w:val="false"/>
                <w:i w:val="false"/>
                <w:iCs w:val="false"/>
                <w:caps w:val="false"/>
                <w:color w:val="6b778c"/>
                <w:sz w:val="12"/>
                <w:szCs w:val="12"/>
              </w:rPr>
              <w:t xml:space="preserve">12.7 (p.15)</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12 — Quality Improvement &amp; Patient Safety Culture. Version 2.0. Paris: ASF; 2025.   </w:t>
    </w:r>
    <w:r>
      <w:rPr>
        <w:rFonts w:ascii="Arial" w:cs="Arial" w:eastAsia="Arial" w:hAnsi="Arial"/>
        <w:i/>
        <w:iCs/>
        <w:color w:val="aaaaaa"/>
        <w:sz w:val="16"/>
        <w:szCs w:val="16"/>
      </w:rPr>
      <w:t xml:space="preserve">Ref: ASF-CH12-QPS-v2.0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cj1hcz3zz5ilaupt1xj" Type="http://schemas.openxmlformats.org/officeDocument/2006/relationships/hyperlink" Target="https://france-asf.fr" TargetMode="External"/><Relationship Id="rIdmmrpqyklb1dxh2ubfruul" Type="http://schemas.openxmlformats.org/officeDocument/2006/relationships/hyperlink" Target="mailto:info@france-asf.fr" TargetMode="External"/><Relationship Id="rIduluu36paz-zyvp5qod9ma" Type="http://schemas.openxmlformats.org/officeDocument/2006/relationships/hyperlink" Target="https://academy.gmj.ge" TargetMode="External"/><Relationship Id="rIdecpt-wvz3qnllz-ynclf5" Type="http://schemas.openxmlformats.org/officeDocument/2006/relationships/hyperlink" Target="mailto:info@france-asf.fr" TargetMode="External"/><Relationship Id="rIdob-w2kb-l0_lakq3cyeyb" Type="http://schemas.openxmlformats.org/officeDocument/2006/relationships/hyperlink" Target="https://france-asf.fr" TargetMode="External"/><Relationship Id="rIdh6mqdyhk5l7hrnoqc-ozf" Type="http://schemas.openxmlformats.org/officeDocument/2006/relationships/hyperlink" Target="https://academy.gmj.ge" TargetMode="External"/><Relationship Id="rId9kbcvfrvzkufpteujni6o" Type="http://schemas.openxmlformats.org/officeDocument/2006/relationships/hyperlink" Target="mailto:info@france-asf.fr" TargetMode="External"/><Relationship Id="rIdaxy5-c_tuhanvgesgqcyo" Type="http://schemas.openxmlformats.org/officeDocument/2006/relationships/hyperlink" Target="https://www.who.int/publications/i/item/9241594822" TargetMode="External"/><Relationship Id="rIdm0qqoq7onlx-qnmmbq2kj" Type="http://schemas.openxmlformats.org/officeDocument/2006/relationships/hyperlink" Target="https://www.who.int/publications/i/item/9789240010600" TargetMode="External"/><Relationship Id="rIdzdzsznm3ddapzgcaeilrp" Type="http://schemas.openxmlformats.org/officeDocument/2006/relationships/hyperlink" Target="http://www.ihi.org/resources/Pages/Tools/PatientSafetyEssentialsToolkit.aspx" TargetMode="External"/><Relationship Id="rIdha7senpdhph-ou2khdpi1" Type="http://schemas.openxmlformats.org/officeDocument/2006/relationships/hyperlink" Target="https://academy.gmj.ge/ch12-1-incident-reporting-system" TargetMode="External"/><Relationship Id="rIdykj_ykvskpywtz4lemdox" Type="http://schemas.openxmlformats.org/officeDocument/2006/relationships/hyperlink" Target="https://www.who.int/publications/i/item/9789240010600" TargetMode="External"/><Relationship Id="rIdqzy9tombcvrabgxo_frkz" Type="http://schemas.openxmlformats.org/officeDocument/2006/relationships/hyperlink" Target="https://www.ihi.org/resources/Pages/Tools/RCA2-Improving-Root-Cause-Analyses-and-Actions-to-Prevent-Harm.aspx" TargetMode="External"/><Relationship Id="rIdj3fm6j-fvswmckpohu7hy" Type="http://schemas.openxmlformats.org/officeDocument/2006/relationships/hyperlink" Target="https://doi.org/10.1136/bmj.316.7138.1154" TargetMode="External"/><Relationship Id="rId_hz1qbkhtf1sfl37a6prd" Type="http://schemas.openxmlformats.org/officeDocument/2006/relationships/hyperlink" Target="https://academy.gmj.ge/ch12-2-root-cause-analysis" TargetMode="External"/><Relationship Id="rId_1zqwitlnz93po9hgqkqa" Type="http://schemas.openxmlformats.org/officeDocument/2006/relationships/hyperlink" Target="https://www.who.int/publications" TargetMode="External"/><Relationship Id="rId_o5lqio6cfdincht6y7a4" Type="http://schemas.openxmlformats.org/officeDocument/2006/relationships/hyperlink" Target="https://www.ahrq.gov/sops/surveys/hospital/index.html" TargetMode="External"/><Relationship Id="rIdk6cgd9hcnpah9aklvrhvj" Type="http://schemas.openxmlformats.org/officeDocument/2006/relationships/hyperlink" Target="https://www.ahrq.gov/sops/surveys/hospital/index.html" TargetMode="External"/><Relationship Id="rIddqfq0y2eoxawv4heygjj_" Type="http://schemas.openxmlformats.org/officeDocument/2006/relationships/hyperlink" Target="https://academy.gmj.ge/ch12-3-patient-safety-culture-measurement" TargetMode="External"/><Relationship Id="rIdcbz8bvgiykubztvozfvsy" Type="http://schemas.openxmlformats.org/officeDocument/2006/relationships/hyperlink" Target="https://www.nice.org.uk" TargetMode="External"/><Relationship Id="rIdo_xefsmuawfe8_auxo8jx" Type="http://schemas.openxmlformats.org/officeDocument/2006/relationships/hyperlink" Target="https://www.hqip.org.uk" TargetMode="External"/><Relationship Id="rIdi8tqvx41toaptzoersjkt" Type="http://schemas.openxmlformats.org/officeDocument/2006/relationships/hyperlink" Target="https://www.who.int/publications/i/item/9789241548470" TargetMode="External"/><Relationship Id="rIdrwa5pmea6szyd8njh0ekg" Type="http://schemas.openxmlformats.org/officeDocument/2006/relationships/hyperlink" Target="https://academy.gmj.ge/ch12-4-clinical-audit-programme" TargetMode="External"/><Relationship Id="rIdwdut5msf7qllm2ygy7gic" Type="http://schemas.openxmlformats.org/officeDocument/2006/relationships/hyperlink" Target="https://www.who.int/publications/i/item/9789240010600" TargetMode="External"/><Relationship Id="rIdjboantrt1qpubv9oyjvzn" Type="http://schemas.openxmlformats.org/officeDocument/2006/relationships/hyperlink" Target="https://doi.org/10.1136/bmj.320.7237.759" TargetMode="External"/><Relationship Id="rIdmtjcrwirqpg23cfyzv52q" Type="http://schemas.openxmlformats.org/officeDocument/2006/relationships/hyperlink" Target="https://doi.org/10.1016/S0925-7535(03)00023-7" TargetMode="External"/><Relationship Id="rIdrka477rjmtydeu9mgtj48" Type="http://schemas.openxmlformats.org/officeDocument/2006/relationships/hyperlink" Target="https://academy.gmj.ge/ch12-5-near-miss-reporting-learning" TargetMode="External"/><Relationship Id="rIdgillmzbrkxiwbjjuuc4vq" Type="http://schemas.openxmlformats.org/officeDocument/2006/relationships/hyperlink" Target="https://www.who.int/publications/i/item/9789241548470" TargetMode="External"/><Relationship Id="rIdjr_uedfpoefsuxzu46a7c" Type="http://schemas.openxmlformats.org/officeDocument/2006/relationships/hyperlink" Target="https://doi.org/10.1136/bmjqs-2011-000603" TargetMode="External"/><Relationship Id="rIdkpxb80addhaskdnu78un2" Type="http://schemas.openxmlformats.org/officeDocument/2006/relationships/hyperlink" Target="https://doi.org/10.1016/j.amjsurg.2014.10.015" TargetMode="External"/><Relationship Id="rIdpr0d9iomiafkx8xjgxh9o" Type="http://schemas.openxmlformats.org/officeDocument/2006/relationships/hyperlink" Target="https://academy.gmj.ge/ch12-6-mortality-morbidity-review" TargetMode="External"/><Relationship Id="rIdt4bpo_m1pwcxsjrgxqhp8" Type="http://schemas.openxmlformats.org/officeDocument/2006/relationships/hyperlink" Target="https://doi.org/10.1016/S1549-3741(03)29003-5" TargetMode="External"/><Relationship Id="rIdycw8qfhwc-zvayl1fnlzv" Type="http://schemas.openxmlformats.org/officeDocument/2006/relationships/hyperlink" Target="http://www.ihi.org/resources" TargetMode="External"/><Relationship Id="rIdlckouvkwtdpknctvsd1hi" Type="http://schemas.openxmlformats.org/officeDocument/2006/relationships/hyperlink" Target="https://doi.org/10.1111/j.1475-6773.2008.00878.x" TargetMode="External"/><Relationship Id="rIdqsaeelgcoqabyhabsedem" Type="http://schemas.openxmlformats.org/officeDocument/2006/relationships/hyperlink" Target="https://academy.gmj.ge/ch12-7-patient-safety-walkrounds" TargetMode="External"/><Relationship Id="rIdtf4vsda7jusokfg3e0fyl" Type="http://schemas.openxmlformats.org/officeDocument/2006/relationships/hyperlink" Target="https://doi.org/10.1136/bmjqs-2012-001467" TargetMode="External"/><Relationship Id="rIdmmelu-wcdpziwqydwqfmi" Type="http://schemas.openxmlformats.org/officeDocument/2006/relationships/hyperlink" Target="http://www.ihi.org/resources" TargetMode="External"/><Relationship Id="rIdei8fvpnivezgnz1hfw4rf" Type="http://schemas.openxmlformats.org/officeDocument/2006/relationships/hyperlink" Target="https://doi.org/10.1097/HMR.0000000000000009" TargetMode="External"/><Relationship Id="rIdvqkqojocpiqhj6y743xoa" Type="http://schemas.openxmlformats.org/officeDocument/2006/relationships/hyperlink" Target="https://academy.gmj.ge/ch12-8-safety-huddles-briefings" TargetMode="External"/><Relationship Id="rIdnezux7_hle2cd9szlefq5" Type="http://schemas.openxmlformats.org/officeDocument/2006/relationships/hyperlink" Target="https://www.who.int/publications/i/item/9789241548470" TargetMode="External"/><Relationship Id="rIds9xpcn1r_vgurv3lwy2jy" Type="http://schemas.openxmlformats.org/officeDocument/2006/relationships/hyperlink" Target="https://isqua.org" TargetMode="External"/><Relationship Id="rIdbcwbbibqpbgvwl3urvcy8" Type="http://schemas.openxmlformats.org/officeDocument/2006/relationships/hyperlink" Target="https://doi.org/10.1093/intqhc/mzt011" TargetMode="External"/><Relationship Id="rIddplye_tt9egwp04ch6gmo" Type="http://schemas.openxmlformats.org/officeDocument/2006/relationships/hyperlink" Target="https://academy.gmj.ge/ch12-9-external-accreditation-peer-review" TargetMode="External"/><Relationship Id="rIdbsnrmntvschbqpco4x1_o" Type="http://schemas.openxmlformats.org/officeDocument/2006/relationships/hyperlink" Target="https://www.who.int/publications/i/item/WHO-HIS-IER-GPM-2018.1" TargetMode="External"/><Relationship Id="rIdnt-cveixz8bwz1lmsdzdt" Type="http://schemas.openxmlformats.org/officeDocument/2006/relationships/hyperlink" Target="https://www.oecd.org/health/health-at-a-glance/" TargetMode="External"/><Relationship Id="rIdcz2kzc532m7oir_oaogfv" Type="http://schemas.openxmlformats.org/officeDocument/2006/relationships/hyperlink" Target="https://isqua.org" TargetMode="External"/><Relationship Id="rIdzskpj056zrgd9zemzv9w8" Type="http://schemas.openxmlformats.org/officeDocument/2006/relationships/hyperlink" Target="https://academy.gmj.ge/ch12-10-national-international-benchmarking" TargetMode="External"/><Relationship Id="rIdehjaxdaj9o1alcm4pzqij" Type="http://schemas.openxmlformats.org/officeDocument/2006/relationships/hyperlink" Target="https://www.who.int/publications/i/item/9241594822" TargetMode="External"/><Relationship Id="rIdtopxqkex7_sfid_l3yocv" Type="http://schemas.openxmlformats.org/officeDocument/2006/relationships/hyperlink" Target="https://www.who.int/publications/i/item/9789240010600" TargetMode="External"/><Relationship Id="rIdahfcsua5s-mefgsasmuol" Type="http://schemas.openxmlformats.org/officeDocument/2006/relationships/hyperlink" Target="http://www.ihi.org/resources/Pages/Tools/PatientSafetyEssentialsToolkit.aspx" TargetMode="External"/><Relationship Id="rId0g66jwcsottzpcr6ceeyh" Type="http://schemas.openxmlformats.org/officeDocument/2006/relationships/hyperlink" Target="https://www.who.int/publications/i/item/9789240010600" TargetMode="External"/><Relationship Id="rIdholijeyhnmuueiwgtldtk" Type="http://schemas.openxmlformats.org/officeDocument/2006/relationships/hyperlink" Target="https://www.ihi.org/resources/Pages/Tools/RCA2-Improving-Root-Cause-Analyses-and-Actions-to-Prevent-Harm.aspx" TargetMode="External"/><Relationship Id="rIdjlegazurqrvpk2l4zmasi" Type="http://schemas.openxmlformats.org/officeDocument/2006/relationships/hyperlink" Target="https://doi.org/10.1136/bmj.316.7138.1154" TargetMode="External"/><Relationship Id="rIdgt74niv-pnemj1q0vl3el" Type="http://schemas.openxmlformats.org/officeDocument/2006/relationships/hyperlink" Target="https://www.who.int/publications" TargetMode="External"/><Relationship Id="rIdbemszo9ruloifgnkbu53v" Type="http://schemas.openxmlformats.org/officeDocument/2006/relationships/hyperlink" Target="https://www.ahrq.gov/sops/surveys/hospital/index.html" TargetMode="External"/><Relationship Id="rIdijbzexmoz4mak6l9wfi-h" Type="http://schemas.openxmlformats.org/officeDocument/2006/relationships/hyperlink" Target="https://www.ahrq.gov/sops/surveys/hospital/index.html" TargetMode="External"/><Relationship Id="rIdlypkko-6trdbjssvbkkym" Type="http://schemas.openxmlformats.org/officeDocument/2006/relationships/hyperlink" Target="https://www.nice.org.uk" TargetMode="External"/><Relationship Id="rIdwmsja_-17_9iapl31prj5" Type="http://schemas.openxmlformats.org/officeDocument/2006/relationships/hyperlink" Target="https://www.hqip.org.uk" TargetMode="External"/><Relationship Id="rIdvliyj1fhtushedbcxoo9m" Type="http://schemas.openxmlformats.org/officeDocument/2006/relationships/hyperlink" Target="https://www.who.int/publications/i/item/9789241548470" TargetMode="External"/><Relationship Id="rIdwk3t_515q3xdtgrapwurm" Type="http://schemas.openxmlformats.org/officeDocument/2006/relationships/hyperlink" Target="https://www.who.int/publications/i/item/9789240010600" TargetMode="External"/><Relationship Id="rIdropdzglknrloivv1fyuqq" Type="http://schemas.openxmlformats.org/officeDocument/2006/relationships/hyperlink" Target="https://doi.org/10.1136/bmj.320.7237.759" TargetMode="External"/><Relationship Id="rIdtvhg8r1kdsxtbxwnqco5k" Type="http://schemas.openxmlformats.org/officeDocument/2006/relationships/hyperlink" Target="https://doi.org/10.1016/S0925-7535(03)00023-7" TargetMode="External"/><Relationship Id="rIdp6w4zzy3rviuhkewfi4qv" Type="http://schemas.openxmlformats.org/officeDocument/2006/relationships/hyperlink" Target="https://www.who.int/publications/i/item/9789241548470" TargetMode="External"/><Relationship Id="rId_l4nsxphf3ts8zgvagqhf" Type="http://schemas.openxmlformats.org/officeDocument/2006/relationships/hyperlink" Target="https://doi.org/10.1136/bmjqs-2011-000603" TargetMode="External"/><Relationship Id="rIdak9dlstrogyzeu1atudcp" Type="http://schemas.openxmlformats.org/officeDocument/2006/relationships/hyperlink" Target="https://doi.org/10.1016/j.amjsurg.2014.10.015" TargetMode="External"/><Relationship Id="rIdsdpfbh8osn1-rbmizoshm" Type="http://schemas.openxmlformats.org/officeDocument/2006/relationships/hyperlink" Target="https://doi.org/10.1016/S1549-3741(03)29003-5" TargetMode="External"/><Relationship Id="rIdwv9-faxdfctationz4w0x" Type="http://schemas.openxmlformats.org/officeDocument/2006/relationships/hyperlink" Target="http://www.ihi.org/resources" TargetMode="External"/><Relationship Id="rIdyzyj447gbsaie7nfsypuu" Type="http://schemas.openxmlformats.org/officeDocument/2006/relationships/hyperlink" Target="https://doi.org/10.1111/j.1475-6773.2008.00878.x" TargetMode="External"/><Relationship Id="rIdtg2rguibmfrhzcs_antgr" Type="http://schemas.openxmlformats.org/officeDocument/2006/relationships/hyperlink" Target="https://doi.org/10.1136/bmjqs-2012-001467" TargetMode="External"/><Relationship Id="rId2rq6myau_ufqqvrpokgx1" Type="http://schemas.openxmlformats.org/officeDocument/2006/relationships/hyperlink" Target="http://www.ihi.org/resources" TargetMode="External"/><Relationship Id="rId6l30t01tigmhr1php75fc" Type="http://schemas.openxmlformats.org/officeDocument/2006/relationships/hyperlink" Target="https://doi.org/10.1097/HMR.0000000000000009" TargetMode="External"/><Relationship Id="rId9vlb9f0lfb2sxoajjkrrm" Type="http://schemas.openxmlformats.org/officeDocument/2006/relationships/hyperlink" Target="https://www.who.int/publications/i/item/9789241548470" TargetMode="External"/><Relationship Id="rIdsythubrcw2gkmvgglo7st" Type="http://schemas.openxmlformats.org/officeDocument/2006/relationships/hyperlink" Target="https://isqua.org" TargetMode="External"/><Relationship Id="rId5ed_kesdtpqodh6mpqqch" Type="http://schemas.openxmlformats.org/officeDocument/2006/relationships/hyperlink" Target="https://doi.org/10.1093/intqhc/mzt011" TargetMode="External"/><Relationship Id="rIdmh_durgc0kzafyozf9gzi" Type="http://schemas.openxmlformats.org/officeDocument/2006/relationships/hyperlink" Target="https://www.who.int/publications/i/item/WHO-HIS-IER-GPM-2018.1" TargetMode="External"/><Relationship Id="rIdjxurl7seclyu9lrbkm0zl" Type="http://schemas.openxmlformats.org/officeDocument/2006/relationships/hyperlink" Target="https://www.oecd.org/health/health-at-a-glance/" TargetMode="External"/><Relationship Id="rIdg9qrve9v14boitl6x0clo" Type="http://schemas.openxmlformats.org/officeDocument/2006/relationships/hyperlink" Target="https://isqua.org"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2026-08-29T20:44:08.342Z</dcterms:created>
  <dcterms:modified xsi:type="dcterms:W3CDTF">2026-08-29T20:44:08.343Z</dcterms:modified>
</cp:coreProperties>
</file>

<file path=docProps/custom.xml><?xml version="1.0" encoding="utf-8"?>
<Properties xmlns="http://schemas.openxmlformats.org/officeDocument/2006/custom-properties" xmlns:vt="http://schemas.openxmlformats.org/officeDocument/2006/docPropsVTypes"/>
</file>