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c9a227" w:sz="8"/>
          <w:left w:val="none"/>
          <w:bottom w:val="single" w:color="c9a227" w:sz="8"/>
          <w:right w:val="none"/>
          <w:insideH w:val="single" w:color="auto" w:sz="4"/>
          <w:insideV w:val="single" w:color="auto" w:sz="4"/>
        </w:tblBorders>
      </w:tblPr>
      <w:tblGrid>
        <w:gridCol w:w="1100"/>
        <w:gridCol w:w="8260"/>
      </w:tblGrid>
      <w:tr>
        <w:tc>
          <w:tcPr>
            <w:tcW w:type="dxa" w:w="1100"/>
            <w:shd w:fill="0e2647" w:color="auto" w:val="clear"/>
            <w:tcMar>
              <w:top w:type="dxa" w:w="30"/>
              <w:left w:type="dxa" w:w="60"/>
              <w:bottom w:type="dxa" w:w="30"/>
              <w:right w:type="dxa" w:w="40"/>
            </w:tcMar>
            <w:vAlign w:val="center"/>
          </w:tcPr>
          <w:p>
            <w:pPr>
              <w:spacing w:after="0" w:before="0"/>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666750" cy="666750"/>
                          </a:xfrm>
                          <a:prstGeom prst="rect">
                            <a:avLst/>
                          </a:prstGeom>
                        </pic:spPr>
                      </pic:pic>
                    </a:graphicData>
                  </a:graphic>
                </wp:inline>
              </w:drawing>
            </w:r>
          </w:p>
        </w:tc>
        <w:tc>
          <w:tcPr>
            <w:tcW w:type="dxa" w:w="8260"/>
            <w:shd w:fill="0e2647" w:color="auto" w:val="clear"/>
            <w:tcMar>
              <w:top w:type="dxa" w:w="30"/>
              <w:left w:type="dxa" w:w="60"/>
              <w:bottom w:type="dxa" w:w="30"/>
              <w:right w:type="dxa" w:w="75"/>
            </w:tcMar>
            <w:vAlign w:val="top"/>
          </w:tcPr>
          <w:p>
            <w:pPr>
              <w:spacing w:after="10" w:before="0"/>
            </w:pPr>
            <w:r>
              <w:rPr>
                <w:rFonts w:ascii="Helvetica" w:cs="Helvetica" w:eastAsia="Helvetica" w:hAnsi="Helvetica"/>
                <w:b/>
                <w:bCs/>
                <w:i w:val="false"/>
                <w:iCs w:val="false"/>
                <w:caps/>
                <w:color w:val="c9a227"/>
                <w:spacing w:val="40"/>
                <w:sz w:val="13"/>
                <w:szCs w:val="13"/>
              </w:rPr>
              <w:t xml:space="preserve">ACCRÉDITATION SANS FRONTIÈRES</w:t>
            </w:r>
          </w:p>
          <w:p>
            <w:pPr>
              <w:spacing w:after="8" w:before="0"/>
            </w:pPr>
            <w:r>
              <w:rPr>
                <w:rFonts w:ascii="Georgia" w:cs="Georgia" w:eastAsia="Georgia" w:hAnsi="Georgia"/>
                <w:b/>
                <w:bCs/>
                <w:i w:val="false"/>
                <w:iCs w:val="false"/>
                <w:caps w:val="false"/>
                <w:color w:val="ffffff"/>
                <w:sz w:val="26"/>
                <w:szCs w:val="26"/>
              </w:rPr>
              <w:t xml:space="preserve">PATIENT RIGHTS &amp; SAFETY</w:t>
            </w:r>
          </w:p>
          <w:p>
            <w:pPr>
              <w:spacing w:after="36" w:before="0"/>
            </w:pPr>
            <w:r>
              <w:rPr>
                <w:rFonts w:ascii="Arial" w:cs="Arial" w:eastAsia="Arial" w:hAnsi="Arial"/>
                <w:b w:val="false"/>
                <w:bCs w:val="false"/>
                <w:i/>
                <w:iCs/>
                <w:caps w:val="false"/>
                <w:color w:val="8fa8c8"/>
                <w:sz w:val="11"/>
                <w:szCs w:val="11"/>
              </w:rPr>
              <w:t xml:space="preserve">Version 2.0  ·  January 2025  ·  Open Standards  ·  Ref: ASF-CH2-PRS-v2.0  ·  Approved: January 2025  ·  Next Review: January 2027</w:t>
            </w:r>
          </w:p>
        </w:tc>
      </w:tr>
    </w:tbl>
    <w:p>
      <w:pPr>
        <w:spacing w:after="36" w:before="2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single" w:color="dce3ee" w:sz="4"/>
          <w:bottom w:val="single" w:color="dce3ee" w:sz="4"/>
          <w:right w:val="single" w:color="dce3ee" w:sz="4"/>
          <w:insideH w:val="single" w:color="auto" w:sz="4"/>
          <w:insideV w:val="single" w:color="auto" w:sz="4"/>
        </w:tblBorders>
      </w:tblPr>
      <w:tblGrid>
        <w:gridCol w:w="2340"/>
        <w:gridCol w:w="2340"/>
        <w:gridCol w:w="2340"/>
        <w:gridCol w:w="2340"/>
      </w:tblGrid>
      <w:tr>
        <w:tc>
          <w:tcPr>
            <w:tcW w:type="dxa" w:w="2340"/>
            <w:tcMar>
              <w:top w:type="dxa" w:w="40"/>
              <w:left w:type="dxa" w:w="70"/>
              <w:bottom w:type="dxa" w:w="40"/>
              <w:right w:type="dxa" w:w="75"/>
            </w:tcMar>
            <w:vAlign w:val="top"/>
          </w:tcPr>
          <w:p>
            <w:pPr>
              <w:spacing w:after="10" w:before="0"/>
            </w:pPr>
            <w:r>
              <w:rPr>
                <w:rFonts w:ascii="Helvetica" w:cs="Helvetica" w:eastAsia="Helvetica" w:hAnsi="Helvetica"/>
                <w:b/>
                <w:bCs/>
                <w:i w:val="false"/>
                <w:iCs w:val="false"/>
                <w:caps/>
                <w:color w:val="6b778c"/>
                <w:sz w:val="10"/>
                <w:szCs w:val="10"/>
              </w:rPr>
              <w:t xml:space="preserve">PUBLISHER</w:t>
            </w:r>
          </w:p>
          <w:p>
            <w:pPr>
              <w:spacing w:after="4" w:before="0"/>
            </w:pPr>
            <w:r>
              <w:rPr>
                <w:rFonts w:ascii="Arial" w:cs="Arial" w:eastAsia="Arial" w:hAnsi="Arial"/>
                <w:b/>
                <w:bCs/>
                <w:i w:val="false"/>
                <w:iCs w:val="false"/>
                <w:caps w:val="false"/>
                <w:color w:val="0e2647"/>
                <w:sz w:val="13"/>
                <w:szCs w:val="13"/>
              </w:rPr>
              <w:t xml:space="preserve">Accréditation Sans Frontières</w:t>
            </w:r>
          </w:p>
          <w:p>
            <w:pPr>
              <w:spacing w:after="3" w:before="0"/>
            </w:pPr>
            <w:hyperlink w:history="1" r:id="rIdgdqtfu5ia_a4korvccwvw">
              <w:r>
                <w:rPr>
                  <w:rFonts w:ascii="Arial" w:cs="Arial" w:eastAsia="Arial" w:hAnsi="Arial"/>
                  <w:b/>
                  <w:bCs/>
                  <w:color w:val="c9a227"/>
                  <w:sz w:val="13"/>
                  <w:szCs w:val="13"/>
                  <w:u w:val="single"/>
                </w:rPr>
                <w:t xml:space="preserve">france-asf.fr</w:t>
              </w:r>
            </w:hyperlink>
          </w:p>
          <w:p>
            <w:pPr>
              <w:spacing w:after="36" w:before="0"/>
            </w:pPr>
            <w:hyperlink w:history="1" r:id="rIdgf8_vtpqjvcefknqcs4br">
              <w:r>
                <w:rPr>
                  <w:rFonts w:ascii="Arial" w:cs="Arial" w:eastAsia="Arial" w:hAnsi="Arial"/>
                  <w:b/>
                  <w:bCs/>
                  <w:color w:val="c9a227"/>
                  <w:sz w:val="13"/>
                  <w:szCs w:val="13"/>
                  <w:u w:val="single"/>
                </w:rPr>
                <w:t xml:space="preserve">info@france-asf.fr</w:t>
              </w:r>
            </w:hyperlink>
          </w:p>
        </w:tc>
        <w:tc>
          <w:tcPr>
            <w:tcW w:type="dxa" w:w="2340"/>
            <w:tcMar>
              <w:top w:type="dxa" w:w="40"/>
              <w:left w:type="dxa" w:w="70"/>
              <w:bottom w:type="dxa" w:w="40"/>
              <w:right w:type="dxa" w:w="75"/>
            </w:tcMar>
            <w:vAlign w:val="top"/>
          </w:tcPr>
          <w:p>
            <w:pPr>
              <w:spacing w:after="10" w:before="0"/>
            </w:pPr>
            <w:r>
              <w:rPr>
                <w:rFonts w:ascii="Helvetica" w:cs="Helvetica" w:eastAsia="Helvetica" w:hAnsi="Helvetica"/>
                <w:b/>
                <w:bCs/>
                <w:i w:val="false"/>
                <w:iCs w:val="false"/>
                <w:caps/>
                <w:color w:val="6b778c"/>
                <w:sz w:val="10"/>
                <w:szCs w:val="10"/>
              </w:rPr>
              <w:t xml:space="preserve">DOCUMENT REF</w:t>
            </w:r>
          </w:p>
          <w:p>
            <w:pPr>
              <w:spacing w:after="4" w:before="0"/>
            </w:pPr>
            <w:r>
              <w:rPr>
                <w:rFonts w:ascii="Arial" w:cs="Arial" w:eastAsia="Arial" w:hAnsi="Arial"/>
                <w:b/>
                <w:bCs/>
                <w:i w:val="false"/>
                <w:iCs w:val="false"/>
                <w:caps w:val="false"/>
                <w:color w:val="0e2647"/>
                <w:sz w:val="13"/>
                <w:szCs w:val="13"/>
              </w:rPr>
              <w:t xml:space="preserve">ASF-CH2-PRS-v2.0</w:t>
            </w:r>
          </w:p>
          <w:p>
            <w:pPr>
              <w:spacing w:after="36" w:before="0"/>
            </w:pPr>
            <w:r>
              <w:rPr>
                <w:rFonts w:ascii="Arial" w:cs="Arial" w:eastAsia="Arial" w:hAnsi="Arial"/>
                <w:b w:val="false"/>
                <w:bCs w:val="false"/>
                <w:i w:val="false"/>
                <w:iCs w:val="false"/>
                <w:caps w:val="false"/>
                <w:color w:val="6b778c"/>
                <w:sz w:val="12"/>
                <w:szCs w:val="12"/>
              </w:rPr>
              <w:t xml:space="preserve">ISSN: 3088-4322  ·  DOI: 10.66636</w:t>
            </w:r>
          </w:p>
        </w:tc>
        <w:tc>
          <w:tcPr>
            <w:tcW w:type="dxa" w:w="2340"/>
            <w:tcMar>
              <w:top w:type="dxa" w:w="40"/>
              <w:left w:type="dxa" w:w="70"/>
              <w:bottom w:type="dxa" w:w="40"/>
              <w:right w:type="dxa" w:w="75"/>
            </w:tcMar>
            <w:vAlign w:val="top"/>
          </w:tcPr>
          <w:p>
            <w:pPr>
              <w:spacing w:after="10" w:before="0"/>
            </w:pPr>
            <w:r>
              <w:rPr>
                <w:rFonts w:ascii="Helvetica" w:cs="Helvetica" w:eastAsia="Helvetica" w:hAnsi="Helvetica"/>
                <w:b/>
                <w:bCs/>
                <w:i w:val="false"/>
                <w:iCs w:val="false"/>
                <w:caps/>
                <w:color w:val="6b778c"/>
                <w:sz w:val="10"/>
                <w:szCs w:val="10"/>
              </w:rPr>
              <w:t xml:space="preserve">E-LEARNING</w:t>
            </w:r>
          </w:p>
          <w:p>
            <w:pPr>
              <w:spacing w:after="4" w:before="0"/>
            </w:pPr>
            <w:r>
              <w:rPr>
                <w:rFonts w:ascii="Arial" w:cs="Arial" w:eastAsia="Arial" w:hAnsi="Arial"/>
                <w:b/>
                <w:bCs/>
                <w:i w:val="false"/>
                <w:iCs w:val="false"/>
                <w:caps w:val="false"/>
                <w:color w:val="0e2647"/>
                <w:sz w:val="13"/>
                <w:szCs w:val="13"/>
              </w:rPr>
              <w:t xml:space="preserve">30 min per standard — free</w:t>
            </w:r>
          </w:p>
          <w:p>
            <w:pPr>
              <w:spacing w:after="36" w:before="0"/>
            </w:pPr>
            <w:hyperlink w:history="1" r:id="rId5p3fm0gfzj2hah6bhsqcq">
              <w:r>
                <w:rPr>
                  <w:rFonts w:ascii="Arial" w:cs="Arial" w:eastAsia="Arial" w:hAnsi="Arial"/>
                  <w:b/>
                  <w:bCs/>
                  <w:color w:val="c9a227"/>
                  <w:sz w:val="13"/>
                  <w:szCs w:val="13"/>
                  <w:u w:val="single"/>
                </w:rPr>
                <w:t xml:space="preserve">academy.gmj.ge</w:t>
              </w:r>
            </w:hyperlink>
          </w:p>
        </w:tc>
        <w:tc>
          <w:tcPr>
            <w:tcW w:type="dxa" w:w="2340"/>
            <w:tcMar>
              <w:top w:type="dxa" w:w="40"/>
              <w:left w:type="dxa" w:w="70"/>
              <w:bottom w:type="dxa" w:w="40"/>
              <w:right w:type="dxa" w:w="75"/>
            </w:tcMar>
            <w:vAlign w:val="top"/>
          </w:tcPr>
          <w:p>
            <w:pPr>
              <w:spacing w:after="10" w:before="0"/>
            </w:pPr>
            <w:r>
              <w:rPr>
                <w:rFonts w:ascii="Helvetica" w:cs="Helvetica" w:eastAsia="Helvetica" w:hAnsi="Helvetica"/>
                <w:b/>
                <w:bCs/>
                <w:i w:val="false"/>
                <w:iCs w:val="false"/>
                <w:caps/>
                <w:color w:val="6b778c"/>
                <w:sz w:val="10"/>
                <w:szCs w:val="10"/>
              </w:rPr>
              <w:t xml:space="preserve">CITE AS</w:t>
            </w:r>
          </w:p>
          <w:p>
            <w:pPr>
              <w:spacing w:after="36" w:before="0"/>
            </w:pPr>
            <w:r>
              <w:rPr>
                <w:rFonts w:ascii="Arial" w:cs="Arial" w:eastAsia="Arial" w:hAnsi="Arial"/>
                <w:b w:val="false"/>
                <w:bCs w:val="false"/>
                <w:i w:val="false"/>
                <w:iCs w:val="false"/>
                <w:caps w:val="false"/>
                <w:color w:val="374151"/>
                <w:sz w:val="11"/>
                <w:szCs w:val="11"/>
              </w:rPr>
              <w:t xml:space="preserve">Accreditation Sans Frontieres. ASF Hospital Standards: Chapter 2 — Patient Rights &amp; Safety. Version 2.0. Paris: ASF; 2025.</w:t>
            </w:r>
          </w:p>
        </w:tc>
      </w:tr>
    </w:tbl>
    <w:p>
      <w:pPr>
        <w:pBdr>
          <w:top w:val="single" w:color="dce3ee" w:sz="2"/>
        </w:pBdr>
        <w:spacing w:after="0" w:before="80"/>
      </w:pPr>
      <w:r>
        <w:rPr>
          <w:rFonts w:ascii="Arial" w:cs="Arial" w:eastAsia="Arial" w:hAnsi="Arial"/>
          <w:i/>
          <w:iCs/>
          <w:color w:val="aaaaaa"/>
          <w:sz w:val="16"/>
          <w:szCs w:val="16"/>
        </w:rPr>
        <w:t xml:space="preserve">© 2025 Accréditation Sans Frontières. Open standards licence. Free non-commercial reproduction with attribution. Commercial reproduction requires written ASF permission.</w:t>
      </w:r>
    </w:p>
    <w:p>
      <w:pPr>
        <w:spacing w:after="36" w:before="32"/>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ABOUT THIS DOCUMENT</w:t>
            </w:r>
          </w:p>
        </w:tc>
      </w:tr>
    </w:tbl>
    <w:tbl>
      <w:tblPr>
        <w:tblW w:type="dxa" w:w="9360"/>
        <w:tblBorders>
          <w:top w:val="none"/>
          <w:left w:val="single" w:color="dce3ee" w:sz="4"/>
          <w:bottom w:val="none"/>
          <w:right w:val="single" w:color="dce3ee" w:sz="4"/>
          <w:insideH w:val="single" w:color="auto" w:sz="4"/>
          <w:insideV w:val="single" w:color="auto" w:sz="4"/>
        </w:tblBorders>
      </w:tblPr>
      <w:tblGrid>
        <w:gridCol w:w="4680"/>
        <w:gridCol w:w="4680"/>
      </w:tblGrid>
      <w:tr>
        <w:tc>
          <w:tcPr>
            <w:tcW w:type="dxa" w:w="4680"/>
            <w:tcMar>
              <w:top w:type="dxa" w:w="56"/>
              <w:left w:type="dxa" w:w="60"/>
              <w:bottom w:type="dxa" w:w="56"/>
              <w:right w:type="dxa" w:w="50"/>
            </w:tcMar>
            <w:vAlign w:val="top"/>
          </w:tcPr>
          <w:p>
            <w:pPr>
              <w:spacing w:after="10" w:before="0"/>
            </w:pPr>
            <w:r>
              <w:rPr>
                <w:rFonts w:ascii="Helvetica" w:cs="Helvetica" w:eastAsia="Helvetica" w:hAnsi="Helvetica"/>
                <w:b/>
                <w:bCs/>
                <w:i w:val="false"/>
                <w:iCs w:val="false"/>
                <w:caps/>
                <w:color w:val="6b778c"/>
                <w:sz w:val="11"/>
                <w:szCs w:val="11"/>
              </w:rPr>
              <w:t xml:space="preserve">PURPOSE</w:t>
            </w:r>
          </w:p>
          <w:p>
            <w:pPr>
              <w:spacing w:after="20" w:before="0"/>
            </w:pPr>
            <w:r>
              <w:rPr>
                <w:rFonts w:ascii="Arial" w:cs="Arial" w:eastAsia="Arial" w:hAnsi="Arial"/>
                <w:b w:val="false"/>
                <w:bCs w:val="false"/>
                <w:i w:val="false"/>
                <w:iCs w:val="false"/>
                <w:caps w:val="false"/>
                <w:color w:val="374151"/>
                <w:sz w:val="15"/>
                <w:szCs w:val="15"/>
              </w:rPr>
              <w:t xml:space="preserve">Ten standards for patient rights and safety for ASF hospital accreditation. Each standard is a complete two-page unit — Page 1 is the official assessment form; Page 2 is the guidance and learning resource with evidence, good practice examples, implementation steps, and surveyor tips. The document works standalone without any other publication.</w:t>
            </w:r>
          </w:p>
          <w:p>
            <w:pPr>
              <w:spacing w:after="10" w:before="0"/>
            </w:pPr>
            <w:r>
              <w:rPr>
                <w:rFonts w:ascii="Helvetica" w:cs="Helvetica" w:eastAsia="Helvetica" w:hAnsi="Helvetica"/>
                <w:b/>
                <w:bCs/>
                <w:i w:val="false"/>
                <w:iCs w:val="false"/>
                <w:caps/>
                <w:color w:val="6b778c"/>
                <w:sz w:val="11"/>
                <w:szCs w:val="11"/>
              </w:rPr>
              <w:t xml:space="preserve">CROSS-CUTTING CONNECTIONS</w:t>
            </w:r>
          </w:p>
          <w:p>
            <w:pPr>
              <w:spacing w:after="36" w:before="0"/>
            </w:pPr>
            <w:r>
              <w:rPr>
                <w:rFonts w:ascii="Arial" w:cs="Arial" w:eastAsia="Arial" w:hAnsi="Arial"/>
                <w:b w:val="false"/>
                <w:bCs w:val="false"/>
                <w:i w:val="false"/>
                <w:iCs w:val="false"/>
                <w:caps w:val="false"/>
                <w:color w:val="374151"/>
                <w:sz w:val="15"/>
                <w:szCs w:val="15"/>
              </w:rPr>
              <w:t xml:space="preserve">This chapter puts the patient at the centre of every other chapter. Standard 2.9 (Patient Feedback) is fed directly by the stakeholder engagement mechanism built in Standard 1.10. Standard 2.2 (Informed Consent) underpins Standard 6.4 (Surgical Consent) and Standard 5.3 (Medication Safety). ASF is developing a visual cross-cutting map showing how all chapters connect — available at france-asf.fr. When completing this assessment, treat each standard as part of a system, not a standalone checklist item.</w:t>
            </w:r>
          </w:p>
        </w:tc>
        <w:tc>
          <w:tcPr>
            <w:tcW w:type="dxa" w:w="4680"/>
            <w:tcMar>
              <w:top w:type="dxa" w:w="56"/>
              <w:left w:type="dxa" w:w="50"/>
              <w:bottom w:type="dxa" w:w="56"/>
              <w:right w:type="dxa" w:w="60"/>
            </w:tcMar>
            <w:vAlign w:val="top"/>
          </w:tcPr>
          <w:p>
            <w:pPr>
              <w:spacing w:after="10" w:before="0"/>
            </w:pPr>
            <w:r>
              <w:rPr>
                <w:rFonts w:ascii="Helvetica" w:cs="Helvetica" w:eastAsia="Helvetica" w:hAnsi="Helvetica"/>
                <w:b/>
                <w:bCs/>
                <w:i w:val="false"/>
                <w:iCs w:val="false"/>
                <w:caps/>
                <w:color w:val="6b778c"/>
                <w:sz w:val="11"/>
                <w:szCs w:val="11"/>
              </w:rPr>
              <w:t xml:space="preserve">STATUS COLOURS</w:t>
            </w:r>
          </w:p>
          <w:p>
            <w:pPr>
              <w:spacing w:after="10" w:before="0"/>
            </w:pPr>
            <w:r>
              <w:rPr>
                <w:rFonts w:ascii="Arial" w:cs="Arial" w:eastAsia="Arial" w:hAnsi="Arial"/>
                <w:b/>
                <w:bCs/>
                <w:i w:val="false"/>
                <w:iCs w:val="false"/>
                <w:caps w:val="false"/>
                <w:color w:val="15803d"/>
                <w:sz w:val="14"/>
                <w:szCs w:val="14"/>
              </w:rPr>
              <w:t xml:space="preserve">YES — GREEN  </w:t>
            </w:r>
            <w:r>
              <w:rPr>
                <w:rFonts w:ascii="Arial" w:cs="Arial" w:eastAsia="Arial" w:hAnsi="Arial"/>
                <w:b w:val="false"/>
                <w:bCs w:val="false"/>
                <w:i w:val="false"/>
                <w:iCs w:val="false"/>
                <w:caps w:val="false"/>
                <w:color w:val="374151"/>
                <w:sz w:val="14"/>
                <w:szCs w:val="14"/>
              </w:rPr>
              <w:t xml:space="preserve">Fully in place, consistent, evidenced. Observable on the visit day.</w:t>
            </w:r>
          </w:p>
          <w:p>
            <w:pPr>
              <w:spacing w:after="10" w:before="0"/>
            </w:pPr>
            <w:r>
              <w:rPr>
                <w:rFonts w:ascii="Arial" w:cs="Arial" w:eastAsia="Arial" w:hAnsi="Arial"/>
                <w:b/>
                <w:bCs/>
                <w:i w:val="false"/>
                <w:iCs w:val="false"/>
                <w:caps w:val="false"/>
                <w:color w:val="92400e"/>
                <w:sz w:val="14"/>
                <w:szCs w:val="14"/>
              </w:rPr>
              <w:t xml:space="preserve">PARTIAL — AMBER  </w:t>
            </w:r>
            <w:r>
              <w:rPr>
                <w:rFonts w:ascii="Arial" w:cs="Arial" w:eastAsia="Arial" w:hAnsi="Arial"/>
                <w:b w:val="false"/>
                <w:bCs w:val="false"/>
                <w:i w:val="false"/>
                <w:iCs w:val="false"/>
                <w:caps w:val="false"/>
                <w:color w:val="374151"/>
                <w:sz w:val="14"/>
                <w:szCs w:val="14"/>
              </w:rPr>
              <w:t xml:space="preserve">Exists but incomplete or inconsistent. NOT a pass — needs an improvement plan with a deadline.</w:t>
            </w:r>
          </w:p>
          <w:p>
            <w:pPr>
              <w:spacing w:after="36" w:before="0"/>
            </w:pPr>
            <w:r>
              <w:rPr>
                <w:rFonts w:ascii="Arial" w:cs="Arial" w:eastAsia="Arial" w:hAnsi="Arial"/>
                <w:b/>
                <w:bCs/>
                <w:i w:val="false"/>
                <w:iCs w:val="false"/>
                <w:caps w:val="false"/>
                <w:color w:val="b91c1c"/>
                <w:sz w:val="14"/>
                <w:szCs w:val="14"/>
              </w:rPr>
              <w:t xml:space="preserve">NO — RED  </w:t>
            </w:r>
            <w:r>
              <w:rPr>
                <w:rFonts w:ascii="Arial" w:cs="Arial" w:eastAsia="Arial" w:hAnsi="Arial"/>
                <w:b w:val="false"/>
                <w:bCs w:val="false"/>
                <w:i w:val="false"/>
                <w:iCs w:val="false"/>
                <w:caps w:val="false"/>
                <w:color w:val="374151"/>
                <w:sz w:val="14"/>
                <w:szCs w:val="14"/>
              </w:rPr>
              <w:t xml:space="preserve">Does not exist or inadequate. For CORE standards: blocks Level 1 accreditation until fixed.</w:t>
            </w:r>
          </w:p>
          <w:p>
            <w:pPr>
              <w:spacing w:after="36" w:before="8"/>
            </w:pPr>
            <w:r>
              <w:rPr>
                <w:rFonts w:ascii="Arial" w:cs="Arial" w:eastAsia="Arial" w:hAnsi="Arial"/>
                <w:b w:val="false"/>
                <w:bCs w:val="false"/>
                <w:i w:val="false"/>
                <w:iCs w:val="false"/>
                <w:caps w:val="false"/>
                <w:color w:val="374151"/>
                <w:sz w:val="18"/>
                <w:szCs w:val="18"/>
              </w:rPr>
              <w:t xml:space="preserve"/>
            </w:r>
          </w:p>
          <w:p>
            <w:pPr>
              <w:spacing w:after="10" w:before="0"/>
            </w:pPr>
            <w:r>
              <w:rPr>
                <w:rFonts w:ascii="Helvetica" w:cs="Helvetica" w:eastAsia="Helvetica" w:hAnsi="Helvetica"/>
                <w:b/>
                <w:bCs/>
                <w:i w:val="false"/>
                <w:iCs w:val="false"/>
                <w:caps/>
                <w:color w:val="6b778c"/>
                <w:sz w:val="11"/>
                <w:szCs w:val="11"/>
              </w:rPr>
              <w:t xml:space="preserve">HOW TO USE — FIVE STEPS</w:t>
            </w:r>
          </w:p>
          <w:p>
            <w:pPr>
              <w:spacing w:after="8" w:before="0"/>
            </w:pPr>
            <w:r>
              <w:rPr>
                <w:rFonts w:ascii="Arial" w:cs="Arial" w:eastAsia="Arial" w:hAnsi="Arial"/>
                <w:b/>
                <w:bCs/>
                <w:i w:val="false"/>
                <w:iCs w:val="false"/>
                <w:caps w:val="false"/>
                <w:color w:val="c9a227"/>
                <w:sz w:val="13"/>
                <w:szCs w:val="13"/>
              </w:rPr>
              <w:t xml:space="preserve">1  </w:t>
            </w:r>
            <w:r>
              <w:rPr>
                <w:rFonts w:ascii="Arial" w:cs="Arial" w:eastAsia="Arial" w:hAnsi="Arial"/>
                <w:b w:val="false"/>
                <w:bCs w:val="false"/>
                <w:i w:val="false"/>
                <w:iCs w:val="false"/>
                <w:caps w:val="false"/>
                <w:color w:val="374151"/>
                <w:sz w:val="14"/>
                <w:szCs w:val="14"/>
              </w:rPr>
              <w:t xml:space="preserve">Read this page first.</w:t>
            </w:r>
          </w:p>
          <w:p>
            <w:pPr>
              <w:spacing w:after="8" w:before="0"/>
            </w:pPr>
            <w:r>
              <w:rPr>
                <w:rFonts w:ascii="Arial" w:cs="Arial" w:eastAsia="Arial" w:hAnsi="Arial"/>
                <w:b/>
                <w:bCs/>
                <w:i w:val="false"/>
                <w:iCs w:val="false"/>
                <w:caps w:val="false"/>
                <w:color w:val="c9a227"/>
                <w:sz w:val="13"/>
                <w:szCs w:val="13"/>
              </w:rPr>
              <w:t xml:space="preserve">2  </w:t>
            </w:r>
            <w:r>
              <w:rPr>
                <w:rFonts w:ascii="Arial" w:cs="Arial" w:eastAsia="Arial" w:hAnsi="Arial"/>
                <w:b w:val="false"/>
                <w:bCs w:val="false"/>
                <w:i w:val="false"/>
                <w:iCs w:val="false"/>
                <w:caps w:val="false"/>
                <w:color w:val="374151"/>
                <w:sz w:val="14"/>
                <w:szCs w:val="14"/>
              </w:rPr>
              <w:t xml:space="preserve">Complete Page 1 self-assessment for each standard. Be honest.</w:t>
            </w:r>
          </w:p>
          <w:p>
            <w:pPr>
              <w:spacing w:after="8" w:before="0"/>
            </w:pPr>
            <w:r>
              <w:rPr>
                <w:rFonts w:ascii="Arial" w:cs="Arial" w:eastAsia="Arial" w:hAnsi="Arial"/>
                <w:b/>
                <w:bCs/>
                <w:i w:val="false"/>
                <w:iCs w:val="false"/>
                <w:caps w:val="false"/>
                <w:color w:val="c9a227"/>
                <w:sz w:val="13"/>
                <w:szCs w:val="13"/>
              </w:rPr>
              <w:t xml:space="preserve">3  </w:t>
            </w:r>
            <w:r>
              <w:rPr>
                <w:rFonts w:ascii="Arial" w:cs="Arial" w:eastAsia="Arial" w:hAnsi="Arial"/>
                <w:b w:val="false"/>
                <w:bCs w:val="false"/>
                <w:i w:val="false"/>
                <w:iCs w:val="false"/>
                <w:caps w:val="false"/>
                <w:color w:val="374151"/>
                <w:sz w:val="14"/>
                <w:szCs w:val="14"/>
              </w:rPr>
              <w:t xml:space="preserve">Do not understand a standard? Read Page 2.</w:t>
            </w:r>
          </w:p>
          <w:p>
            <w:pPr>
              <w:spacing w:after="8" w:before="0"/>
            </w:pPr>
            <w:r>
              <w:rPr>
                <w:rFonts w:ascii="Arial" w:cs="Arial" w:eastAsia="Arial" w:hAnsi="Arial"/>
                <w:b/>
                <w:bCs/>
                <w:i w:val="false"/>
                <w:iCs w:val="false"/>
                <w:caps w:val="false"/>
                <w:color w:val="c9a227"/>
                <w:sz w:val="13"/>
                <w:szCs w:val="13"/>
              </w:rPr>
              <w:t xml:space="preserve">4  </w:t>
            </w:r>
            <w:r>
              <w:rPr>
                <w:rFonts w:ascii="Arial" w:cs="Arial" w:eastAsia="Arial" w:hAnsi="Arial"/>
                <w:b w:val="false"/>
                <w:bCs w:val="false"/>
                <w:i w:val="false"/>
                <w:iCs w:val="false"/>
                <w:caps w:val="false"/>
                <w:color w:val="374151"/>
                <w:sz w:val="14"/>
                <w:szCs w:val="14"/>
              </w:rPr>
              <w:t xml:space="preserve">PARTIAL or NO? Write an improvement plan on Page 1.</w:t>
            </w:r>
          </w:p>
          <w:p>
            <w:pPr>
              <w:spacing w:after="36" w:before="0"/>
            </w:pPr>
            <w:r>
              <w:rPr>
                <w:rFonts w:ascii="Arial" w:cs="Arial" w:eastAsia="Arial" w:hAnsi="Arial"/>
                <w:b/>
                <w:bCs/>
                <w:i w:val="false"/>
                <w:iCs w:val="false"/>
                <w:caps w:val="false"/>
                <w:color w:val="c9a227"/>
                <w:sz w:val="13"/>
                <w:szCs w:val="13"/>
              </w:rPr>
              <w:t xml:space="preserve">5  </w:t>
            </w:r>
            <w:r>
              <w:rPr>
                <w:rFonts w:ascii="Arial" w:cs="Arial" w:eastAsia="Arial" w:hAnsi="Arial"/>
                <w:b w:val="false"/>
                <w:bCs w:val="false"/>
                <w:i w:val="false"/>
                <w:iCs w:val="false"/>
                <w:caps w:val="false"/>
                <w:color w:val="374151"/>
                <w:sz w:val="14"/>
                <w:szCs w:val="14"/>
              </w:rPr>
              <w:t xml:space="preserve">Deep learning: 30-min e-learning per standard at academy.gmj.ge.</w:t>
            </w:r>
          </w:p>
          <w:p>
            <w:pPr>
              <w:spacing w:after="36" w:before="8"/>
            </w:pPr>
            <w:r>
              <w:rPr>
                <w:rFonts w:ascii="Arial" w:cs="Arial" w:eastAsia="Arial" w:hAnsi="Arial"/>
                <w:b w:val="false"/>
                <w:bCs w:val="false"/>
                <w:i w:val="false"/>
                <w:iCs w:val="false"/>
                <w:caps w:val="false"/>
                <w:color w:val="374151"/>
                <w:sz w:val="18"/>
                <w:szCs w:val="18"/>
              </w:rPr>
              <w:t xml:space="preserve"/>
            </w:r>
          </w:p>
          <w:p>
            <w:pPr>
              <w:spacing w:after="10" w:before="0"/>
            </w:pPr>
            <w:r>
              <w:rPr>
                <w:rFonts w:ascii="Helvetica" w:cs="Helvetica" w:eastAsia="Helvetica" w:hAnsi="Helvetica"/>
                <w:b/>
                <w:bCs/>
                <w:i w:val="false"/>
                <w:iCs w:val="false"/>
                <w:caps/>
                <w:color w:val="6b778c"/>
                <w:sz w:val="11"/>
                <w:szCs w:val="11"/>
              </w:rPr>
              <w:t xml:space="preserve">ADVISORY SUPPORT</w:t>
            </w:r>
          </w:p>
          <w:p>
            <w:pPr>
              <w:spacing w:after="4" w:before="0"/>
            </w:pPr>
            <w:r>
              <w:rPr>
                <w:rFonts w:ascii="Arial" w:cs="Arial" w:eastAsia="Arial" w:hAnsi="Arial"/>
                <w:b w:val="false"/>
                <w:bCs w:val="false"/>
                <w:i w:val="false"/>
                <w:iCs w:val="false"/>
                <w:caps w:val="false"/>
                <w:color w:val="374151"/>
                <w:sz w:val="14"/>
                <w:szCs w:val="14"/>
              </w:rPr>
              <w:t xml:space="preserve">ASF advisers help at any stage — before self-assessment, before the survey, or when any standard is unclear.</w:t>
            </w:r>
          </w:p>
          <w:p>
            <w:pPr>
              <w:spacing w:after="36" w:before="0"/>
            </w:pPr>
            <w:hyperlink w:history="1" r:id="rId9xe_sjinjwcp4vtncmhzq">
              <w:r>
                <w:rPr>
                  <w:rFonts w:ascii="Arial" w:cs="Arial" w:eastAsia="Arial" w:hAnsi="Arial"/>
                  <w:b/>
                  <w:bCs/>
                  <w:color w:val="c9a227"/>
                  <w:sz w:val="13"/>
                  <w:szCs w:val="13"/>
                  <w:u w:val="single"/>
                </w:rPr>
                <w:t xml:space="preserve">info@france-asf.fr</w:t>
              </w:r>
            </w:hyperlink>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7700"/>
        <w:gridCol w:w="1660"/>
      </w:tblGrid>
      <w:tr>
        <w:tc>
          <w:tcPr>
            <w:tcW w:type="dxa" w:w="7700"/>
            <w:shd w:fill="0e2647" w:color="auto" w:val="clear"/>
            <w:tcMar>
              <w:top w:type="dxa" w:w="60"/>
              <w:left w:type="dxa" w:w="150"/>
              <w:bottom w:type="dxa" w:w="60"/>
              <w:right w:type="dxa" w:w="75"/>
            </w:tcMar>
            <w:vAlign w:val="top"/>
          </w:tcPr>
          <w:p>
            <w:pPr>
              <w:spacing w:after="36" w:before="0"/>
            </w:pPr>
            <w:r>
              <w:rPr>
                <w:rFonts w:ascii="Helvetica" w:cs="Helvetica" w:eastAsia="Helvetica" w:hAnsi="Helvetica"/>
                <w:b/>
                <w:bCs/>
                <w:i w:val="false"/>
                <w:iCs w:val="false"/>
                <w:caps/>
                <w:color w:val="c9a227"/>
                <w:spacing w:val="30"/>
                <w:sz w:val="13"/>
                <w:szCs w:val="13"/>
              </w:rPr>
              <w:t xml:space="preserve">CHAPTER 2: PATIENT RIGHTS &amp; SAFETY</w:t>
            </w:r>
          </w:p>
        </w:tc>
        <w:tc>
          <w:tcPr>
            <w:tcW w:type="dxa" w:w="1660"/>
            <w:shd w:fill="0e2647" w:color="auto" w:val="clear"/>
            <w:tcMar>
              <w:top w:type="dxa" w:w="50"/>
              <w:left w:type="dxa" w:w="70"/>
              <w:bottom w:type="dxa" w:w="50"/>
              <w:right w:type="dxa" w:w="75"/>
            </w:tcMar>
            <w:vAlign w:val="top"/>
          </w:tcPr>
          <w:p>
            <w:pPr>
              <w:spacing w:after="3" w:before="0"/>
            </w:pPr>
            <w:r>
              <w:rPr>
                <w:rFonts w:ascii="Arial" w:cs="Arial" w:eastAsia="Arial" w:hAnsi="Arial"/>
                <w:b w:val="false"/>
                <w:bCs w:val="false"/>
                <w:i/>
                <w:iCs/>
                <w:caps w:val="false"/>
                <w:color w:val="6b778c"/>
                <w:sz w:val="11"/>
                <w:szCs w:val="11"/>
              </w:rPr>
              <w:t xml:space="preserve">Table of Contents —</w:t>
            </w:r>
          </w:p>
          <w:p>
            <w:pPr>
              <w:spacing w:after="36" w:before="0"/>
            </w:pPr>
            <w:r>
              <w:rPr>
                <w:rFonts w:ascii="Arial" w:cs="Arial" w:eastAsia="Arial" w:hAnsi="Arial"/>
                <w:b w:val="false"/>
                <w:bCs w:val="false"/>
                <w:i/>
                <w:iCs/>
                <w:caps w:val="false"/>
                <w:color w:val="6b778c"/>
                <w:sz w:val="11"/>
                <w:szCs w:val="11"/>
              </w:rPr>
              <w:t xml:space="preserve">Version 2.0</w:t>
            </w:r>
          </w:p>
        </w:tc>
      </w:tr>
    </w:tbl>
    <w:p>
      <w:pPr>
        <w:spacing w:after="36" w:before="30"/>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TABLE OF CONTENTS</w:t>
            </w:r>
          </w:p>
        </w:tc>
      </w:tr>
    </w:tbl>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700"/>
        <w:gridCol w:w="5460"/>
        <w:gridCol w:w="2200"/>
        <w:gridCol w:w="1000"/>
      </w:tblGrid>
      <w:tr>
        <w:tc>
          <w:tcPr>
            <w:tcW w:type="dxa" w:w="700"/>
            <w:shd w:fill="f3f4f6" w:color="auto" w:val="clear"/>
            <w:tcMar>
              <w:top w:type="dxa" w:w="16"/>
              <w:left w:type="dxa" w:w="40"/>
              <w:bottom w:type="dxa" w:w="1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STD</w:t>
            </w:r>
          </w:p>
        </w:tc>
        <w:tc>
          <w:tcPr>
            <w:tcW w:type="dxa" w:w="5460"/>
            <w:shd w:fill="f3f4f6" w:color="auto" w:val="clear"/>
            <w:tcMar>
              <w:top w:type="dxa" w:w="16"/>
              <w:left w:type="dxa" w:w="60"/>
              <w:bottom w:type="dxa" w:w="16"/>
              <w:right w:type="dxa" w:w="75"/>
            </w:tcMar>
            <w:vAlign w:val="top"/>
          </w:tcPr>
          <w:p>
            <w:pPr>
              <w:spacing w:after="36" w:before="0"/>
            </w:pPr>
            <w:r>
              <w:rPr>
                <w:rFonts w:ascii="Helvetica" w:cs="Helvetica" w:eastAsia="Helvetica" w:hAnsi="Helvetica"/>
                <w:b/>
                <w:bCs/>
                <w:i/>
                <w:iCs/>
                <w:caps/>
                <w:color w:val="6b778c"/>
                <w:sz w:val="10"/>
                <w:szCs w:val="10"/>
              </w:rPr>
              <w:t xml:space="preserve">STANDARD TITLE  and one-line description of what it covers</w:t>
            </w:r>
          </w:p>
        </w:tc>
        <w:tc>
          <w:tcPr>
            <w:tcW w:type="dxa" w:w="2200"/>
            <w:shd w:fill="f3f4f6" w:color="auto" w:val="clear"/>
            <w:tcMar>
              <w:top w:type="dxa" w:w="16"/>
              <w:left w:type="dxa" w:w="60"/>
              <w:bottom w:type="dxa" w:w="16"/>
              <w:right w:type="dxa" w:w="75"/>
            </w:tcMar>
            <w:vAlign w:val="top"/>
          </w:tcPr>
          <w:p>
            <w:pPr>
              <w:spacing w:after="36" w:before="0"/>
            </w:pPr>
            <w:r>
              <w:rPr>
                <w:rFonts w:ascii="Helvetica" w:cs="Helvetica" w:eastAsia="Helvetica" w:hAnsi="Helvetica"/>
                <w:b/>
                <w:bCs/>
                <w:i/>
                <w:iCs/>
                <w:caps/>
                <w:color w:val="6b778c"/>
                <w:sz w:val="10"/>
                <w:szCs w:val="10"/>
              </w:rPr>
              <w:t xml:space="preserve">REQUIREMENT — who must meet this standard</w:t>
            </w:r>
          </w:p>
        </w:tc>
        <w:tc>
          <w:tcPr>
            <w:tcW w:type="dxa" w:w="1000"/>
            <w:shd w:fill="f3f4f6" w:color="auto" w:val="clear"/>
            <w:tcMar>
              <w:top w:type="dxa" w:w="16"/>
              <w:left w:type="dxa" w:w="40"/>
              <w:bottom w:type="dxa" w:w="1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PAGE</w:t>
            </w:r>
          </w:p>
        </w:tc>
      </w:tr>
      <w:tr>
        <w:tc>
          <w:tcPr>
            <w:tcW w:type="dxa" w:w="9360"/>
            <w:gridSpan w:val="4"/>
            <w:shd w:fill="0e2647" w:color="auto" w:val="clear"/>
            <w:tcMar>
              <w:top w:type="dxa" w:w="20"/>
              <w:left w:type="dxa" w:w="60"/>
              <w:bottom w:type="dxa" w:w="20"/>
              <w:right w:type="dxa" w:w="60"/>
            </w:tcMar>
          </w:tcPr>
          <w:p>
            <w:pPr>
              <w:spacing w:after="36" w:before="0"/>
            </w:pPr>
            <w:r>
              <w:rPr>
                <w:rFonts w:ascii="Helvetica" w:cs="Helvetica" w:eastAsia="Helvetica" w:hAnsi="Helvetica"/>
                <w:b/>
                <w:bCs/>
                <w:i w:val="false"/>
                <w:iCs w:val="false"/>
                <w:caps/>
                <w:color w:val="c9a227"/>
                <w:sz w:val="11"/>
                <w:szCs w:val="11"/>
              </w:rPr>
              <w:t xml:space="preserve">INTRODUCTION</w:t>
            </w:r>
          </w:p>
        </w:tc>
      </w:tr>
      <w:tr>
        <w:tc>
          <w:tcPr>
            <w:tcW w:type="dxa" w:w="700"/>
            <w:tcMar>
              <w:top w:type="dxa" w:w="20"/>
              <w:left w:type="dxa" w:w="40"/>
              <w:bottom w:type="dxa" w:w="20"/>
              <w:right w:type="dxa" w:w="75"/>
            </w:tcMar>
            <w:vAlign w:val="top"/>
          </w:tcPr>
          <w:p>
            <w:pPr>
              <w:spacing w:after="36" w:before="0"/>
            </w:pPr>
            <w:r>
              <w:rPr>
                <w:rFonts w:ascii="Arial" w:cs="Arial" w:eastAsia="Arial" w:hAnsi="Arial"/>
                <w:b w:val="false"/>
                <w:bCs w:val="false"/>
                <w:i w:val="false"/>
                <w:iCs w:val="false"/>
                <w:caps w:val="false"/>
                <w:color w:val="6b778c"/>
                <w:sz w:val="12"/>
                <w:szCs w:val="12"/>
              </w:rPr>
              <w:t xml:space="preserve">—</w:t>
            </w:r>
          </w:p>
        </w:tc>
        <w:tc>
          <w:tcPr>
            <w:tcW w:type="dxa" w:w="5460"/>
            <w:tcMar>
              <w:top w:type="dxa" w:w="20"/>
              <w:left w:type="dxa" w:w="60"/>
              <w:bottom w:type="dxa" w:w="20"/>
              <w:right w:type="dxa" w:w="75"/>
            </w:tcMar>
            <w:vAlign w:val="top"/>
          </w:tcPr>
          <w:p>
            <w:pPr>
              <w:spacing w:after="36" w:before="0"/>
            </w:pPr>
            <w:r>
              <w:rPr>
                <w:rFonts w:ascii="Arial" w:cs="Arial" w:eastAsia="Arial" w:hAnsi="Arial"/>
                <w:b w:val="false"/>
                <w:bCs w:val="false"/>
                <w:i w:val="false"/>
                <w:iCs w:val="false"/>
                <w:caps w:val="false"/>
                <w:color w:val="14335c"/>
                <w:sz w:val="13"/>
                <w:szCs w:val="13"/>
              </w:rPr>
              <w:t xml:space="preserve">Title, Publisher, Citation, Copyright, Executive Summary, Cross-Cutting Note</w:t>
            </w:r>
          </w:p>
        </w:tc>
        <w:tc>
          <w:tcPr>
            <w:tcW w:type="dxa" w:w="2200"/>
            <w:tcMar>
              <w:top w:type="dxa" w:w="20"/>
              <w:left w:type="dxa" w:w="60"/>
              <w:bottom w:type="dxa" w:w="20"/>
              <w:right w:type="dxa" w:w="75"/>
            </w:tcMar>
            <w:vAlign w:val="top"/>
          </w:tcPr>
          <w:p>
            <w:pPr>
              <w:spacing w:after="36" w:before="0"/>
            </w:pPr>
            <w:r>
              <w:rPr>
                <w:rFonts w:ascii="Arial" w:cs="Arial" w:eastAsia="Arial" w:hAnsi="Arial"/>
                <w:b w:val="false"/>
                <w:bCs w:val="false"/>
                <w:i w:val="false"/>
                <w:iCs w:val="false"/>
                <w:caps w:val="false"/>
                <w:color w:val="6b778c"/>
                <w:sz w:val="12"/>
                <w:szCs w:val="12"/>
              </w:rPr>
              <w:t xml:space="preserve"/>
            </w:r>
          </w:p>
        </w:tc>
        <w:tc>
          <w:tcPr>
            <w:tcW w:type="dxa" w:w="1000"/>
            <w:tcMar>
              <w:top w:type="dxa" w:w="20"/>
              <w:left w:type="dxa" w:w="40"/>
              <w:bottom w:type="dxa" w:w="20"/>
              <w:right w:type="dxa" w:w="75"/>
            </w:tcMar>
            <w:vAlign w:val="top"/>
          </w:tcPr>
          <w:p>
            <w:pPr>
              <w:spacing w:after="36" w:before="0"/>
            </w:pPr>
            <w:r>
              <w:rPr>
                <w:rFonts w:ascii="Arial" w:cs="Arial" w:eastAsia="Arial" w:hAnsi="Arial"/>
                <w:b w:val="false"/>
                <w:bCs w:val="false"/>
                <w:i/>
                <w:iCs/>
                <w:caps w:val="false"/>
                <w:color w:val="6b778c"/>
                <w:sz w:val="12"/>
                <w:szCs w:val="12"/>
              </w:rPr>
              <w:t xml:space="preserve">1</w:t>
            </w:r>
          </w:p>
        </w:tc>
      </w:tr>
      <w:tr>
        <w:tc>
          <w:tcPr>
            <w:tcW w:type="dxa" w:w="700"/>
            <w:tcMar>
              <w:top w:type="dxa" w:w="20"/>
              <w:left w:type="dxa" w:w="40"/>
              <w:bottom w:type="dxa" w:w="20"/>
              <w:right w:type="dxa" w:w="75"/>
            </w:tcMar>
            <w:vAlign w:val="top"/>
          </w:tcPr>
          <w:p>
            <w:pPr>
              <w:spacing w:after="36" w:before="0"/>
            </w:pPr>
            <w:r>
              <w:rPr>
                <w:rFonts w:ascii="Arial" w:cs="Arial" w:eastAsia="Arial" w:hAnsi="Arial"/>
                <w:b w:val="false"/>
                <w:bCs w:val="false"/>
                <w:i w:val="false"/>
                <w:iCs w:val="false"/>
                <w:caps w:val="false"/>
                <w:color w:val="6b778c"/>
                <w:sz w:val="12"/>
                <w:szCs w:val="12"/>
              </w:rPr>
              <w:t xml:space="preserve">—</w:t>
            </w:r>
          </w:p>
        </w:tc>
        <w:tc>
          <w:tcPr>
            <w:tcW w:type="dxa" w:w="5460"/>
            <w:tcMar>
              <w:top w:type="dxa" w:w="20"/>
              <w:left w:type="dxa" w:w="60"/>
              <w:bottom w:type="dxa" w:w="20"/>
              <w:right w:type="dxa" w:w="75"/>
            </w:tcMar>
            <w:vAlign w:val="top"/>
          </w:tcPr>
          <w:p>
            <w:pPr>
              <w:spacing w:after="36" w:before="0"/>
            </w:pPr>
            <w:r>
              <w:rPr>
                <w:rFonts w:ascii="Arial" w:cs="Arial" w:eastAsia="Arial" w:hAnsi="Arial"/>
                <w:b w:val="false"/>
                <w:bCs w:val="false"/>
                <w:i w:val="false"/>
                <w:iCs w:val="false"/>
                <w:caps w:val="false"/>
                <w:color w:val="14335c"/>
                <w:sz w:val="13"/>
                <w:szCs w:val="13"/>
              </w:rPr>
              <w:t xml:space="preserve">Table of Contents — all 10 standards described</w:t>
            </w:r>
          </w:p>
        </w:tc>
        <w:tc>
          <w:tcPr>
            <w:tcW w:type="dxa" w:w="2200"/>
            <w:tcMar>
              <w:top w:type="dxa" w:w="20"/>
              <w:left w:type="dxa" w:w="60"/>
              <w:bottom w:type="dxa" w:w="20"/>
              <w:right w:type="dxa" w:w="75"/>
            </w:tcMar>
            <w:vAlign w:val="top"/>
          </w:tcPr>
          <w:p>
            <w:pPr>
              <w:spacing w:after="36" w:before="0"/>
            </w:pPr>
            <w:r>
              <w:rPr>
                <w:rFonts w:ascii="Arial" w:cs="Arial" w:eastAsia="Arial" w:hAnsi="Arial"/>
                <w:b w:val="false"/>
                <w:bCs w:val="false"/>
                <w:i w:val="false"/>
                <w:iCs w:val="false"/>
                <w:caps w:val="false"/>
                <w:color w:val="6b778c"/>
                <w:sz w:val="12"/>
                <w:szCs w:val="12"/>
              </w:rPr>
              <w:t xml:space="preserve"/>
            </w:r>
          </w:p>
        </w:tc>
        <w:tc>
          <w:tcPr>
            <w:tcW w:type="dxa" w:w="1000"/>
            <w:tcMar>
              <w:top w:type="dxa" w:w="20"/>
              <w:left w:type="dxa" w:w="40"/>
              <w:bottom w:type="dxa" w:w="20"/>
              <w:right w:type="dxa" w:w="75"/>
            </w:tcMar>
            <w:vAlign w:val="top"/>
          </w:tcPr>
          <w:p>
            <w:pPr>
              <w:spacing w:after="36" w:before="0"/>
            </w:pPr>
            <w:r>
              <w:rPr>
                <w:rFonts w:ascii="Arial" w:cs="Arial" w:eastAsia="Arial" w:hAnsi="Arial"/>
                <w:b w:val="false"/>
                <w:bCs w:val="false"/>
                <w:i/>
                <w:iCs/>
                <w:caps w:val="false"/>
                <w:color w:val="6b778c"/>
                <w:sz w:val="12"/>
                <w:szCs w:val="12"/>
              </w:rPr>
              <w:t xml:space="preserve">2</w:t>
            </w:r>
          </w:p>
        </w:tc>
      </w:tr>
      <w:tr>
        <w:tc>
          <w:tcPr>
            <w:tcW w:type="dxa" w:w="9360"/>
            <w:gridSpan w:val="4"/>
            <w:shd w:fill="0e2647" w:color="auto" w:val="clear"/>
            <w:tcMar>
              <w:top w:type="dxa" w:w="20"/>
              <w:left w:type="dxa" w:w="60"/>
              <w:bottom w:type="dxa" w:w="20"/>
              <w:right w:type="dxa" w:w="60"/>
            </w:tcMar>
          </w:tcPr>
          <w:p>
            <w:pPr>
              <w:spacing w:after="36" w:before="0"/>
            </w:pPr>
            <w:r>
              <w:rPr>
                <w:rFonts w:ascii="Helvetica" w:cs="Helvetica" w:eastAsia="Helvetica" w:hAnsi="Helvetica"/>
                <w:b/>
                <w:bCs/>
                <w:i w:val="false"/>
                <w:iCs w:val="false"/>
                <w:caps/>
                <w:color w:val="c9a227"/>
                <w:sz w:val="11"/>
                <w:szCs w:val="11"/>
              </w:rPr>
              <w:t xml:space="preserve">LEVEL 1 — FOUNDATION  |  Standards 2.1 to 2.5</w:t>
            </w:r>
          </w:p>
        </w:tc>
      </w:tr>
      <w:tr>
        <w:tc>
          <w:tcPr>
            <w:tcW w:type="dxa" w:w="9360"/>
            <w:gridSpan w:val="4"/>
            <w:shd w:fill="d1fae5" w:color="auto" w:val="clear"/>
            <w:tcMar>
              <w:top w:type="dxa" w:w="24"/>
              <w:left w:type="dxa" w:w="60"/>
              <w:bottom w:type="dxa" w:w="24"/>
              <w:right w:type="dxa" w:w="60"/>
            </w:tcMar>
          </w:tcPr>
          <w:p>
            <w:pPr>
              <w:spacing w:after="36" w:before="0"/>
            </w:pPr>
            <w:r>
              <w:rPr>
                <w:rFonts w:ascii="Arial" w:cs="Arial" w:eastAsia="Arial" w:hAnsi="Arial"/>
                <w:b/>
                <w:bCs/>
                <w:i w:val="false"/>
                <w:iCs w:val="false"/>
                <w:caps w:val="false"/>
                <w:color w:val="15803d"/>
                <w:sz w:val="12"/>
                <w:szCs w:val="12"/>
              </w:rPr>
              <w:t xml:space="preserve">What this level means:  </w:t>
            </w:r>
            <w:r>
              <w:rPr>
                <w:rFonts w:ascii="Arial" w:cs="Arial" w:eastAsia="Arial" w:hAnsi="Arial"/>
                <w:b w:val="false"/>
                <w:bCs w:val="false"/>
                <w:i w:val="false"/>
                <w:iCs w:val="false"/>
                <w:caps w:val="false"/>
                <w:color w:val="374151"/>
                <w:sz w:val="12"/>
                <w:szCs w:val="12"/>
              </w:rPr>
              <w:t xml:space="preserve">These are the non-negotiable minimum requirements. Any facility seeking accreditation must fully meet all five. Standards 2.1, 2.2, and 2.3 are marked CORE — a NO finding on any of these three blocks accreditation until the gap is resolved. No exceptions.</w:t>
            </w:r>
          </w:p>
        </w:tc>
      </w:tr>
      <w:tr>
        <w:tc>
          <w:tcPr>
            <w:tcW w:type="dxa" w:w="700"/>
            <w:shd w:fill="0e2647" w:color="auto" w:val="clear"/>
            <w:tcMar>
              <w:top w:type="dxa" w:w="26"/>
              <w:left w:type="dxa" w:w="40"/>
              <w:bottom w:type="dxa" w:w="26"/>
              <w:right w:type="dxa" w:w="75"/>
            </w:tcMar>
            <w:vAlign w:val="center"/>
          </w:tcPr>
          <w:p>
            <w:pPr>
              <w:spacing w:after="36" w:before="0"/>
            </w:pPr>
            <w:r>
              <w:rPr>
                <w:rFonts w:ascii="Georgia" w:cs="Georgia" w:eastAsia="Georgia" w:hAnsi="Georgia"/>
                <w:b/>
                <w:bCs/>
                <w:i w:val="false"/>
                <w:iCs w:val="false"/>
                <w:caps w:val="false"/>
                <w:color w:val="c9a227"/>
                <w:sz w:val="15"/>
                <w:szCs w:val="15"/>
              </w:rPr>
              <w:t xml:space="preserve">2.1</w:t>
            </w:r>
          </w:p>
        </w:tc>
        <w:tc>
          <w:tcPr>
            <w:tcW w:type="dxa" w:w="5460"/>
            <w:shd w:fill="fee2e2" w:color="auto" w:val="clear"/>
            <w:tcMar>
              <w:top w:type="dxa" w:w="22"/>
              <w:left w:type="dxa" w:w="60"/>
              <w:bottom w:type="dxa" w:w="22"/>
              <w:right w:type="dxa" w:w="75"/>
            </w:tcMar>
            <w:vAlign w:val="top"/>
          </w:tcPr>
          <w:p>
            <w:pPr>
              <w:spacing w:after="4" w:before="0"/>
            </w:pPr>
            <w:r>
              <w:rPr>
                <w:rFonts w:ascii="Arial" w:cs="Arial" w:eastAsia="Arial" w:hAnsi="Arial"/>
                <w:b/>
                <w:bCs/>
                <w:i w:val="false"/>
                <w:iCs w:val="false"/>
                <w:caps w:val="false"/>
                <w:color w:val="14335c"/>
                <w:sz w:val="14"/>
                <w:szCs w:val="14"/>
              </w:rPr>
              <w:t xml:space="preserve">Patient Rights Charter</w:t>
            </w:r>
          </w:p>
          <w:p>
            <w:pPr>
              <w:spacing w:after="36" w:before="0"/>
            </w:pPr>
            <w:r>
              <w:rPr>
                <w:rFonts w:ascii="Arial" w:cs="Arial" w:eastAsia="Arial" w:hAnsi="Arial"/>
                <w:b w:val="false"/>
                <w:bCs w:val="false"/>
                <w:i/>
                <w:iCs/>
                <w:caps w:val="false"/>
                <w:color w:val="4b5563"/>
                <w:sz w:val="12"/>
                <w:szCs w:val="12"/>
              </w:rPr>
              <w:t xml:space="preserve">The hospital publishes and actively communicates a patient rights charter, covering information, consent, privacy, complaint, and non-discrimination rights, in a form and language patients can understand.</w:t>
            </w:r>
          </w:p>
        </w:tc>
        <w:tc>
          <w:tcPr>
            <w:tcW w:type="dxa" w:w="2200"/>
            <w:shd w:fill="fee2e2" w:color="auto" w:val="clear"/>
            <w:tcMar>
              <w:top w:type="dxa" w:w="22"/>
              <w:left w:type="dxa" w:w="60"/>
              <w:bottom w:type="dxa" w:w="22"/>
              <w:right w:type="dxa" w:w="75"/>
            </w:tcMar>
            <w:vAlign w:val="center"/>
          </w:tcPr>
          <w:p>
            <w:pPr>
              <w:spacing w:after="36" w:before="0"/>
            </w:pPr>
            <w:r>
              <w:rPr>
                <w:rFonts w:ascii="Arial" w:cs="Arial" w:eastAsia="Arial" w:hAnsi="Arial"/>
                <w:b/>
                <w:bCs/>
                <w:i w:val="false"/>
                <w:iCs w:val="false"/>
                <w:caps w:val="false"/>
                <w:color w:val="b91c1c"/>
                <w:sz w:val="11"/>
                <w:szCs w:val="11"/>
              </w:rPr>
              <w:t xml:space="preserve">CORE  ·  Required for ALL facilities</w:t>
            </w:r>
          </w:p>
        </w:tc>
        <w:tc>
          <w:tcPr>
            <w:tcW w:type="dxa" w:w="1000"/>
            <w:shd w:fill="fee2e2" w:color="auto" w:val="clear"/>
            <w:tcMar>
              <w:top w:type="dxa" w:w="22"/>
              <w:left w:type="dxa" w:w="40"/>
              <w:bottom w:type="dxa" w:w="22"/>
              <w:right w:type="dxa" w:w="75"/>
            </w:tcMar>
            <w:vAlign w:val="center"/>
          </w:tcPr>
          <w:p>
            <w:pPr>
              <w:spacing w:after="36" w:before="0"/>
            </w:pPr>
            <w:r>
              <w:rPr>
                <w:rFonts w:ascii="Arial" w:cs="Arial" w:eastAsia="Arial" w:hAnsi="Arial"/>
                <w:b w:val="false"/>
                <w:bCs w:val="false"/>
                <w:i/>
                <w:iCs/>
                <w:caps w:val="false"/>
                <w:color w:val="6b778c"/>
                <w:sz w:val="12"/>
                <w:szCs w:val="12"/>
              </w:rPr>
              <w:t xml:space="preserve">3</w:t>
            </w:r>
          </w:p>
        </w:tc>
      </w:tr>
      <w:tr>
        <w:tc>
          <w:tcPr>
            <w:tcW w:type="dxa" w:w="700"/>
            <w:shd w:fill="0e2647" w:color="auto" w:val="clear"/>
            <w:tcMar>
              <w:top w:type="dxa" w:w="26"/>
              <w:left w:type="dxa" w:w="40"/>
              <w:bottom w:type="dxa" w:w="26"/>
              <w:right w:type="dxa" w:w="75"/>
            </w:tcMar>
            <w:vAlign w:val="center"/>
          </w:tcPr>
          <w:p>
            <w:pPr>
              <w:spacing w:after="36" w:before="0"/>
            </w:pPr>
            <w:r>
              <w:rPr>
                <w:rFonts w:ascii="Georgia" w:cs="Georgia" w:eastAsia="Georgia" w:hAnsi="Georgia"/>
                <w:b/>
                <w:bCs/>
                <w:i w:val="false"/>
                <w:iCs w:val="false"/>
                <w:caps w:val="false"/>
                <w:color w:val="c9a227"/>
                <w:sz w:val="15"/>
                <w:szCs w:val="15"/>
              </w:rPr>
              <w:t xml:space="preserve">2.2</w:t>
            </w:r>
          </w:p>
        </w:tc>
        <w:tc>
          <w:tcPr>
            <w:tcW w:type="dxa" w:w="5460"/>
            <w:shd w:fill="fee2e2" w:color="auto" w:val="clear"/>
            <w:tcMar>
              <w:top w:type="dxa" w:w="22"/>
              <w:left w:type="dxa" w:w="60"/>
              <w:bottom w:type="dxa" w:w="22"/>
              <w:right w:type="dxa" w:w="75"/>
            </w:tcMar>
            <w:vAlign w:val="top"/>
          </w:tcPr>
          <w:p>
            <w:pPr>
              <w:spacing w:after="4" w:before="0"/>
            </w:pPr>
            <w:r>
              <w:rPr>
                <w:rFonts w:ascii="Arial" w:cs="Arial" w:eastAsia="Arial" w:hAnsi="Arial"/>
                <w:b/>
                <w:bCs/>
                <w:i w:val="false"/>
                <w:iCs w:val="false"/>
                <w:caps w:val="false"/>
                <w:color w:val="14335c"/>
                <w:sz w:val="14"/>
                <w:szCs w:val="14"/>
              </w:rPr>
              <w:t xml:space="preserve">Informed Consent Process</w:t>
            </w:r>
          </w:p>
          <w:p>
            <w:pPr>
              <w:spacing w:after="36" w:before="0"/>
            </w:pPr>
            <w:r>
              <w:rPr>
                <w:rFonts w:ascii="Arial" w:cs="Arial" w:eastAsia="Arial" w:hAnsi="Arial"/>
                <w:b w:val="false"/>
                <w:bCs w:val="false"/>
                <w:i/>
                <w:iCs/>
                <w:caps w:val="false"/>
                <w:color w:val="4b5563"/>
                <w:sz w:val="12"/>
                <w:szCs w:val="12"/>
              </w:rPr>
              <w:t xml:space="preserve">The hospital has a documented informed consent process ensuring patients receive understandable information about risks, benefits, and alternatives before any significant procedure, and give consent freely and are able to withdraw it.</w:t>
            </w:r>
          </w:p>
        </w:tc>
        <w:tc>
          <w:tcPr>
            <w:tcW w:type="dxa" w:w="2200"/>
            <w:shd w:fill="fee2e2" w:color="auto" w:val="clear"/>
            <w:tcMar>
              <w:top w:type="dxa" w:w="22"/>
              <w:left w:type="dxa" w:w="60"/>
              <w:bottom w:type="dxa" w:w="22"/>
              <w:right w:type="dxa" w:w="75"/>
            </w:tcMar>
            <w:vAlign w:val="center"/>
          </w:tcPr>
          <w:p>
            <w:pPr>
              <w:spacing w:after="36" w:before="0"/>
            </w:pPr>
            <w:r>
              <w:rPr>
                <w:rFonts w:ascii="Arial" w:cs="Arial" w:eastAsia="Arial" w:hAnsi="Arial"/>
                <w:b/>
                <w:bCs/>
                <w:i w:val="false"/>
                <w:iCs w:val="false"/>
                <w:caps w:val="false"/>
                <w:color w:val="b91c1c"/>
                <w:sz w:val="11"/>
                <w:szCs w:val="11"/>
              </w:rPr>
              <w:t xml:space="preserve">CORE  ·  Required for ALL facilities</w:t>
            </w:r>
          </w:p>
        </w:tc>
        <w:tc>
          <w:tcPr>
            <w:tcW w:type="dxa" w:w="1000"/>
            <w:shd w:fill="fee2e2" w:color="auto" w:val="clear"/>
            <w:tcMar>
              <w:top w:type="dxa" w:w="22"/>
              <w:left w:type="dxa" w:w="40"/>
              <w:bottom w:type="dxa" w:w="22"/>
              <w:right w:type="dxa" w:w="75"/>
            </w:tcMar>
            <w:vAlign w:val="center"/>
          </w:tcPr>
          <w:p>
            <w:pPr>
              <w:spacing w:after="36" w:before="0"/>
            </w:pPr>
            <w:r>
              <w:rPr>
                <w:rFonts w:ascii="Arial" w:cs="Arial" w:eastAsia="Arial" w:hAnsi="Arial"/>
                <w:b w:val="false"/>
                <w:bCs w:val="false"/>
                <w:i/>
                <w:iCs/>
                <w:caps w:val="false"/>
                <w:color w:val="6b778c"/>
                <w:sz w:val="12"/>
                <w:szCs w:val="12"/>
              </w:rPr>
              <w:t xml:space="preserve">5</w:t>
            </w:r>
          </w:p>
        </w:tc>
      </w:tr>
      <w:tr>
        <w:tc>
          <w:tcPr>
            <w:tcW w:type="dxa" w:w="700"/>
            <w:shd w:fill="0e2647" w:color="auto" w:val="clear"/>
            <w:tcMar>
              <w:top w:type="dxa" w:w="26"/>
              <w:left w:type="dxa" w:w="40"/>
              <w:bottom w:type="dxa" w:w="26"/>
              <w:right w:type="dxa" w:w="75"/>
            </w:tcMar>
            <w:vAlign w:val="center"/>
          </w:tcPr>
          <w:p>
            <w:pPr>
              <w:spacing w:after="36" w:before="0"/>
            </w:pPr>
            <w:r>
              <w:rPr>
                <w:rFonts w:ascii="Georgia" w:cs="Georgia" w:eastAsia="Georgia" w:hAnsi="Georgia"/>
                <w:b/>
                <w:bCs/>
                <w:i w:val="false"/>
                <w:iCs w:val="false"/>
                <w:caps w:val="false"/>
                <w:color w:val="c9a227"/>
                <w:sz w:val="15"/>
                <w:szCs w:val="15"/>
              </w:rPr>
              <w:t xml:space="preserve">2.3</w:t>
            </w:r>
          </w:p>
        </w:tc>
        <w:tc>
          <w:tcPr>
            <w:tcW w:type="dxa" w:w="5460"/>
            <w:shd w:fill="fee2e2" w:color="auto" w:val="clear"/>
            <w:tcMar>
              <w:top w:type="dxa" w:w="22"/>
              <w:left w:type="dxa" w:w="60"/>
              <w:bottom w:type="dxa" w:w="22"/>
              <w:right w:type="dxa" w:w="75"/>
            </w:tcMar>
            <w:vAlign w:val="top"/>
          </w:tcPr>
          <w:p>
            <w:pPr>
              <w:spacing w:after="4" w:before="0"/>
            </w:pPr>
            <w:r>
              <w:rPr>
                <w:rFonts w:ascii="Arial" w:cs="Arial" w:eastAsia="Arial" w:hAnsi="Arial"/>
                <w:b/>
                <w:bCs/>
                <w:i w:val="false"/>
                <w:iCs w:val="false"/>
                <w:caps w:val="false"/>
                <w:color w:val="14335c"/>
                <w:sz w:val="14"/>
                <w:szCs w:val="14"/>
              </w:rPr>
              <w:t xml:space="preserve">Confidentiality and Privacy of Patient Information</w:t>
            </w:r>
          </w:p>
          <w:p>
            <w:pPr>
              <w:spacing w:after="36" w:before="0"/>
            </w:pPr>
            <w:r>
              <w:rPr>
                <w:rFonts w:ascii="Arial" w:cs="Arial" w:eastAsia="Arial" w:hAnsi="Arial"/>
                <w:b w:val="false"/>
                <w:bCs w:val="false"/>
                <w:i/>
                <w:iCs/>
                <w:caps w:val="false"/>
                <w:color w:val="4b5563"/>
                <w:sz w:val="12"/>
                <w:szCs w:val="12"/>
              </w:rPr>
              <w:t xml:space="preserve">The hospital protects the confidentiality of patient information through defined access controls, physical privacy safeguards, and staff training, with a documented process for handling breaches.</w:t>
            </w:r>
          </w:p>
        </w:tc>
        <w:tc>
          <w:tcPr>
            <w:tcW w:type="dxa" w:w="2200"/>
            <w:shd w:fill="fee2e2" w:color="auto" w:val="clear"/>
            <w:tcMar>
              <w:top w:type="dxa" w:w="22"/>
              <w:left w:type="dxa" w:w="60"/>
              <w:bottom w:type="dxa" w:w="22"/>
              <w:right w:type="dxa" w:w="75"/>
            </w:tcMar>
            <w:vAlign w:val="center"/>
          </w:tcPr>
          <w:p>
            <w:pPr>
              <w:spacing w:after="36" w:before="0"/>
            </w:pPr>
            <w:r>
              <w:rPr>
                <w:rFonts w:ascii="Arial" w:cs="Arial" w:eastAsia="Arial" w:hAnsi="Arial"/>
                <w:b/>
                <w:bCs/>
                <w:i w:val="false"/>
                <w:iCs w:val="false"/>
                <w:caps w:val="false"/>
                <w:color w:val="b91c1c"/>
                <w:sz w:val="11"/>
                <w:szCs w:val="11"/>
              </w:rPr>
              <w:t xml:space="preserve">CORE  ·  Required for ALL facilities</w:t>
            </w:r>
          </w:p>
        </w:tc>
        <w:tc>
          <w:tcPr>
            <w:tcW w:type="dxa" w:w="1000"/>
            <w:shd w:fill="fee2e2" w:color="auto" w:val="clear"/>
            <w:tcMar>
              <w:top w:type="dxa" w:w="22"/>
              <w:left w:type="dxa" w:w="40"/>
              <w:bottom w:type="dxa" w:w="22"/>
              <w:right w:type="dxa" w:w="75"/>
            </w:tcMar>
            <w:vAlign w:val="center"/>
          </w:tcPr>
          <w:p>
            <w:pPr>
              <w:spacing w:after="36" w:before="0"/>
            </w:pPr>
            <w:r>
              <w:rPr>
                <w:rFonts w:ascii="Arial" w:cs="Arial" w:eastAsia="Arial" w:hAnsi="Arial"/>
                <w:b w:val="false"/>
                <w:bCs w:val="false"/>
                <w:i/>
                <w:iCs/>
                <w:caps w:val="false"/>
                <w:color w:val="6b778c"/>
                <w:sz w:val="12"/>
                <w:szCs w:val="12"/>
              </w:rPr>
              <w:t xml:space="preserve">7</w:t>
            </w:r>
          </w:p>
        </w:tc>
      </w:tr>
      <w:tr>
        <w:tc>
          <w:tcPr>
            <w:tcW w:type="dxa" w:w="700"/>
            <w:shd w:fill="0e2647" w:color="auto" w:val="clear"/>
            <w:tcMar>
              <w:top w:type="dxa" w:w="26"/>
              <w:left w:type="dxa" w:w="40"/>
              <w:bottom w:type="dxa" w:w="26"/>
              <w:right w:type="dxa" w:w="75"/>
            </w:tcMar>
            <w:vAlign w:val="center"/>
          </w:tcPr>
          <w:p>
            <w:pPr>
              <w:spacing w:after="36" w:before="0"/>
            </w:pPr>
            <w:r>
              <w:rPr>
                <w:rFonts w:ascii="Georgia" w:cs="Georgia" w:eastAsia="Georgia" w:hAnsi="Georgia"/>
                <w:b/>
                <w:bCs/>
                <w:i w:val="false"/>
                <w:iCs w:val="false"/>
                <w:caps w:val="false"/>
                <w:color w:val="c9a227"/>
                <w:sz w:val="15"/>
                <w:szCs w:val="15"/>
              </w:rPr>
              <w:t xml:space="preserve">2.4</w:t>
            </w:r>
          </w:p>
        </w:tc>
        <w:tc>
          <w:tcPr>
            <w:tcW w:type="dxa" w:w="5460"/>
            <w:shd w:fill="d1fae5" w:color="auto" w:val="clear"/>
            <w:tcMar>
              <w:top w:type="dxa" w:w="22"/>
              <w:left w:type="dxa" w:w="60"/>
              <w:bottom w:type="dxa" w:w="22"/>
              <w:right w:type="dxa" w:w="75"/>
            </w:tcMar>
            <w:vAlign w:val="top"/>
          </w:tcPr>
          <w:p>
            <w:pPr>
              <w:spacing w:after="4" w:before="0"/>
            </w:pPr>
            <w:r>
              <w:rPr>
                <w:rFonts w:ascii="Arial" w:cs="Arial" w:eastAsia="Arial" w:hAnsi="Arial"/>
                <w:b/>
                <w:bCs/>
                <w:i w:val="false"/>
                <w:iCs w:val="false"/>
                <w:caps w:val="false"/>
                <w:color w:val="14335c"/>
                <w:sz w:val="14"/>
                <w:szCs w:val="14"/>
              </w:rPr>
              <w:t xml:space="preserve">Patient Identification and Safe Procedures</w:t>
            </w:r>
          </w:p>
          <w:p>
            <w:pPr>
              <w:spacing w:after="36" w:before="0"/>
            </w:pPr>
            <w:r>
              <w:rPr>
                <w:rFonts w:ascii="Arial" w:cs="Arial" w:eastAsia="Arial" w:hAnsi="Arial"/>
                <w:b w:val="false"/>
                <w:bCs w:val="false"/>
                <w:i/>
                <w:iCs/>
                <w:caps w:val="false"/>
                <w:color w:val="4b5563"/>
                <w:sz w:val="12"/>
                <w:szCs w:val="12"/>
              </w:rPr>
              <w:t xml:space="preserve">The hospital uses at least two patient identifiers to confirm identity before any procedure, medication administration, or specimen collection, with a documented identification policy.</w:t>
            </w:r>
          </w:p>
        </w:tc>
        <w:tc>
          <w:tcPr>
            <w:tcW w:type="dxa" w:w="2200"/>
            <w:shd w:fill="d1fae5" w:color="auto" w:val="clear"/>
            <w:tcMar>
              <w:top w:type="dxa" w:w="22"/>
              <w:left w:type="dxa" w:w="60"/>
              <w:bottom w:type="dxa" w:w="22"/>
              <w:right w:type="dxa" w:w="75"/>
            </w:tcMar>
            <w:vAlign w:val="center"/>
          </w:tcPr>
          <w:p>
            <w:pPr>
              <w:spacing w:after="36" w:before="0"/>
            </w:pPr>
            <w:r>
              <w:rPr>
                <w:rFonts w:ascii="Arial" w:cs="Arial" w:eastAsia="Arial" w:hAnsi="Arial"/>
                <w:b/>
                <w:bCs/>
                <w:i w:val="false"/>
                <w:iCs w:val="false"/>
                <w:caps w:val="false"/>
                <w:color w:val="15803d"/>
                <w:sz w:val="11"/>
                <w:szCs w:val="11"/>
              </w:rPr>
              <w:t xml:space="preserve">Required for ALL facilities</w:t>
            </w:r>
          </w:p>
        </w:tc>
        <w:tc>
          <w:tcPr>
            <w:tcW w:type="dxa" w:w="1000"/>
            <w:shd w:fill="d1fae5" w:color="auto" w:val="clear"/>
            <w:tcMar>
              <w:top w:type="dxa" w:w="22"/>
              <w:left w:type="dxa" w:w="40"/>
              <w:bottom w:type="dxa" w:w="22"/>
              <w:right w:type="dxa" w:w="75"/>
            </w:tcMar>
            <w:vAlign w:val="center"/>
          </w:tcPr>
          <w:p>
            <w:pPr>
              <w:spacing w:after="36" w:before="0"/>
            </w:pPr>
            <w:r>
              <w:rPr>
                <w:rFonts w:ascii="Arial" w:cs="Arial" w:eastAsia="Arial" w:hAnsi="Arial"/>
                <w:b w:val="false"/>
                <w:bCs w:val="false"/>
                <w:i/>
                <w:iCs/>
                <w:caps w:val="false"/>
                <w:color w:val="6b778c"/>
                <w:sz w:val="12"/>
                <w:szCs w:val="12"/>
              </w:rPr>
              <w:t xml:space="preserve">9</w:t>
            </w:r>
          </w:p>
        </w:tc>
      </w:tr>
      <w:tr>
        <w:tc>
          <w:tcPr>
            <w:tcW w:type="dxa" w:w="700"/>
            <w:shd w:fill="0e2647" w:color="auto" w:val="clear"/>
            <w:tcMar>
              <w:top w:type="dxa" w:w="26"/>
              <w:left w:type="dxa" w:w="40"/>
              <w:bottom w:type="dxa" w:w="26"/>
              <w:right w:type="dxa" w:w="75"/>
            </w:tcMar>
            <w:vAlign w:val="center"/>
          </w:tcPr>
          <w:p>
            <w:pPr>
              <w:spacing w:after="36" w:before="0"/>
            </w:pPr>
            <w:r>
              <w:rPr>
                <w:rFonts w:ascii="Georgia" w:cs="Georgia" w:eastAsia="Georgia" w:hAnsi="Georgia"/>
                <w:b/>
                <w:bCs/>
                <w:i w:val="false"/>
                <w:iCs w:val="false"/>
                <w:caps w:val="false"/>
                <w:color w:val="c9a227"/>
                <w:sz w:val="15"/>
                <w:szCs w:val="15"/>
              </w:rPr>
              <w:t xml:space="preserve">2.5</w:t>
            </w:r>
          </w:p>
        </w:tc>
        <w:tc>
          <w:tcPr>
            <w:tcW w:type="dxa" w:w="5460"/>
            <w:shd w:fill="d1fae5" w:color="auto" w:val="clear"/>
            <w:tcMar>
              <w:top w:type="dxa" w:w="22"/>
              <w:left w:type="dxa" w:w="60"/>
              <w:bottom w:type="dxa" w:w="22"/>
              <w:right w:type="dxa" w:w="75"/>
            </w:tcMar>
            <w:vAlign w:val="top"/>
          </w:tcPr>
          <w:p>
            <w:pPr>
              <w:spacing w:after="4" w:before="0"/>
            </w:pPr>
            <w:r>
              <w:rPr>
                <w:rFonts w:ascii="Arial" w:cs="Arial" w:eastAsia="Arial" w:hAnsi="Arial"/>
                <w:b/>
                <w:bCs/>
                <w:i w:val="false"/>
                <w:iCs w:val="false"/>
                <w:caps w:val="false"/>
                <w:color w:val="14335c"/>
                <w:sz w:val="14"/>
                <w:szCs w:val="14"/>
              </w:rPr>
              <w:t xml:space="preserve">Complaints and Grievance Process</w:t>
            </w:r>
          </w:p>
          <w:p>
            <w:pPr>
              <w:spacing w:after="36" w:before="0"/>
            </w:pPr>
            <w:r>
              <w:rPr>
                <w:rFonts w:ascii="Arial" w:cs="Arial" w:eastAsia="Arial" w:hAnsi="Arial"/>
                <w:b w:val="false"/>
                <w:bCs w:val="false"/>
                <w:i/>
                <w:iCs/>
                <w:caps w:val="false"/>
                <w:color w:val="4b5563"/>
                <w:sz w:val="12"/>
                <w:szCs w:val="12"/>
              </w:rPr>
              <w:t xml:space="preserve">The hospital has an accessible, timely, and fair process for patients and families to raise complaints or grievances, with tracked resolution and no risk of retaliation.</w:t>
            </w:r>
          </w:p>
        </w:tc>
        <w:tc>
          <w:tcPr>
            <w:tcW w:type="dxa" w:w="2200"/>
            <w:shd w:fill="d1fae5" w:color="auto" w:val="clear"/>
            <w:tcMar>
              <w:top w:type="dxa" w:w="22"/>
              <w:left w:type="dxa" w:w="60"/>
              <w:bottom w:type="dxa" w:w="22"/>
              <w:right w:type="dxa" w:w="75"/>
            </w:tcMar>
            <w:vAlign w:val="center"/>
          </w:tcPr>
          <w:p>
            <w:pPr>
              <w:spacing w:after="36" w:before="0"/>
            </w:pPr>
            <w:r>
              <w:rPr>
                <w:rFonts w:ascii="Arial" w:cs="Arial" w:eastAsia="Arial" w:hAnsi="Arial"/>
                <w:b/>
                <w:bCs/>
                <w:i w:val="false"/>
                <w:iCs w:val="false"/>
                <w:caps w:val="false"/>
                <w:color w:val="15803d"/>
                <w:sz w:val="11"/>
                <w:szCs w:val="11"/>
              </w:rPr>
              <w:t xml:space="preserve">Required for ALL facilities</w:t>
            </w:r>
          </w:p>
        </w:tc>
        <w:tc>
          <w:tcPr>
            <w:tcW w:type="dxa" w:w="1000"/>
            <w:shd w:fill="d1fae5" w:color="auto" w:val="clear"/>
            <w:tcMar>
              <w:top w:type="dxa" w:w="22"/>
              <w:left w:type="dxa" w:w="40"/>
              <w:bottom w:type="dxa" w:w="22"/>
              <w:right w:type="dxa" w:w="75"/>
            </w:tcMar>
            <w:vAlign w:val="center"/>
          </w:tcPr>
          <w:p>
            <w:pPr>
              <w:spacing w:after="36" w:before="0"/>
            </w:pPr>
            <w:r>
              <w:rPr>
                <w:rFonts w:ascii="Arial" w:cs="Arial" w:eastAsia="Arial" w:hAnsi="Arial"/>
                <w:b w:val="false"/>
                <w:bCs w:val="false"/>
                <w:i/>
                <w:iCs/>
                <w:caps w:val="false"/>
                <w:color w:val="6b778c"/>
                <w:sz w:val="12"/>
                <w:szCs w:val="12"/>
              </w:rPr>
              <w:t xml:space="preserve">11</w:t>
            </w:r>
          </w:p>
        </w:tc>
      </w:tr>
      <w:tr>
        <w:tc>
          <w:tcPr>
            <w:tcW w:type="dxa" w:w="9360"/>
            <w:gridSpan w:val="4"/>
            <w:shd w:fill="0e2647" w:color="auto" w:val="clear"/>
            <w:tcMar>
              <w:top w:type="dxa" w:w="20"/>
              <w:left w:type="dxa" w:w="60"/>
              <w:bottom w:type="dxa" w:w="20"/>
              <w:right w:type="dxa" w:w="60"/>
            </w:tcMar>
          </w:tcPr>
          <w:p>
            <w:pPr>
              <w:spacing w:after="36" w:before="0"/>
            </w:pPr>
            <w:r>
              <w:rPr>
                <w:rFonts w:ascii="Helvetica" w:cs="Helvetica" w:eastAsia="Helvetica" w:hAnsi="Helvetica"/>
                <w:b/>
                <w:bCs/>
                <w:i w:val="false"/>
                <w:iCs w:val="false"/>
                <w:caps/>
                <w:color w:val="c9a227"/>
                <w:sz w:val="11"/>
                <w:szCs w:val="11"/>
              </w:rPr>
              <w:t xml:space="preserve">LEVEL 2 — ACCREDITED  |  Standards 2.6 to 2.8</w:t>
            </w:r>
          </w:p>
        </w:tc>
      </w:tr>
      <w:tr>
        <w:tc>
          <w:tcPr>
            <w:tcW w:type="dxa" w:w="9360"/>
            <w:gridSpan w:val="4"/>
            <w:shd w:fill="fef3c7" w:color="auto" w:val="clear"/>
            <w:tcMar>
              <w:top w:type="dxa" w:w="24"/>
              <w:left w:type="dxa" w:w="60"/>
              <w:bottom w:type="dxa" w:w="24"/>
              <w:right w:type="dxa" w:w="60"/>
            </w:tcMar>
          </w:tcPr>
          <w:p>
            <w:pPr>
              <w:spacing w:after="36" w:before="0"/>
            </w:pPr>
            <w:r>
              <w:rPr>
                <w:rFonts w:ascii="Arial" w:cs="Arial" w:eastAsia="Arial" w:hAnsi="Arial"/>
                <w:b/>
                <w:bCs/>
                <w:i w:val="false"/>
                <w:iCs w:val="false"/>
                <w:caps w:val="false"/>
                <w:color w:val="92400e"/>
                <w:sz w:val="12"/>
                <w:szCs w:val="12"/>
              </w:rPr>
              <w:t xml:space="preserve">What this level means:  </w:t>
            </w:r>
            <w:r>
              <w:rPr>
                <w:rFonts w:ascii="Arial" w:cs="Arial" w:eastAsia="Arial" w:hAnsi="Arial"/>
                <w:b w:val="false"/>
                <w:bCs w:val="false"/>
                <w:i w:val="false"/>
                <w:iCs w:val="false"/>
                <w:caps w:val="false"/>
                <w:color w:val="374151"/>
                <w:sz w:val="12"/>
                <w:szCs w:val="12"/>
              </w:rPr>
              <w:t xml:space="preserve">A facility meeting Foundation standards protects a patient’s basic rights and safety. An Accredited facility actively safeguards vulnerable patients, honours end-of-life wishes, and provides genuine language access. These are the marks of a facility that treats patient rights as active practice, not a poster on a wall.</w:t>
            </w:r>
          </w:p>
        </w:tc>
      </w:tr>
      <w:tr>
        <w:tc>
          <w:tcPr>
            <w:tcW w:type="dxa" w:w="700"/>
            <w:shd w:fill="0e2647" w:color="auto" w:val="clear"/>
            <w:tcMar>
              <w:top w:type="dxa" w:w="26"/>
              <w:left w:type="dxa" w:w="40"/>
              <w:bottom w:type="dxa" w:w="26"/>
              <w:right w:type="dxa" w:w="75"/>
            </w:tcMar>
            <w:vAlign w:val="center"/>
          </w:tcPr>
          <w:p>
            <w:pPr>
              <w:spacing w:after="36" w:before="0"/>
            </w:pPr>
            <w:r>
              <w:rPr>
                <w:rFonts w:ascii="Georgia" w:cs="Georgia" w:eastAsia="Georgia" w:hAnsi="Georgia"/>
                <w:b/>
                <w:bCs/>
                <w:i w:val="false"/>
                <w:iCs w:val="false"/>
                <w:caps w:val="false"/>
                <w:color w:val="c9a227"/>
                <w:sz w:val="15"/>
                <w:szCs w:val="15"/>
              </w:rPr>
              <w:t xml:space="preserve">2.6</w:t>
            </w:r>
          </w:p>
        </w:tc>
        <w:tc>
          <w:tcPr>
            <w:tcW w:type="dxa" w:w="5460"/>
            <w:shd w:fill="fef3c7" w:color="auto" w:val="clear"/>
            <w:tcMar>
              <w:top w:type="dxa" w:w="22"/>
              <w:left w:type="dxa" w:w="60"/>
              <w:bottom w:type="dxa" w:w="22"/>
              <w:right w:type="dxa" w:w="75"/>
            </w:tcMar>
            <w:vAlign w:val="top"/>
          </w:tcPr>
          <w:p>
            <w:pPr>
              <w:spacing w:after="4" w:before="0"/>
            </w:pPr>
            <w:r>
              <w:rPr>
                <w:rFonts w:ascii="Arial" w:cs="Arial" w:eastAsia="Arial" w:hAnsi="Arial"/>
                <w:b/>
                <w:bCs/>
                <w:i w:val="false"/>
                <w:iCs w:val="false"/>
                <w:caps w:val="false"/>
                <w:color w:val="14335c"/>
                <w:sz w:val="14"/>
                <w:szCs w:val="14"/>
              </w:rPr>
              <w:t xml:space="preserve">Vulnerable Patient Protections</w:t>
            </w:r>
          </w:p>
          <w:p>
            <w:pPr>
              <w:spacing w:after="36" w:before="0"/>
            </w:pPr>
            <w:r>
              <w:rPr>
                <w:rFonts w:ascii="Arial" w:cs="Arial" w:eastAsia="Arial" w:hAnsi="Arial"/>
                <w:b w:val="false"/>
                <w:bCs w:val="false"/>
                <w:i/>
                <w:iCs/>
                <w:caps w:val="false"/>
                <w:color w:val="4b5563"/>
                <w:sz w:val="12"/>
                <w:szCs w:val="12"/>
              </w:rPr>
              <w:t xml:space="preserve">The hospital has defined additional safeguards for vulnerable patient groups, including children, older adults, patients with disabilities, and patients experiencing abuse or exploitation.</w:t>
            </w:r>
          </w:p>
        </w:tc>
        <w:tc>
          <w:tcPr>
            <w:tcW w:type="dxa" w:w="2200"/>
            <w:shd w:fill="fef3c7" w:color="auto" w:val="clear"/>
            <w:tcMar>
              <w:top w:type="dxa" w:w="22"/>
              <w:left w:type="dxa" w:w="60"/>
              <w:bottom w:type="dxa" w:w="22"/>
              <w:right w:type="dxa" w:w="75"/>
            </w:tcMar>
            <w:vAlign w:val="center"/>
          </w:tcPr>
          <w:p>
            <w:pPr>
              <w:spacing w:after="36" w:before="0"/>
            </w:pPr>
            <w:r>
              <w:rPr>
                <w:rFonts w:ascii="Arial" w:cs="Arial" w:eastAsia="Arial" w:hAnsi="Arial"/>
                <w:b/>
                <w:bCs/>
                <w:i w:val="false"/>
                <w:iCs w:val="false"/>
                <w:caps w:val="false"/>
                <w:color w:val="92400e"/>
                <w:sz w:val="11"/>
                <w:szCs w:val="11"/>
              </w:rPr>
              <w:t xml:space="preserve">Expected of ACCREDITED facilities</w:t>
            </w:r>
          </w:p>
        </w:tc>
        <w:tc>
          <w:tcPr>
            <w:tcW w:type="dxa" w:w="1000"/>
            <w:shd w:fill="fef3c7" w:color="auto" w:val="clear"/>
            <w:tcMar>
              <w:top w:type="dxa" w:w="22"/>
              <w:left w:type="dxa" w:w="40"/>
              <w:bottom w:type="dxa" w:w="22"/>
              <w:right w:type="dxa" w:w="75"/>
            </w:tcMar>
            <w:vAlign w:val="center"/>
          </w:tcPr>
          <w:p>
            <w:pPr>
              <w:spacing w:after="36" w:before="0"/>
            </w:pPr>
            <w:r>
              <w:rPr>
                <w:rFonts w:ascii="Arial" w:cs="Arial" w:eastAsia="Arial" w:hAnsi="Arial"/>
                <w:b w:val="false"/>
                <w:bCs w:val="false"/>
                <w:i/>
                <w:iCs/>
                <w:caps w:val="false"/>
                <w:color w:val="6b778c"/>
                <w:sz w:val="12"/>
                <w:szCs w:val="12"/>
              </w:rPr>
              <w:t xml:space="preserve">13</w:t>
            </w:r>
          </w:p>
        </w:tc>
      </w:tr>
      <w:tr>
        <w:tc>
          <w:tcPr>
            <w:tcW w:type="dxa" w:w="700"/>
            <w:shd w:fill="0e2647" w:color="auto" w:val="clear"/>
            <w:tcMar>
              <w:top w:type="dxa" w:w="26"/>
              <w:left w:type="dxa" w:w="40"/>
              <w:bottom w:type="dxa" w:w="26"/>
              <w:right w:type="dxa" w:w="75"/>
            </w:tcMar>
            <w:vAlign w:val="center"/>
          </w:tcPr>
          <w:p>
            <w:pPr>
              <w:spacing w:after="36" w:before="0"/>
            </w:pPr>
            <w:r>
              <w:rPr>
                <w:rFonts w:ascii="Georgia" w:cs="Georgia" w:eastAsia="Georgia" w:hAnsi="Georgia"/>
                <w:b/>
                <w:bCs/>
                <w:i w:val="false"/>
                <w:iCs w:val="false"/>
                <w:caps w:val="false"/>
                <w:color w:val="c9a227"/>
                <w:sz w:val="15"/>
                <w:szCs w:val="15"/>
              </w:rPr>
              <w:t xml:space="preserve">2.7</w:t>
            </w:r>
          </w:p>
        </w:tc>
        <w:tc>
          <w:tcPr>
            <w:tcW w:type="dxa" w:w="5460"/>
            <w:shd w:fill="fef3c7" w:color="auto" w:val="clear"/>
            <w:tcMar>
              <w:top w:type="dxa" w:w="22"/>
              <w:left w:type="dxa" w:w="60"/>
              <w:bottom w:type="dxa" w:w="22"/>
              <w:right w:type="dxa" w:w="75"/>
            </w:tcMar>
            <w:vAlign w:val="top"/>
          </w:tcPr>
          <w:p>
            <w:pPr>
              <w:spacing w:after="4" w:before="0"/>
            </w:pPr>
            <w:r>
              <w:rPr>
                <w:rFonts w:ascii="Arial" w:cs="Arial" w:eastAsia="Arial" w:hAnsi="Arial"/>
                <w:b/>
                <w:bCs/>
                <w:i w:val="false"/>
                <w:iCs w:val="false"/>
                <w:caps w:val="false"/>
                <w:color w:val="14335c"/>
                <w:sz w:val="14"/>
                <w:szCs w:val="14"/>
              </w:rPr>
              <w:t xml:space="preserve">Advance Directives and End-of-Life Decisions</w:t>
            </w:r>
          </w:p>
          <w:p>
            <w:pPr>
              <w:spacing w:after="36" w:before="0"/>
            </w:pPr>
            <w:r>
              <w:rPr>
                <w:rFonts w:ascii="Arial" w:cs="Arial" w:eastAsia="Arial" w:hAnsi="Arial"/>
                <w:b w:val="false"/>
                <w:bCs w:val="false"/>
                <w:i/>
                <w:iCs/>
                <w:caps w:val="false"/>
                <w:color w:val="4b5563"/>
                <w:sz w:val="12"/>
                <w:szCs w:val="12"/>
              </w:rPr>
              <w:t xml:space="preserve">The hospital has a documented process for eliciting, recording, and honouring patient advance directives and end-of-life care preferences, consistent with national law.</w:t>
            </w:r>
          </w:p>
        </w:tc>
        <w:tc>
          <w:tcPr>
            <w:tcW w:type="dxa" w:w="2200"/>
            <w:shd w:fill="fef3c7" w:color="auto" w:val="clear"/>
            <w:tcMar>
              <w:top w:type="dxa" w:w="22"/>
              <w:left w:type="dxa" w:w="60"/>
              <w:bottom w:type="dxa" w:w="22"/>
              <w:right w:type="dxa" w:w="75"/>
            </w:tcMar>
            <w:vAlign w:val="center"/>
          </w:tcPr>
          <w:p>
            <w:pPr>
              <w:spacing w:after="36" w:before="0"/>
            </w:pPr>
            <w:r>
              <w:rPr>
                <w:rFonts w:ascii="Arial" w:cs="Arial" w:eastAsia="Arial" w:hAnsi="Arial"/>
                <w:b/>
                <w:bCs/>
                <w:i w:val="false"/>
                <w:iCs w:val="false"/>
                <w:caps w:val="false"/>
                <w:color w:val="92400e"/>
                <w:sz w:val="11"/>
                <w:szCs w:val="11"/>
              </w:rPr>
              <w:t xml:space="preserve">Expected of ACCREDITED facilities</w:t>
            </w:r>
          </w:p>
        </w:tc>
        <w:tc>
          <w:tcPr>
            <w:tcW w:type="dxa" w:w="1000"/>
            <w:shd w:fill="fef3c7" w:color="auto" w:val="clear"/>
            <w:tcMar>
              <w:top w:type="dxa" w:w="22"/>
              <w:left w:type="dxa" w:w="40"/>
              <w:bottom w:type="dxa" w:w="22"/>
              <w:right w:type="dxa" w:w="75"/>
            </w:tcMar>
            <w:vAlign w:val="center"/>
          </w:tcPr>
          <w:p>
            <w:pPr>
              <w:spacing w:after="36" w:before="0"/>
            </w:pPr>
            <w:r>
              <w:rPr>
                <w:rFonts w:ascii="Arial" w:cs="Arial" w:eastAsia="Arial" w:hAnsi="Arial"/>
                <w:b w:val="false"/>
                <w:bCs w:val="false"/>
                <w:i/>
                <w:iCs/>
                <w:caps w:val="false"/>
                <w:color w:val="6b778c"/>
                <w:sz w:val="12"/>
                <w:szCs w:val="12"/>
              </w:rPr>
              <w:t xml:space="preserve">15</w:t>
            </w:r>
          </w:p>
        </w:tc>
      </w:tr>
      <w:tr>
        <w:tc>
          <w:tcPr>
            <w:tcW w:type="dxa" w:w="700"/>
            <w:shd w:fill="0e2647" w:color="auto" w:val="clear"/>
            <w:tcMar>
              <w:top w:type="dxa" w:w="26"/>
              <w:left w:type="dxa" w:w="40"/>
              <w:bottom w:type="dxa" w:w="26"/>
              <w:right w:type="dxa" w:w="75"/>
            </w:tcMar>
            <w:vAlign w:val="center"/>
          </w:tcPr>
          <w:p>
            <w:pPr>
              <w:spacing w:after="36" w:before="0"/>
            </w:pPr>
            <w:r>
              <w:rPr>
                <w:rFonts w:ascii="Georgia" w:cs="Georgia" w:eastAsia="Georgia" w:hAnsi="Georgia"/>
                <w:b/>
                <w:bCs/>
                <w:i w:val="false"/>
                <w:iCs w:val="false"/>
                <w:caps w:val="false"/>
                <w:color w:val="c9a227"/>
                <w:sz w:val="15"/>
                <w:szCs w:val="15"/>
              </w:rPr>
              <w:t xml:space="preserve">2.8</w:t>
            </w:r>
          </w:p>
        </w:tc>
        <w:tc>
          <w:tcPr>
            <w:tcW w:type="dxa" w:w="5460"/>
            <w:shd w:fill="fef3c7" w:color="auto" w:val="clear"/>
            <w:tcMar>
              <w:top w:type="dxa" w:w="22"/>
              <w:left w:type="dxa" w:w="60"/>
              <w:bottom w:type="dxa" w:w="22"/>
              <w:right w:type="dxa" w:w="75"/>
            </w:tcMar>
            <w:vAlign w:val="top"/>
          </w:tcPr>
          <w:p>
            <w:pPr>
              <w:spacing w:after="4" w:before="0"/>
            </w:pPr>
            <w:r>
              <w:rPr>
                <w:rFonts w:ascii="Arial" w:cs="Arial" w:eastAsia="Arial" w:hAnsi="Arial"/>
                <w:b/>
                <w:bCs/>
                <w:i w:val="false"/>
                <w:iCs w:val="false"/>
                <w:caps w:val="false"/>
                <w:color w:val="14335c"/>
                <w:sz w:val="14"/>
                <w:szCs w:val="14"/>
              </w:rPr>
              <w:t xml:space="preserve">Interpreter and Language Access Services</w:t>
            </w:r>
          </w:p>
          <w:p>
            <w:pPr>
              <w:spacing w:after="36" w:before="0"/>
            </w:pPr>
            <w:r>
              <w:rPr>
                <w:rFonts w:ascii="Arial" w:cs="Arial" w:eastAsia="Arial" w:hAnsi="Arial"/>
                <w:b w:val="false"/>
                <w:bCs w:val="false"/>
                <w:i/>
                <w:iCs/>
                <w:caps w:val="false"/>
                <w:color w:val="4b5563"/>
                <w:sz w:val="12"/>
                <w:szCs w:val="12"/>
              </w:rPr>
              <w:t xml:space="preserve">The hospital provides qualified interpretation for patients who do not speak the primary language of care, rather than relying on untrained staff or family members for clinical communication.</w:t>
            </w:r>
          </w:p>
        </w:tc>
        <w:tc>
          <w:tcPr>
            <w:tcW w:type="dxa" w:w="2200"/>
            <w:shd w:fill="fef3c7" w:color="auto" w:val="clear"/>
            <w:tcMar>
              <w:top w:type="dxa" w:w="22"/>
              <w:left w:type="dxa" w:w="60"/>
              <w:bottom w:type="dxa" w:w="22"/>
              <w:right w:type="dxa" w:w="75"/>
            </w:tcMar>
            <w:vAlign w:val="center"/>
          </w:tcPr>
          <w:p>
            <w:pPr>
              <w:spacing w:after="36" w:before="0"/>
            </w:pPr>
            <w:r>
              <w:rPr>
                <w:rFonts w:ascii="Arial" w:cs="Arial" w:eastAsia="Arial" w:hAnsi="Arial"/>
                <w:b/>
                <w:bCs/>
                <w:i w:val="false"/>
                <w:iCs w:val="false"/>
                <w:caps w:val="false"/>
                <w:color w:val="92400e"/>
                <w:sz w:val="11"/>
                <w:szCs w:val="11"/>
              </w:rPr>
              <w:t xml:space="preserve">Expected of ACCREDITED facilities</w:t>
            </w:r>
          </w:p>
        </w:tc>
        <w:tc>
          <w:tcPr>
            <w:tcW w:type="dxa" w:w="1000"/>
            <w:shd w:fill="fef3c7" w:color="auto" w:val="clear"/>
            <w:tcMar>
              <w:top w:type="dxa" w:w="22"/>
              <w:left w:type="dxa" w:w="40"/>
              <w:bottom w:type="dxa" w:w="22"/>
              <w:right w:type="dxa" w:w="75"/>
            </w:tcMar>
            <w:vAlign w:val="center"/>
          </w:tcPr>
          <w:p>
            <w:pPr>
              <w:spacing w:after="36" w:before="0"/>
            </w:pPr>
            <w:r>
              <w:rPr>
                <w:rFonts w:ascii="Arial" w:cs="Arial" w:eastAsia="Arial" w:hAnsi="Arial"/>
                <w:b w:val="false"/>
                <w:bCs w:val="false"/>
                <w:i/>
                <w:iCs/>
                <w:caps w:val="false"/>
                <w:color w:val="6b778c"/>
                <w:sz w:val="12"/>
                <w:szCs w:val="12"/>
              </w:rPr>
              <w:t xml:space="preserve">17</w:t>
            </w:r>
          </w:p>
        </w:tc>
      </w:tr>
      <w:tr>
        <w:tc>
          <w:tcPr>
            <w:tcW w:type="dxa" w:w="9360"/>
            <w:gridSpan w:val="4"/>
            <w:shd w:fill="0e2647" w:color="auto" w:val="clear"/>
            <w:tcMar>
              <w:top w:type="dxa" w:w="20"/>
              <w:left w:type="dxa" w:w="60"/>
              <w:bottom w:type="dxa" w:w="20"/>
              <w:right w:type="dxa" w:w="60"/>
            </w:tcMar>
          </w:tcPr>
          <w:p>
            <w:pPr>
              <w:spacing w:after="36" w:before="0"/>
            </w:pPr>
            <w:r>
              <w:rPr>
                <w:rFonts w:ascii="Helvetica" w:cs="Helvetica" w:eastAsia="Helvetica" w:hAnsi="Helvetica"/>
                <w:b/>
                <w:bCs/>
                <w:i w:val="false"/>
                <w:iCs w:val="false"/>
                <w:caps/>
                <w:color w:val="c9a227"/>
                <w:sz w:val="11"/>
                <w:szCs w:val="11"/>
              </w:rPr>
              <w:t xml:space="preserve">LEVEL 3 — ADVANCED  |  Standards 2.9 to 2.10</w:t>
            </w:r>
          </w:p>
        </w:tc>
      </w:tr>
      <w:tr>
        <w:tc>
          <w:tcPr>
            <w:tcW w:type="dxa" w:w="9360"/>
            <w:gridSpan w:val="4"/>
            <w:shd w:fill="dbeafe" w:color="auto" w:val="clear"/>
            <w:tcMar>
              <w:top w:type="dxa" w:w="24"/>
              <w:left w:type="dxa" w:w="60"/>
              <w:bottom w:type="dxa" w:w="24"/>
              <w:right w:type="dxa" w:w="60"/>
            </w:tcMar>
          </w:tcPr>
          <w:p>
            <w:pPr>
              <w:spacing w:after="36" w:before="0"/>
            </w:pPr>
            <w:r>
              <w:rPr>
                <w:rFonts w:ascii="Arial" w:cs="Arial" w:eastAsia="Arial" w:hAnsi="Arial"/>
                <w:b/>
                <w:bCs/>
                <w:i w:val="false"/>
                <w:iCs w:val="false"/>
                <w:caps w:val="false"/>
                <w:color w:val="14335c"/>
                <w:sz w:val="12"/>
                <w:szCs w:val="12"/>
              </w:rPr>
              <w:t xml:space="preserve">What this level means:  </w:t>
            </w:r>
            <w:r>
              <w:rPr>
                <w:rFonts w:ascii="Arial" w:cs="Arial" w:eastAsia="Arial" w:hAnsi="Arial"/>
                <w:b w:val="false"/>
                <w:bCs w:val="false"/>
                <w:i w:val="false"/>
                <w:iCs w:val="false"/>
                <w:caps w:val="false"/>
                <w:color w:val="374151"/>
                <w:sz w:val="12"/>
                <w:szCs w:val="12"/>
              </w:rPr>
              <w:t xml:space="preserve">An Advanced facility’s commitment to patients goes beyond meeting minimum rights. It systematically listens to patient experience and actively works to eliminate discrimination and indignity in care. These mark a facility at international best-practice level.</w:t>
            </w:r>
          </w:p>
        </w:tc>
      </w:tr>
      <w:tr>
        <w:tc>
          <w:tcPr>
            <w:tcW w:type="dxa" w:w="700"/>
            <w:shd w:fill="0e2647" w:color="auto" w:val="clear"/>
            <w:tcMar>
              <w:top w:type="dxa" w:w="26"/>
              <w:left w:type="dxa" w:w="40"/>
              <w:bottom w:type="dxa" w:w="26"/>
              <w:right w:type="dxa" w:w="75"/>
            </w:tcMar>
            <w:vAlign w:val="center"/>
          </w:tcPr>
          <w:p>
            <w:pPr>
              <w:spacing w:after="36" w:before="0"/>
            </w:pPr>
            <w:r>
              <w:rPr>
                <w:rFonts w:ascii="Georgia" w:cs="Georgia" w:eastAsia="Georgia" w:hAnsi="Georgia"/>
                <w:b/>
                <w:bCs/>
                <w:i w:val="false"/>
                <w:iCs w:val="false"/>
                <w:caps w:val="false"/>
                <w:color w:val="c9a227"/>
                <w:sz w:val="15"/>
                <w:szCs w:val="15"/>
              </w:rPr>
              <w:t xml:space="preserve">2.9</w:t>
            </w:r>
          </w:p>
        </w:tc>
        <w:tc>
          <w:tcPr>
            <w:tcW w:type="dxa" w:w="5460"/>
            <w:shd w:fill="dbeafe" w:color="auto" w:val="clear"/>
            <w:tcMar>
              <w:top w:type="dxa" w:w="22"/>
              <w:left w:type="dxa" w:w="60"/>
              <w:bottom w:type="dxa" w:w="22"/>
              <w:right w:type="dxa" w:w="75"/>
            </w:tcMar>
            <w:vAlign w:val="top"/>
          </w:tcPr>
          <w:p>
            <w:pPr>
              <w:spacing w:after="4" w:before="0"/>
            </w:pPr>
            <w:r>
              <w:rPr>
                <w:rFonts w:ascii="Arial" w:cs="Arial" w:eastAsia="Arial" w:hAnsi="Arial"/>
                <w:b/>
                <w:bCs/>
                <w:i w:val="false"/>
                <w:iCs w:val="false"/>
                <w:caps w:val="false"/>
                <w:color w:val="14335c"/>
                <w:sz w:val="14"/>
                <w:szCs w:val="14"/>
              </w:rPr>
              <w:t xml:space="preserve">Patient Feedback and Experience Monitoring</w:t>
            </w:r>
          </w:p>
          <w:p>
            <w:pPr>
              <w:spacing w:after="36" w:before="0"/>
            </w:pPr>
            <w:r>
              <w:rPr>
                <w:rFonts w:ascii="Arial" w:cs="Arial" w:eastAsia="Arial" w:hAnsi="Arial"/>
                <w:b w:val="false"/>
                <w:bCs w:val="false"/>
                <w:i/>
                <w:iCs/>
                <w:caps w:val="false"/>
                <w:color w:val="4b5563"/>
                <w:sz w:val="12"/>
                <w:szCs w:val="12"/>
              </w:rPr>
              <w:t xml:space="preserve">The hospital systematically collects and reviews patient experience data, beyond formal complaints, and uses it to inform service improvement.</w:t>
            </w:r>
          </w:p>
        </w:tc>
        <w:tc>
          <w:tcPr>
            <w:tcW w:type="dxa" w:w="2200"/>
            <w:shd w:fill="dbeafe" w:color="auto" w:val="clear"/>
            <w:tcMar>
              <w:top w:type="dxa" w:w="22"/>
              <w:left w:type="dxa" w:w="60"/>
              <w:bottom w:type="dxa" w:w="22"/>
              <w:right w:type="dxa" w:w="75"/>
            </w:tcMar>
            <w:vAlign w:val="center"/>
          </w:tcPr>
          <w:p>
            <w:pPr>
              <w:spacing w:after="36" w:before="0"/>
            </w:pPr>
            <w:r>
              <w:rPr>
                <w:rFonts w:ascii="Arial" w:cs="Arial" w:eastAsia="Arial" w:hAnsi="Arial"/>
                <w:b/>
                <w:bCs/>
                <w:i w:val="false"/>
                <w:iCs w:val="false"/>
                <w:caps w:val="false"/>
                <w:color w:val="14335c"/>
                <w:sz w:val="11"/>
                <w:szCs w:val="11"/>
              </w:rPr>
              <w:t xml:space="preserve">INTERNATIONAL BEST PRACTICE</w:t>
            </w:r>
          </w:p>
        </w:tc>
        <w:tc>
          <w:tcPr>
            <w:tcW w:type="dxa" w:w="1000"/>
            <w:shd w:fill="dbeafe" w:color="auto" w:val="clear"/>
            <w:tcMar>
              <w:top w:type="dxa" w:w="22"/>
              <w:left w:type="dxa" w:w="40"/>
              <w:bottom w:type="dxa" w:w="22"/>
              <w:right w:type="dxa" w:w="75"/>
            </w:tcMar>
            <w:vAlign w:val="center"/>
          </w:tcPr>
          <w:p>
            <w:pPr>
              <w:spacing w:after="36" w:before="0"/>
            </w:pPr>
            <w:r>
              <w:rPr>
                <w:rFonts w:ascii="Arial" w:cs="Arial" w:eastAsia="Arial" w:hAnsi="Arial"/>
                <w:b w:val="false"/>
                <w:bCs w:val="false"/>
                <w:i/>
                <w:iCs/>
                <w:caps w:val="false"/>
                <w:color w:val="6b778c"/>
                <w:sz w:val="12"/>
                <w:szCs w:val="12"/>
              </w:rPr>
              <w:t xml:space="preserve">19</w:t>
            </w:r>
          </w:p>
        </w:tc>
      </w:tr>
      <w:tr>
        <w:tc>
          <w:tcPr>
            <w:tcW w:type="dxa" w:w="700"/>
            <w:shd w:fill="0e2647" w:color="auto" w:val="clear"/>
            <w:tcMar>
              <w:top w:type="dxa" w:w="26"/>
              <w:left w:type="dxa" w:w="40"/>
              <w:bottom w:type="dxa" w:w="26"/>
              <w:right w:type="dxa" w:w="75"/>
            </w:tcMar>
            <w:vAlign w:val="center"/>
          </w:tcPr>
          <w:p>
            <w:pPr>
              <w:spacing w:after="36" w:before="0"/>
            </w:pPr>
            <w:r>
              <w:rPr>
                <w:rFonts w:ascii="Georgia" w:cs="Georgia" w:eastAsia="Georgia" w:hAnsi="Georgia"/>
                <w:b/>
                <w:bCs/>
                <w:i w:val="false"/>
                <w:iCs w:val="false"/>
                <w:caps w:val="false"/>
                <w:color w:val="c9a227"/>
                <w:sz w:val="15"/>
                <w:szCs w:val="15"/>
              </w:rPr>
              <w:t xml:space="preserve">2.10</w:t>
            </w:r>
          </w:p>
        </w:tc>
        <w:tc>
          <w:tcPr>
            <w:tcW w:type="dxa" w:w="5460"/>
            <w:shd w:fill="dbeafe" w:color="auto" w:val="clear"/>
            <w:tcMar>
              <w:top w:type="dxa" w:w="22"/>
              <w:left w:type="dxa" w:w="60"/>
              <w:bottom w:type="dxa" w:w="22"/>
              <w:right w:type="dxa" w:w="75"/>
            </w:tcMar>
            <w:vAlign w:val="top"/>
          </w:tcPr>
          <w:p>
            <w:pPr>
              <w:spacing w:after="4" w:before="0"/>
            </w:pPr>
            <w:r>
              <w:rPr>
                <w:rFonts w:ascii="Arial" w:cs="Arial" w:eastAsia="Arial" w:hAnsi="Arial"/>
                <w:b/>
                <w:bCs/>
                <w:i w:val="false"/>
                <w:iCs w:val="false"/>
                <w:caps w:val="false"/>
                <w:color w:val="14335c"/>
                <w:sz w:val="14"/>
                <w:szCs w:val="14"/>
              </w:rPr>
              <w:t xml:space="preserve">Dignity, Respect and Non-Discrimination</w:t>
            </w:r>
          </w:p>
          <w:p>
            <w:pPr>
              <w:spacing w:after="36" w:before="0"/>
            </w:pPr>
            <w:r>
              <w:rPr>
                <w:rFonts w:ascii="Arial" w:cs="Arial" w:eastAsia="Arial" w:hAnsi="Arial"/>
                <w:b w:val="false"/>
                <w:bCs w:val="false"/>
                <w:i/>
                <w:iCs/>
                <w:caps w:val="false"/>
                <w:color w:val="4b5563"/>
                <w:sz w:val="12"/>
                <w:szCs w:val="12"/>
              </w:rPr>
              <w:t xml:space="preserve">The hospital ensures all patients are treated with dignity and respect, and are free from discrimination on the basis of race, ethnicity, religion, gender, disability, age, sexual orientation, or ability to pay.</w:t>
            </w:r>
          </w:p>
        </w:tc>
        <w:tc>
          <w:tcPr>
            <w:tcW w:type="dxa" w:w="2200"/>
            <w:shd w:fill="dbeafe" w:color="auto" w:val="clear"/>
            <w:tcMar>
              <w:top w:type="dxa" w:w="22"/>
              <w:left w:type="dxa" w:w="60"/>
              <w:bottom w:type="dxa" w:w="22"/>
              <w:right w:type="dxa" w:w="75"/>
            </w:tcMar>
            <w:vAlign w:val="center"/>
          </w:tcPr>
          <w:p>
            <w:pPr>
              <w:spacing w:after="36" w:before="0"/>
            </w:pPr>
            <w:r>
              <w:rPr>
                <w:rFonts w:ascii="Arial" w:cs="Arial" w:eastAsia="Arial" w:hAnsi="Arial"/>
                <w:b/>
                <w:bCs/>
                <w:i w:val="false"/>
                <w:iCs w:val="false"/>
                <w:caps w:val="false"/>
                <w:color w:val="14335c"/>
                <w:sz w:val="11"/>
                <w:szCs w:val="11"/>
              </w:rPr>
              <w:t xml:space="preserve">INTERNATIONAL BEST PRACTICE</w:t>
            </w:r>
          </w:p>
        </w:tc>
        <w:tc>
          <w:tcPr>
            <w:tcW w:type="dxa" w:w="1000"/>
            <w:shd w:fill="dbeafe" w:color="auto" w:val="clear"/>
            <w:tcMar>
              <w:top w:type="dxa" w:w="22"/>
              <w:left w:type="dxa" w:w="40"/>
              <w:bottom w:type="dxa" w:w="22"/>
              <w:right w:type="dxa" w:w="75"/>
            </w:tcMar>
            <w:vAlign w:val="center"/>
          </w:tcPr>
          <w:p>
            <w:pPr>
              <w:spacing w:after="36" w:before="0"/>
            </w:pPr>
            <w:r>
              <w:rPr>
                <w:rFonts w:ascii="Arial" w:cs="Arial" w:eastAsia="Arial" w:hAnsi="Arial"/>
                <w:b w:val="false"/>
                <w:bCs w:val="false"/>
                <w:i/>
                <w:iCs/>
                <w:caps w:val="false"/>
                <w:color w:val="6b778c"/>
                <w:sz w:val="12"/>
                <w:szCs w:val="12"/>
              </w:rPr>
              <w:t xml:space="preserve">21</w:t>
            </w:r>
          </w:p>
        </w:tc>
      </w:tr>
      <w:tr>
        <w:tc>
          <w:tcPr>
            <w:tcW w:type="dxa" w:w="9360"/>
            <w:gridSpan w:val="4"/>
            <w:shd w:fill="0e2647" w:color="auto" w:val="clear"/>
            <w:tcMar>
              <w:top w:type="dxa" w:w="20"/>
              <w:left w:type="dxa" w:w="60"/>
              <w:bottom w:type="dxa" w:w="20"/>
              <w:right w:type="dxa" w:w="60"/>
            </w:tcMar>
          </w:tcPr>
          <w:p>
            <w:pPr>
              <w:spacing w:after="36" w:before="0"/>
            </w:pPr>
            <w:r>
              <w:rPr>
                <w:rFonts w:ascii="Helvetica" w:cs="Helvetica" w:eastAsia="Helvetica" w:hAnsi="Helvetica"/>
                <w:b/>
                <w:bCs/>
                <w:i w:val="false"/>
                <w:iCs w:val="false"/>
                <w:caps/>
                <w:color w:val="c9a227"/>
                <w:sz w:val="11"/>
                <w:szCs w:val="11"/>
              </w:rPr>
              <w:t xml:space="preserve">BACK MATTER</w:t>
            </w:r>
          </w:p>
        </w:tc>
      </w:tr>
      <w:tr>
        <w:tc>
          <w:tcPr>
            <w:tcW w:type="dxa" w:w="700"/>
            <w:tcMar>
              <w:top w:type="dxa" w:w="20"/>
              <w:left w:type="dxa" w:w="40"/>
              <w:bottom w:type="dxa" w:w="20"/>
              <w:right w:type="dxa" w:w="75"/>
            </w:tcMar>
            <w:vAlign w:val="top"/>
          </w:tcPr>
          <w:p>
            <w:pPr>
              <w:spacing w:after="36" w:before="0"/>
            </w:pPr>
            <w:r>
              <w:rPr>
                <w:rFonts w:ascii="Arial" w:cs="Arial" w:eastAsia="Arial" w:hAnsi="Arial"/>
                <w:b w:val="false"/>
                <w:bCs w:val="false"/>
                <w:i w:val="false"/>
                <w:iCs w:val="false"/>
                <w:caps w:val="false"/>
                <w:color w:val="6b778c"/>
                <w:sz w:val="12"/>
                <w:szCs w:val="12"/>
              </w:rPr>
              <w:t xml:space="preserve">—</w:t>
            </w:r>
          </w:p>
        </w:tc>
        <w:tc>
          <w:tcPr>
            <w:tcW w:type="dxa" w:w="5460"/>
            <w:tcMar>
              <w:top w:type="dxa" w:w="20"/>
              <w:left w:type="dxa" w:w="60"/>
              <w:bottom w:type="dxa" w:w="20"/>
              <w:right w:type="dxa" w:w="75"/>
            </w:tcMar>
            <w:vAlign w:val="top"/>
          </w:tcPr>
          <w:p>
            <w:pPr>
              <w:spacing w:after="36" w:before="0"/>
            </w:pPr>
            <w:r>
              <w:rPr>
                <w:rFonts w:ascii="Arial" w:cs="Arial" w:eastAsia="Arial" w:hAnsi="Arial"/>
                <w:b w:val="false"/>
                <w:bCs w:val="false"/>
                <w:i w:val="false"/>
                <w:iCs w:val="false"/>
                <w:caps w:val="false"/>
                <w:color w:val="14335c"/>
                <w:sz w:val="13"/>
                <w:szCs w:val="13"/>
              </w:rPr>
              <w:t xml:space="preserve">Combined References — Vancouver style, with full URL for each citation</w:t>
            </w:r>
          </w:p>
        </w:tc>
        <w:tc>
          <w:tcPr>
            <w:tcW w:type="dxa" w:w="2200"/>
            <w:tcMar>
              <w:top w:type="dxa" w:w="20"/>
              <w:left w:type="dxa" w:w="60"/>
              <w:bottom w:type="dxa" w:w="20"/>
              <w:right w:type="dxa" w:w="75"/>
            </w:tcMar>
            <w:vAlign w:val="top"/>
          </w:tcPr>
          <w:p>
            <w:pPr>
              <w:spacing w:after="36" w:before="0"/>
            </w:pPr>
            <w:r>
              <w:rPr>
                <w:rFonts w:ascii="Arial" w:cs="Arial" w:eastAsia="Arial" w:hAnsi="Arial"/>
                <w:b w:val="false"/>
                <w:bCs w:val="false"/>
                <w:i w:val="false"/>
                <w:iCs w:val="false"/>
                <w:caps w:val="false"/>
                <w:color w:val="6b778c"/>
                <w:sz w:val="12"/>
                <w:szCs w:val="12"/>
              </w:rPr>
              <w:t xml:space="preserve"/>
            </w:r>
          </w:p>
        </w:tc>
        <w:tc>
          <w:tcPr>
            <w:tcW w:type="dxa" w:w="1000"/>
            <w:tcMar>
              <w:top w:type="dxa" w:w="20"/>
              <w:left w:type="dxa" w:w="40"/>
              <w:bottom w:type="dxa" w:w="20"/>
              <w:right w:type="dxa" w:w="75"/>
            </w:tcMar>
            <w:vAlign w:val="top"/>
          </w:tcPr>
          <w:p>
            <w:pPr>
              <w:spacing w:after="36" w:before="0"/>
            </w:pPr>
            <w:r>
              <w:rPr>
                <w:rFonts w:ascii="Arial" w:cs="Arial" w:eastAsia="Arial" w:hAnsi="Arial"/>
                <w:b w:val="false"/>
                <w:bCs w:val="false"/>
                <w:i/>
                <w:iCs/>
                <w:caps w:val="false"/>
                <w:color w:val="6b778c"/>
                <w:sz w:val="12"/>
                <w:szCs w:val="12"/>
              </w:rPr>
              <w:t xml:space="preserve">23</w:t>
            </w:r>
          </w:p>
        </w:tc>
      </w:tr>
      <w:tr>
        <w:tc>
          <w:tcPr>
            <w:tcW w:type="dxa" w:w="700"/>
            <w:tcMar>
              <w:top w:type="dxa" w:w="20"/>
              <w:left w:type="dxa" w:w="40"/>
              <w:bottom w:type="dxa" w:w="20"/>
              <w:right w:type="dxa" w:w="75"/>
            </w:tcMar>
            <w:vAlign w:val="top"/>
          </w:tcPr>
          <w:p>
            <w:pPr>
              <w:spacing w:after="36" w:before="0"/>
            </w:pPr>
            <w:r>
              <w:rPr>
                <w:rFonts w:ascii="Arial" w:cs="Arial" w:eastAsia="Arial" w:hAnsi="Arial"/>
                <w:b w:val="false"/>
                <w:bCs w:val="false"/>
                <w:i w:val="false"/>
                <w:iCs w:val="false"/>
                <w:caps w:val="false"/>
                <w:color w:val="6b778c"/>
                <w:sz w:val="12"/>
                <w:szCs w:val="12"/>
              </w:rPr>
              <w:t xml:space="preserve">—</w:t>
            </w:r>
          </w:p>
        </w:tc>
        <w:tc>
          <w:tcPr>
            <w:tcW w:type="dxa" w:w="5460"/>
            <w:tcMar>
              <w:top w:type="dxa" w:w="20"/>
              <w:left w:type="dxa" w:w="60"/>
              <w:bottom w:type="dxa" w:w="20"/>
              <w:right w:type="dxa" w:w="75"/>
            </w:tcMar>
            <w:vAlign w:val="top"/>
          </w:tcPr>
          <w:p>
            <w:pPr>
              <w:spacing w:after="36" w:before="0"/>
            </w:pPr>
            <w:r>
              <w:rPr>
                <w:rFonts w:ascii="Arial" w:cs="Arial" w:eastAsia="Arial" w:hAnsi="Arial"/>
                <w:b w:val="false"/>
                <w:bCs w:val="false"/>
                <w:i w:val="false"/>
                <w:iCs w:val="false"/>
                <w:caps w:val="false"/>
                <w:color w:val="14335c"/>
                <w:sz w:val="13"/>
                <w:szCs w:val="13"/>
              </w:rPr>
              <w:t xml:space="preserve">Keyword Index — alphabetical, with standard number and page for each term</w:t>
            </w:r>
          </w:p>
        </w:tc>
        <w:tc>
          <w:tcPr>
            <w:tcW w:type="dxa" w:w="2200"/>
            <w:tcMar>
              <w:top w:type="dxa" w:w="20"/>
              <w:left w:type="dxa" w:w="60"/>
              <w:bottom w:type="dxa" w:w="20"/>
              <w:right w:type="dxa" w:w="75"/>
            </w:tcMar>
            <w:vAlign w:val="top"/>
          </w:tcPr>
          <w:p>
            <w:pPr>
              <w:spacing w:after="36" w:before="0"/>
            </w:pPr>
            <w:r>
              <w:rPr>
                <w:rFonts w:ascii="Arial" w:cs="Arial" w:eastAsia="Arial" w:hAnsi="Arial"/>
                <w:b w:val="false"/>
                <w:bCs w:val="false"/>
                <w:i w:val="false"/>
                <w:iCs w:val="false"/>
                <w:caps w:val="false"/>
                <w:color w:val="6b778c"/>
                <w:sz w:val="12"/>
                <w:szCs w:val="12"/>
              </w:rPr>
              <w:t xml:space="preserve"/>
            </w:r>
          </w:p>
        </w:tc>
        <w:tc>
          <w:tcPr>
            <w:tcW w:type="dxa" w:w="1000"/>
            <w:tcMar>
              <w:top w:type="dxa" w:w="20"/>
              <w:left w:type="dxa" w:w="40"/>
              <w:bottom w:type="dxa" w:w="20"/>
              <w:right w:type="dxa" w:w="75"/>
            </w:tcMar>
            <w:vAlign w:val="top"/>
          </w:tcPr>
          <w:p>
            <w:pPr>
              <w:spacing w:after="36" w:before="0"/>
            </w:pPr>
            <w:r>
              <w:rPr>
                <w:rFonts w:ascii="Arial" w:cs="Arial" w:eastAsia="Arial" w:hAnsi="Arial"/>
                <w:b w:val="false"/>
                <w:bCs w:val="false"/>
                <w:i/>
                <w:iCs/>
                <w:caps w:val="false"/>
                <w:color w:val="6b778c"/>
                <w:sz w:val="12"/>
                <w:szCs w:val="12"/>
              </w:rPr>
              <w:t xml:space="preserve">25</w:t>
            </w:r>
          </w:p>
        </w:tc>
      </w:tr>
    </w:tbl>
    <w:p>
      <w:pPr>
        <w:spacing w:after="36" w:before="2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4"/>
          <w:left w:val="none"/>
          <w:bottom w:val="none"/>
          <w:right w:val="none"/>
          <w:insideH w:val="single" w:color="auto" w:sz="4"/>
          <w:insideV w:val="single" w:color="auto" w:sz="4"/>
        </w:tblBorders>
      </w:tblPr>
      <w:tblGrid>
        <w:gridCol w:w="7000"/>
        <w:gridCol w:w="2360"/>
      </w:tblGrid>
      <w:tr>
        <w:tc>
          <w:tcPr>
            <w:tcW w:type="dxa" w:w="7000"/>
            <w:shd w:fill="0e2647" w:color="auto" w:val="clear"/>
            <w:tcMar>
              <w:top w:type="dxa" w:w="26"/>
              <w:left w:type="dxa" w:w="110"/>
              <w:bottom w:type="dxa" w:w="26"/>
              <w:right w:type="dxa" w:w="75"/>
            </w:tcMar>
            <w:vAlign w:val="top"/>
          </w:tcPr>
          <w:p>
            <w:pPr>
              <w:spacing w:after="36" w:before="0"/>
            </w:pPr>
            <w:r>
              <w:rPr>
                <w:rFonts w:ascii="Arial" w:cs="Arial" w:eastAsia="Arial" w:hAnsi="Arial"/>
                <w:b w:val="false"/>
                <w:bCs w:val="false"/>
                <w:i/>
                <w:iCs/>
                <w:caps w:val="false"/>
                <w:color w:val="6b778c"/>
                <w:sz w:val="12"/>
                <w:szCs w:val="12"/>
              </w:rPr>
              <w:t xml:space="preserve">Cross-cutting map and digital standards: </w:t>
            </w:r>
            <w:hyperlink w:history="1" r:id="rIdbnpoyqnuhd2th2c9ilfgb">
              <w:r>
                <w:rPr>
                  <w:rFonts w:ascii="Arial" w:cs="Arial" w:eastAsia="Arial" w:hAnsi="Arial"/>
                  <w:b/>
                  <w:bCs/>
                  <w:color w:val="c9a227"/>
                  <w:sz w:val="12"/>
                  <w:szCs w:val="12"/>
                  <w:u w:val="single"/>
                </w:rPr>
                <w:t xml:space="preserve">france-asf.fr</w:t>
              </w:r>
            </w:hyperlink>
            <w:r>
              <w:rPr>
                <w:rFonts w:ascii="Arial" w:cs="Arial" w:eastAsia="Arial" w:hAnsi="Arial"/>
                <w:b w:val="false"/>
                <w:bCs w:val="false"/>
                <w:i/>
                <w:iCs/>
                <w:caps w:val="false"/>
                <w:color w:val="6b778c"/>
                <w:sz w:val="12"/>
                <w:szCs w:val="12"/>
              </w:rPr>
              <w:t xml:space="preserve">   E-learning: </w:t>
            </w:r>
            <w:hyperlink w:history="1" r:id="rIdro7-6pcp0odx8en1ymbvv">
              <w:r>
                <w:rPr>
                  <w:rFonts w:ascii="Arial" w:cs="Arial" w:eastAsia="Arial" w:hAnsi="Arial"/>
                  <w:b/>
                  <w:bCs/>
                  <w:color w:val="c9a227"/>
                  <w:sz w:val="12"/>
                  <w:szCs w:val="12"/>
                  <w:u w:val="single"/>
                </w:rPr>
                <w:t xml:space="preserve">academy.gmj.ge</w:t>
              </w:r>
            </w:hyperlink>
            <w:r>
              <w:rPr>
                <w:rFonts w:ascii="Arial" w:cs="Arial" w:eastAsia="Arial" w:hAnsi="Arial"/>
                <w:b w:val="false"/>
                <w:bCs w:val="false"/>
                <w:i/>
                <w:iCs/>
                <w:caps w:val="false"/>
                <w:color w:val="6b778c"/>
                <w:sz w:val="12"/>
                <w:szCs w:val="12"/>
              </w:rPr>
              <w:t xml:space="preserve">   Advisory support: </w:t>
            </w:r>
            <w:hyperlink w:history="1" r:id="rIdsdosjatmq531rflddlife">
              <w:r>
                <w:rPr>
                  <w:rFonts w:ascii="Arial" w:cs="Arial" w:eastAsia="Arial" w:hAnsi="Arial"/>
                  <w:b/>
                  <w:bCs/>
                  <w:color w:val="c9a227"/>
                  <w:sz w:val="12"/>
                  <w:szCs w:val="12"/>
                  <w:u w:val="single"/>
                </w:rPr>
                <w:t xml:space="preserve">info@france-asf.fr</w:t>
              </w:r>
            </w:hyperlink>
          </w:p>
        </w:tc>
        <w:tc>
          <w:tcPr>
            <w:tcW w:type="dxa" w:w="2360"/>
            <w:shd w:fill="0e2647" w:color="auto" w:val="clear"/>
            <w:tcMar>
              <w:top w:type="dxa" w:w="26"/>
              <w:left w:type="dxa" w:w="70"/>
              <w:bottom w:type="dxa" w:w="26"/>
              <w:right w:type="dxa" w:w="75"/>
            </w:tcMar>
            <w:vAlign w:val="top"/>
          </w:tcPr>
          <w:p>
            <w:pPr>
              <w:spacing w:after="36" w:before="0"/>
            </w:pPr>
            <w:r>
              <w:rPr>
                <w:rFonts w:ascii="Arial" w:cs="Arial" w:eastAsia="Arial" w:hAnsi="Arial"/>
                <w:b w:val="false"/>
                <w:bCs w:val="false"/>
                <w:i/>
                <w:iCs/>
                <w:caps w:val="false"/>
                <w:color w:val="8fa8c8"/>
                <w:sz w:val="11"/>
                <w:szCs w:val="11"/>
              </w:rPr>
              <w:t xml:space="preserve">ASF-CH2-PRS-v2.0   ·   January 2025</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2.1</w:t>
            </w:r>
            <w:r>
              <w:rPr>
                <w:rFonts w:ascii="Helvetica" w:cs="Helvetica" w:eastAsia="Helvetica" w:hAnsi="Helvetica"/>
                <w:b/>
                <w:bCs/>
                <w:i w:val="false"/>
                <w:iCs w:val="false"/>
                <w:caps/>
                <w:color w:val="c9a227"/>
                <w:sz w:val="10"/>
                <w:szCs w:val="10"/>
              </w:rPr>
              <w:t xml:space="preserve">  CORE</w:t>
            </w:r>
            <w:r>
              <w:rPr>
                <w:rFonts w:ascii="Arial" w:cs="Arial" w:eastAsia="Arial" w:hAnsi="Arial"/>
                <w:b w:val="false"/>
                <w:bCs w:val="false"/>
                <w:i/>
                <w:iCs/>
                <w:caps w:val="false"/>
                <w:color w:val="8fa8c8"/>
                <w:sz w:val="10"/>
                <w:szCs w:val="10"/>
              </w:rPr>
              <w:t xml:space="preserve">  ·  Level 1  ·  Chapter 2: Patient Rights &amp; Safety</w:t>
            </w:r>
          </w:p>
          <w:p>
            <w:pPr>
              <w:spacing w:after="36" w:before="0"/>
            </w:pPr>
            <w:r>
              <w:rPr>
                <w:rFonts w:ascii="Arial" w:cs="Arial" w:eastAsia="Arial" w:hAnsi="Arial"/>
                <w:b/>
                <w:bCs/>
                <w:i w:val="false"/>
                <w:iCs w:val="false"/>
                <w:caps w:val="false"/>
                <w:color w:val="dce8f5"/>
                <w:sz w:val="12"/>
                <w:szCs w:val="12"/>
              </w:rPr>
              <w:t xml:space="preserve">Patient Rights Charter</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3</w:t>
            </w:r>
          </w:p>
          <w:p>
            <w:pPr>
              <w:spacing w:after="36" w:before="0"/>
            </w:pPr>
            <w:r>
              <w:rPr>
                <w:rFonts w:ascii="Arial" w:cs="Arial" w:eastAsia="Arial" w:hAnsi="Arial"/>
                <w:b w:val="false"/>
                <w:bCs w:val="false"/>
                <w:i/>
                <w:iCs/>
                <w:caps w:val="false"/>
                <w:color w:val="8fa8c8"/>
                <w:sz w:val="9"/>
                <w:szCs w:val="9"/>
              </w:rPr>
              <w:t xml:space="preserve">ASF-CH2-PRS-v2.0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2.1</w:t>
            </w:r>
          </w:p>
          <w:p>
            <w:pPr>
              <w:spacing w:after="3" w:before="0"/>
            </w:pPr>
            <w:r>
              <w:rPr>
                <w:rFonts w:ascii="Helvetica" w:cs="Helvetica" w:eastAsia="Helvetica" w:hAnsi="Helvetica"/>
                <w:b/>
                <w:bCs/>
                <w:i w:val="false"/>
                <w:iCs w:val="false"/>
                <w:caps/>
                <w:color w:val="c9a227"/>
                <w:sz w:val="12"/>
                <w:szCs w:val="12"/>
              </w:rPr>
              <w:t xml:space="preserve">CORE</w:t>
            </w:r>
          </w:p>
          <w:p>
            <w:pPr>
              <w:spacing w:after="36" w:before="0"/>
            </w:pPr>
            <w:r>
              <w:rPr>
                <w:rFonts w:ascii="Helvetica" w:cs="Helvetica" w:eastAsia="Helvetica" w:hAnsi="Helvetica"/>
                <w:b w:val="false"/>
                <w:bCs w:val="false"/>
                <w:i w:val="false"/>
                <w:iCs w:val="false"/>
                <w:caps/>
                <w:color w:val="aaaaaa"/>
                <w:sz w:val="10"/>
                <w:szCs w:val="10"/>
              </w:rPr>
              <w:t xml:space="preserve">L1</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Patient Rights Charter</w:t>
            </w:r>
          </w:p>
          <w:p>
            <w:pPr>
              <w:spacing w:after="36" w:before="0"/>
            </w:pPr>
            <w:r>
              <w:rPr>
                <w:rFonts w:ascii="Arial" w:cs="Arial" w:eastAsia="Arial" w:hAnsi="Arial"/>
                <w:b w:val="false"/>
                <w:bCs w:val="false"/>
                <w:i w:val="false"/>
                <w:iCs w:val="false"/>
                <w:caps w:val="false"/>
                <w:color w:val="4b5563"/>
                <w:sz w:val="15"/>
                <w:szCs w:val="15"/>
              </w:rPr>
              <w:t xml:space="preserve">The hospital publishes and actively communicates a patient rights charter, covering information, consent, privacy, complaint, and non-discrimination rights, in a form and language patients can understand.</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written patient rights charter covering at minimum information, consent, privacy, complaint, and non-discrimination rights?</w:t>
            </w:r>
          </w:p>
          <w:p>
            <w:pPr>
              <w:spacing w:after="7" w:before="0"/>
            </w:pPr>
            <w:r>
              <w:rPr>
                <w:rFonts w:ascii="Arial" w:cs="Arial" w:eastAsia="Arial" w:hAnsi="Arial"/>
                <w:b w:val="false"/>
                <w:bCs w:val="false"/>
                <w:i/>
                <w:iCs/>
                <w:caps w:val="false"/>
                <w:color w:val="4b5563"/>
                <w:sz w:val="15"/>
                <w:szCs w:val="15"/>
              </w:rPr>
              <w:t xml:space="preserve">Check content against these five minimum elements.</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Patient rights charter</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 charter displayed or distributed in patient areas in the language(s) patients actually speak?</w:t>
            </w:r>
          </w:p>
          <w:p>
            <w:pPr>
              <w:spacing w:after="36" w:before="0"/>
            </w:pPr>
            <w:r>
              <w:rPr>
                <w:rFonts w:ascii="Arial" w:cs="Arial" w:eastAsia="Arial" w:hAnsi="Arial"/>
                <w:b w:val="false"/>
                <w:bCs w:val="false"/>
                <w:i/>
                <w:iCs/>
                <w:caps w:val="false"/>
                <w:color w:val="4b5563"/>
                <w:sz w:val="15"/>
                <w:szCs w:val="15"/>
              </w:rPr>
              <w:t xml:space="preserve">Check for translation, large-print, or accessible formats, not just one posted language.</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staff able to explain at least one patient right in plain terms when asked?</w:t>
            </w:r>
          </w:p>
          <w:p>
            <w:pPr>
              <w:spacing w:after="36" w:before="0"/>
            </w:pPr>
            <w:r>
              <w:rPr>
                <w:rFonts w:ascii="Arial" w:cs="Arial" w:eastAsia="Arial" w:hAnsi="Arial"/>
                <w:b w:val="false"/>
                <w:bCs w:val="false"/>
                <w:i/>
                <w:iCs/>
                <w:caps w:val="false"/>
                <w:color w:val="4b5563"/>
                <w:sz w:val="15"/>
                <w:szCs w:val="15"/>
              </w:rPr>
              <w:t xml:space="preserve">Interview a ward nurse or equivalent frontline staff member.</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process for informing new patients of their rights on admission?</w:t>
            </w:r>
          </w:p>
          <w:p>
            <w:pPr>
              <w:spacing w:after="7" w:before="0"/>
            </w:pPr>
            <w:r>
              <w:rPr>
                <w:rFonts w:ascii="Arial" w:cs="Arial" w:eastAsia="Arial" w:hAnsi="Arial"/>
                <w:b w:val="false"/>
                <w:bCs w:val="false"/>
                <w:i/>
                <w:iCs/>
                <w:caps w:val="false"/>
                <w:color w:val="4b5563"/>
                <w:sz w:val="15"/>
                <w:szCs w:val="15"/>
              </w:rPr>
              <w:t xml:space="preserve">Check the admission packet or a verbal briefing protocol.</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Admission information process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Can a sample of recent patients confirm they were made aware of their rights?</w:t>
            </w:r>
          </w:p>
          <w:p>
            <w:pPr>
              <w:spacing w:after="36" w:before="0"/>
            </w:pPr>
            <w:r>
              <w:rPr>
                <w:rFonts w:ascii="Arial" w:cs="Arial" w:eastAsia="Arial" w:hAnsi="Arial"/>
                <w:b w:val="false"/>
                <w:bCs w:val="false"/>
                <w:i/>
                <w:iCs/>
                <w:caps w:val="false"/>
                <w:color w:val="4b5563"/>
                <w:sz w:val="15"/>
                <w:szCs w:val="15"/>
              </w:rPr>
              <w:t xml:space="preserve">A brief patient interview or a relevant satisfaction survey item.</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0"/>
        <w:gridCol w:w="434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Charter content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Checks the charter against the five minimum elements: information, consent, privacy, complaint, and non-discrimination.</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1fae5"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5803d"/>
                <w:sz w:val="13"/>
                <w:szCs w:val="13"/>
              </w:rPr>
              <w:t xml:space="preserve">OBSERVE</w:t>
            </w:r>
          </w:p>
          <w:p>
            <w:pPr>
              <w:spacing w:after="36" w:before="0"/>
            </w:pPr>
            <w:r>
              <w:rPr>
                <w:rFonts w:ascii="Arial" w:cs="Arial" w:eastAsia="Arial" w:hAnsi="Arial"/>
                <w:b/>
                <w:bCs/>
                <w:i w:val="false"/>
                <w:iCs w:val="false"/>
                <w:caps w:val="false"/>
                <w:color w:val="15803d"/>
                <w:sz w:val="14"/>
                <w:szCs w:val="14"/>
              </w:rPr>
              <w:t xml:space="preserve">Display and accessibility check</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Looks for the charter physically displayed or distributed in patient-facing areas in an accessible language and format.</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Patient awareness interview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Asks a patient, with consent, whether they were informed of their rights at admission and can name one.</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Staff explanation test</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Asks a ward staff member to explain one patient right in plain language.</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bvnz10im0lg5wnc_bnpro">
              <w:r>
                <w:rPr>
                  <w:rFonts w:ascii="Arial" w:cs="Arial" w:eastAsia="Arial" w:hAnsi="Arial"/>
                  <w:b/>
                  <w:bCs/>
                  <w:color w:val="c9a227"/>
                  <w:sz w:val="13"/>
                  <w:szCs w:val="13"/>
                  <w:u w:val="single"/>
                </w:rPr>
                <w:t xml:space="preserve">World Medical Association. WMA Declaration of Lisbon on the Rights of the Patient. Ferney-Voltaire: WMA; 2015.</w:t>
              </w:r>
            </w:hyperlink>
            <w:r>
              <w:rPr>
                <w:rFonts w:ascii="Arial" w:cs="Arial" w:eastAsia="Arial" w:hAnsi="Arial"/>
                <w:b/>
                <w:bCs/>
                <w:i w:val="false"/>
                <w:iCs w:val="false"/>
                <w:caps w:val="false"/>
                <w:color w:val="6b778c"/>
                <w:sz w:val="13"/>
                <w:szCs w:val="13"/>
              </w:rPr>
              <w:t xml:space="preserve">   2. </w:t>
            </w:r>
            <w:hyperlink w:history="1" r:id="rIdhbok6maii5y_saig8k5c1">
              <w:r>
                <w:rPr>
                  <w:rFonts w:ascii="Arial" w:cs="Arial" w:eastAsia="Arial" w:hAnsi="Arial"/>
                  <w:b/>
                  <w:bCs/>
                  <w:color w:val="c9a227"/>
                  <w:sz w:val="13"/>
                  <w:szCs w:val="13"/>
                  <w:u w:val="single"/>
                </w:rPr>
                <w:t xml:space="preserve">World Health Organization. WHO framework on integrated people-centred health services. Geneva: WHO; 2016.</w:t>
              </w:r>
            </w:hyperlink>
            <w:r>
              <w:rPr>
                <w:rFonts w:ascii="Arial" w:cs="Arial" w:eastAsia="Arial" w:hAnsi="Arial"/>
                <w:b/>
                <w:bCs/>
                <w:i w:val="false"/>
                <w:iCs w:val="false"/>
                <w:caps w:val="false"/>
                <w:color w:val="6b778c"/>
                <w:sz w:val="13"/>
                <w:szCs w:val="13"/>
              </w:rPr>
              <w:t xml:space="preserve">   3. </w:t>
            </w:r>
            <w:hyperlink w:history="1" r:id="rIdpt7dh70q3znqkmm7y0k7s">
              <w:r>
                <w:rPr>
                  <w:rFonts w:ascii="Arial" w:cs="Arial" w:eastAsia="Arial" w:hAnsi="Arial"/>
                  <w:b/>
                  <w:bCs/>
                  <w:color w:val="c9a227"/>
                  <w:sz w:val="13"/>
                  <w:szCs w:val="13"/>
                  <w:u w:val="single"/>
                </w:rPr>
                <w:t xml:space="preserve">Council of Europe. Convention on Human Rights and Biomedicine (Oviedo Convention). Strasbourg: Council of Europe; 1997.</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2.1</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2.1</w:t>
            </w:r>
            <w:r>
              <w:rPr>
                <w:rFonts w:ascii="Arial" w:cs="Arial" w:eastAsia="Arial" w:hAnsi="Arial"/>
                <w:b w:val="false"/>
                <w:bCs w:val="false"/>
                <w:i/>
                <w:iCs/>
                <w:caps w:val="false"/>
                <w:color w:val="8fa8c8"/>
                <w:sz w:val="10"/>
                <w:szCs w:val="10"/>
              </w:rPr>
              <w:t xml:space="preserve">  ·  Level 1  ·  Chapter 2: Patient Rights &amp; Safety</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4</w:t>
            </w:r>
          </w:p>
          <w:p>
            <w:pPr>
              <w:spacing w:after="36" w:before="0"/>
            </w:pPr>
            <w:r>
              <w:rPr>
                <w:rFonts w:ascii="Arial" w:cs="Arial" w:eastAsia="Arial" w:hAnsi="Arial"/>
                <w:b w:val="false"/>
                <w:bCs w:val="false"/>
                <w:i/>
                <w:iCs/>
                <w:caps w:val="false"/>
                <w:color w:val="8fa8c8"/>
                <w:sz w:val="9"/>
                <w:szCs w:val="9"/>
              </w:rPr>
              <w:t xml:space="preserve">ASF-CH2-PRS-v2.0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A rights charter that exists only in an administrator’s file protects the hospital’s paperwork but does nothing for the patient who does not know what to expect or ask for. Rights that are genuinely communicated — displayed, explained on admission, understood by staff — change how patients experience even routine, non-adversarial care, because they know their voice has standing.</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WMA Declaration of Lisbon — patients have a right to be informed about their own rights, and healthcare institutions bear responsibility for making that information genuinely accessible, not merely available.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Charter covers information, consent, privacy, complaint, and non-discrimination rights explicitly</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Charter is displayed in patient areas in the languages patients actually speak</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New patients are informed of their rights as part of admission, not left to find a poster</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Staff at all levels can explain at least one right in plain language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Patient interviews confirm rights awareness, not just charter existence</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Charter exists but has never been displayed or distributed to patients</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Only one language is used despite a linguistically diverse patient population</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admission process mentions patient rights at all</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Staff cannot explain a single patient right when asked</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The charter was copied from another institution and never adapted to local law or practice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The charter is posted but never explained.</w:t>
            </w:r>
          </w:p>
          <w:p>
            <w:pPr>
              <w:spacing w:after="20" w:before="0"/>
            </w:pPr>
            <w:r>
              <w:rPr>
                <w:rFonts w:ascii="Arial" w:cs="Arial" w:eastAsia="Arial" w:hAnsi="Arial"/>
                <w:b w:val="false"/>
                <w:bCs w:val="false"/>
                <w:i/>
                <w:iCs/>
                <w:caps w:val="false"/>
                <w:color w:val="4b5563"/>
                <w:sz w:val="15"/>
                <w:szCs w:val="15"/>
              </w:rPr>
              <w:t xml:space="preserve">A charter hangs in a corridor, technically satisfying a display requirement, but no staff member ever walks a patient through it or checks understanding.</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Rights information reaches literate, majority-language patients only.</w:t>
            </w:r>
          </w:p>
          <w:p>
            <w:pPr>
              <w:spacing w:after="20" w:before="0"/>
            </w:pPr>
            <w:r>
              <w:rPr>
                <w:rFonts w:ascii="Arial" w:cs="Arial" w:eastAsia="Arial" w:hAnsi="Arial"/>
                <w:b w:val="false"/>
                <w:bCs w:val="false"/>
                <w:i/>
                <w:iCs/>
                <w:caps w:val="false"/>
                <w:color w:val="4b5563"/>
                <w:sz w:val="15"/>
                <w:szCs w:val="15"/>
              </w:rPr>
              <w:t xml:space="preserve">The charter exists in the national language in standard print, leaving patients with low literacy, visual impairment, or a different first language effectively unreached.</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Staff know the policy exists but cannot explain a single right.</w:t>
            </w:r>
          </w:p>
          <w:p>
            <w:pPr>
              <w:spacing w:after="36" w:before="0"/>
            </w:pPr>
            <w:r>
              <w:rPr>
                <w:rFonts w:ascii="Arial" w:cs="Arial" w:eastAsia="Arial" w:hAnsi="Arial"/>
                <w:b w:val="false"/>
                <w:bCs w:val="false"/>
                <w:i/>
                <w:iCs/>
                <w:caps w:val="false"/>
                <w:color w:val="4b5563"/>
                <w:sz w:val="15"/>
                <w:szCs w:val="15"/>
              </w:rPr>
              <w:t xml:space="preserve">When asked directly, staff can confirm a charter is somewhere in the building, but cannot name even one specific right it guarantees.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Draft or adapt a patient rights charter covering the five minimum elements, checked against national law.</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Translate or adapt the charter into the languages and formats patients actually need.</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Display the charter prominently in patient areas and build a short rights briefing into the admission process.</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Train staff to explain at least one right in plain language and confirm understanding in a spot-check.</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Ask a sample of patients periodically whether they were informed of their rights; refine the process accordingly.</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Ask a patient directly, with consent.  </w:t>
            </w:r>
            <w:r>
              <w:rPr>
                <w:rFonts w:ascii="Arial" w:cs="Arial" w:eastAsia="Arial" w:hAnsi="Arial"/>
                <w:b w:val="false"/>
                <w:bCs w:val="false"/>
                <w:i w:val="false"/>
                <w:iCs w:val="false"/>
                <w:caps w:val="false"/>
                <w:color w:val="374151"/>
                <w:sz w:val="16"/>
                <w:szCs w:val="16"/>
              </w:rPr>
              <w:t xml:space="preserve">A charter on the wall proves nothing about actual awareness — a brief, respectful question to a patient is the most reliable test.</w:t>
            </w:r>
          </w:p>
          <w:p>
            <w:pPr>
              <w:spacing w:after="16" w:before="0"/>
            </w:pPr>
            <w:r>
              <w:rPr>
                <w:rFonts w:ascii="Arial" w:cs="Arial" w:eastAsia="Arial" w:hAnsi="Arial"/>
                <w:b/>
                <w:bCs/>
                <w:i w:val="false"/>
                <w:iCs w:val="false"/>
                <w:caps w:val="false"/>
                <w:color w:val="b91c1c"/>
                <w:sz w:val="15"/>
                <w:szCs w:val="15"/>
              </w:rPr>
              <w:t xml:space="preserve">Check every language spoken on the ward, not just the official one.  </w:t>
            </w:r>
            <w:r>
              <w:rPr>
                <w:rFonts w:ascii="Arial" w:cs="Arial" w:eastAsia="Arial" w:hAnsi="Arial"/>
                <w:b w:val="false"/>
                <w:bCs w:val="false"/>
                <w:i w:val="false"/>
                <w:iCs w:val="false"/>
                <w:caps w:val="false"/>
                <w:color w:val="374151"/>
                <w:sz w:val="16"/>
                <w:szCs w:val="16"/>
              </w:rPr>
              <w:t xml:space="preserve">A hospital serving a linguistically diverse population that only posts one language has not genuinely met this standard.</w:t>
            </w:r>
          </w:p>
          <w:p>
            <w:pPr>
              <w:spacing w:after="36" w:before="0"/>
            </w:pPr>
            <w:r>
              <w:rPr>
                <w:rFonts w:ascii="Arial" w:cs="Arial" w:eastAsia="Arial" w:hAnsi="Arial"/>
                <w:b/>
                <w:bCs/>
                <w:i w:val="false"/>
                <w:iCs w:val="false"/>
                <w:caps w:val="false"/>
                <w:color w:val="b91c1c"/>
                <w:sz w:val="15"/>
                <w:szCs w:val="15"/>
              </w:rPr>
              <w:t xml:space="preserve">Ask a junior staff member, not a manager.  </w:t>
            </w:r>
            <w:r>
              <w:rPr>
                <w:rFonts w:ascii="Arial" w:cs="Arial" w:eastAsia="Arial" w:hAnsi="Arial"/>
                <w:b w:val="false"/>
                <w:bCs w:val="false"/>
                <w:i w:val="false"/>
                <w:iCs w:val="false"/>
                <w:caps w:val="false"/>
                <w:color w:val="374151"/>
                <w:sz w:val="16"/>
                <w:szCs w:val="16"/>
              </w:rPr>
              <w:t xml:space="preserve">Frontline staff explaining a right accurately and simply is a stronger signal than a policy document review alone.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nc5y6hngxqw4_gwg7qda4">
              <w:r>
                <w:rPr>
                  <w:rFonts w:ascii="Arial" w:cs="Arial" w:eastAsia="Arial" w:hAnsi="Arial"/>
                  <w:b/>
                  <w:bCs/>
                  <w:color w:val="c9a227"/>
                  <w:sz w:val="13"/>
                  <w:szCs w:val="13"/>
                  <w:u w:val="single"/>
                </w:rPr>
                <w:t xml:space="preserve">academy.gmj.ge/ch2-1-patient-rights-charter</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2.2</w:t>
            </w:r>
            <w:r>
              <w:rPr>
                <w:rFonts w:ascii="Helvetica" w:cs="Helvetica" w:eastAsia="Helvetica" w:hAnsi="Helvetica"/>
                <w:b/>
                <w:bCs/>
                <w:i w:val="false"/>
                <w:iCs w:val="false"/>
                <w:caps/>
                <w:color w:val="c9a227"/>
                <w:sz w:val="10"/>
                <w:szCs w:val="10"/>
              </w:rPr>
              <w:t xml:space="preserve">  CORE</w:t>
            </w:r>
            <w:r>
              <w:rPr>
                <w:rFonts w:ascii="Arial" w:cs="Arial" w:eastAsia="Arial" w:hAnsi="Arial"/>
                <w:b w:val="false"/>
                <w:bCs w:val="false"/>
                <w:i/>
                <w:iCs/>
                <w:caps w:val="false"/>
                <w:color w:val="8fa8c8"/>
                <w:sz w:val="10"/>
                <w:szCs w:val="10"/>
              </w:rPr>
              <w:t xml:space="preserve">  ·  Level 1  ·  Chapter 2: Patient Rights &amp; Safety</w:t>
            </w:r>
          </w:p>
          <w:p>
            <w:pPr>
              <w:spacing w:after="36" w:before="0"/>
            </w:pPr>
            <w:r>
              <w:rPr>
                <w:rFonts w:ascii="Arial" w:cs="Arial" w:eastAsia="Arial" w:hAnsi="Arial"/>
                <w:b/>
                <w:bCs/>
                <w:i w:val="false"/>
                <w:iCs w:val="false"/>
                <w:caps w:val="false"/>
                <w:color w:val="dce8f5"/>
                <w:sz w:val="12"/>
                <w:szCs w:val="12"/>
              </w:rPr>
              <w:t xml:space="preserve">Informed Consent Process</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5</w:t>
            </w:r>
          </w:p>
          <w:p>
            <w:pPr>
              <w:spacing w:after="36" w:before="0"/>
            </w:pPr>
            <w:r>
              <w:rPr>
                <w:rFonts w:ascii="Arial" w:cs="Arial" w:eastAsia="Arial" w:hAnsi="Arial"/>
                <w:b w:val="false"/>
                <w:bCs w:val="false"/>
                <w:i/>
                <w:iCs/>
                <w:caps w:val="false"/>
                <w:color w:val="8fa8c8"/>
                <w:sz w:val="9"/>
                <w:szCs w:val="9"/>
              </w:rPr>
              <w:t xml:space="preserve">ASF-CH2-PRS-v2.0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2.2</w:t>
            </w:r>
          </w:p>
          <w:p>
            <w:pPr>
              <w:spacing w:after="3" w:before="0"/>
            </w:pPr>
            <w:r>
              <w:rPr>
                <w:rFonts w:ascii="Helvetica" w:cs="Helvetica" w:eastAsia="Helvetica" w:hAnsi="Helvetica"/>
                <w:b/>
                <w:bCs/>
                <w:i w:val="false"/>
                <w:iCs w:val="false"/>
                <w:caps/>
                <w:color w:val="c9a227"/>
                <w:sz w:val="12"/>
                <w:szCs w:val="12"/>
              </w:rPr>
              <w:t xml:space="preserve">CORE</w:t>
            </w:r>
          </w:p>
          <w:p>
            <w:pPr>
              <w:spacing w:after="36" w:before="0"/>
            </w:pPr>
            <w:r>
              <w:rPr>
                <w:rFonts w:ascii="Helvetica" w:cs="Helvetica" w:eastAsia="Helvetica" w:hAnsi="Helvetica"/>
                <w:b w:val="false"/>
                <w:bCs w:val="false"/>
                <w:i w:val="false"/>
                <w:iCs w:val="false"/>
                <w:caps/>
                <w:color w:val="aaaaaa"/>
                <w:sz w:val="10"/>
                <w:szCs w:val="10"/>
              </w:rPr>
              <w:t xml:space="preserve">L1</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Informed Consent Process</w:t>
            </w:r>
          </w:p>
          <w:p>
            <w:pPr>
              <w:spacing w:after="36" w:before="0"/>
            </w:pPr>
            <w:r>
              <w:rPr>
                <w:rFonts w:ascii="Arial" w:cs="Arial" w:eastAsia="Arial" w:hAnsi="Arial"/>
                <w:b w:val="false"/>
                <w:bCs w:val="false"/>
                <w:i w:val="false"/>
                <w:iCs w:val="false"/>
                <w:caps w:val="false"/>
                <w:color w:val="4b5563"/>
                <w:sz w:val="15"/>
                <w:szCs w:val="15"/>
              </w:rPr>
              <w:t xml:space="preserve">The hospital has a documented informed consent process ensuring patients receive understandable information about risks, benefits, and alternatives before any significant procedure, and give consent freely and are able to withdraw it.</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written informed consent policy defining what information must be given before consent?</w:t>
            </w:r>
          </w:p>
          <w:p>
            <w:pPr>
              <w:spacing w:after="7" w:before="0"/>
            </w:pPr>
            <w:r>
              <w:rPr>
                <w:rFonts w:ascii="Arial" w:cs="Arial" w:eastAsia="Arial" w:hAnsi="Arial"/>
                <w:b w:val="false"/>
                <w:bCs w:val="false"/>
                <w:i/>
                <w:iCs/>
                <w:caps w:val="false"/>
                <w:color w:val="4b5563"/>
                <w:sz w:val="15"/>
                <w:szCs w:val="15"/>
              </w:rPr>
              <w:t xml:space="preserve">Covers risks, benefits, alternatives, and the right to refuse.</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Informed consent policy</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consent forms specific to the procedure, not generic blanket forms?</w:t>
            </w:r>
          </w:p>
          <w:p>
            <w:pPr>
              <w:spacing w:after="7" w:before="0"/>
            </w:pPr>
            <w:r>
              <w:rPr>
                <w:rFonts w:ascii="Arial" w:cs="Arial" w:eastAsia="Arial" w:hAnsi="Arial"/>
                <w:b w:val="false"/>
                <w:bCs w:val="false"/>
                <w:i/>
                <w:iCs/>
                <w:caps w:val="false"/>
                <w:color w:val="4b5563"/>
                <w:sz w:val="15"/>
                <w:szCs w:val="15"/>
              </w:rPr>
              <w:t xml:space="preserve">Spot-check three consent forms in patient records.</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Sample consent forms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consent obtained by someone qualified to explain the procedure, not delegated to unqualified staff?</w:t>
            </w:r>
          </w:p>
          <w:p>
            <w:pPr>
              <w:spacing w:after="36" w:before="0"/>
            </w:pPr>
            <w:r>
              <w:rPr>
                <w:rFonts w:ascii="Arial" w:cs="Arial" w:eastAsia="Arial" w:hAnsi="Arial"/>
                <w:b w:val="false"/>
                <w:bCs w:val="false"/>
                <w:i/>
                <w:iCs/>
                <w:caps w:val="false"/>
                <w:color w:val="4b5563"/>
                <w:sz w:val="15"/>
                <w:szCs w:val="15"/>
              </w:rPr>
              <w:t xml:space="preserve">Check who signs as the consenting clinician.</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defined process for patients who cannot give consent themselves, such as legal guardians or emergency exceptions?</w:t>
            </w:r>
          </w:p>
          <w:p>
            <w:pPr>
              <w:spacing w:after="7" w:before="0"/>
            </w:pPr>
            <w:r>
              <w:rPr>
                <w:rFonts w:ascii="Arial" w:cs="Arial" w:eastAsia="Arial" w:hAnsi="Arial"/>
                <w:b w:val="false"/>
                <w:bCs w:val="false"/>
                <w:i/>
                <w:iCs/>
                <w:caps w:val="false"/>
                <w:color w:val="4b5563"/>
                <w:sz w:val="15"/>
                <w:szCs w:val="15"/>
              </w:rPr>
              <w:t xml:space="preserve">Ask for the surrogate consent policy.</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Surrogate / emergency consent policy</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Can a sample of recently consented patients describe, in their own words, what they consented to?</w:t>
            </w:r>
          </w:p>
          <w:p>
            <w:pPr>
              <w:spacing w:after="36" w:before="0"/>
            </w:pPr>
            <w:r>
              <w:rPr>
                <w:rFonts w:ascii="Arial" w:cs="Arial" w:eastAsia="Arial" w:hAnsi="Arial"/>
                <w:b w:val="false"/>
                <w:bCs w:val="false"/>
                <w:i/>
                <w:iCs/>
                <w:caps w:val="false"/>
                <w:color w:val="4b5563"/>
                <w:sz w:val="15"/>
                <w:szCs w:val="15"/>
              </w:rPr>
              <w:t xml:space="preserve">A brief post-procedure patient interview, where appropriate.</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0"/>
        <w:gridCol w:w="434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Consent form specificity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a sample of signed consent forms in patient records for procedure-specific content, not generic blanket wording.</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Patient understanding check</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Asks a recently consented patient, where appropriate and with consent, to describe in their own words what they agreed to.</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Surrogate consent process</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documented process for guardians, minors, and emergency exceptions to standard consent.</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1fae5"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5803d"/>
                <w:sz w:val="13"/>
                <w:szCs w:val="13"/>
              </w:rPr>
              <w:t xml:space="preserve">OBSERVE</w:t>
            </w:r>
          </w:p>
          <w:p>
            <w:pPr>
              <w:spacing w:after="36" w:before="0"/>
            </w:pPr>
            <w:r>
              <w:rPr>
                <w:rFonts w:ascii="Arial" w:cs="Arial" w:eastAsia="Arial" w:hAnsi="Arial"/>
                <w:b/>
                <w:bCs/>
                <w:i w:val="false"/>
                <w:iCs w:val="false"/>
                <w:caps w:val="false"/>
                <w:color w:val="15803d"/>
                <w:sz w:val="14"/>
                <w:szCs w:val="14"/>
              </w:rPr>
              <w:t xml:space="preserve">Consent conversation observation</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Where possible, observes or reviews documentation of an actual consent conversation, checking it goes beyond form-signing.</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xdpnkcqnzxpfrv6z5ukcn">
              <w:r>
                <w:rPr>
                  <w:rFonts w:ascii="Arial" w:cs="Arial" w:eastAsia="Arial" w:hAnsi="Arial"/>
                  <w:b/>
                  <w:bCs/>
                  <w:color w:val="c9a227"/>
                  <w:sz w:val="13"/>
                  <w:szCs w:val="13"/>
                  <w:u w:val="single"/>
                </w:rPr>
                <w:t xml:space="preserve">World Medical Association. WMA Declaration of Helsinki — Ethical Principles for Medical Research Involving Human Subjects. Ferney-Voltaire: WMA; 2013.</w:t>
              </w:r>
            </w:hyperlink>
            <w:r>
              <w:rPr>
                <w:rFonts w:ascii="Arial" w:cs="Arial" w:eastAsia="Arial" w:hAnsi="Arial"/>
                <w:b/>
                <w:bCs/>
                <w:i w:val="false"/>
                <w:iCs w:val="false"/>
                <w:caps w:val="false"/>
                <w:color w:val="6b778c"/>
                <w:sz w:val="13"/>
                <w:szCs w:val="13"/>
              </w:rPr>
              <w:t xml:space="preserve">   2. </w:t>
            </w:r>
            <w:hyperlink w:history="1" r:id="rIdtn6rwst9m4qj-kodcn4ub">
              <w:r>
                <w:rPr>
                  <w:rFonts w:ascii="Arial" w:cs="Arial" w:eastAsia="Arial" w:hAnsi="Arial"/>
                  <w:b/>
                  <w:bCs/>
                  <w:color w:val="c9a227"/>
                  <w:sz w:val="13"/>
                  <w:szCs w:val="13"/>
                  <w:u w:val="single"/>
                </w:rPr>
                <w:t xml:space="preserve">Council of Europe. Convention on Human Rights and Biomedicine (Oviedo Convention), Article 5. Strasbourg: Council of Europe; 1997.</w:t>
              </w:r>
            </w:hyperlink>
            <w:r>
              <w:rPr>
                <w:rFonts w:ascii="Arial" w:cs="Arial" w:eastAsia="Arial" w:hAnsi="Arial"/>
                <w:b/>
                <w:bCs/>
                <w:i w:val="false"/>
                <w:iCs w:val="false"/>
                <w:caps w:val="false"/>
                <w:color w:val="6b778c"/>
                <w:sz w:val="13"/>
                <w:szCs w:val="13"/>
              </w:rPr>
              <w:t xml:space="preserve">   3. </w:t>
            </w:r>
            <w:hyperlink w:history="1" r:id="rIdccf3e52y1bmcg7trvpgn9">
              <w:r>
                <w:rPr>
                  <w:rFonts w:ascii="Arial" w:cs="Arial" w:eastAsia="Arial" w:hAnsi="Arial"/>
                  <w:b/>
                  <w:bCs/>
                  <w:color w:val="c9a227"/>
                  <w:sz w:val="13"/>
                  <w:szCs w:val="13"/>
                  <w:u w:val="single"/>
                </w:rPr>
                <w:t xml:space="preserve">Beauchamp TL, Childress JF. Principles of Biomedical Ethics. 8th ed. New York: Oxford University Press; 2019.</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2.2</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2.2</w:t>
            </w:r>
            <w:r>
              <w:rPr>
                <w:rFonts w:ascii="Arial" w:cs="Arial" w:eastAsia="Arial" w:hAnsi="Arial"/>
                <w:b w:val="false"/>
                <w:bCs w:val="false"/>
                <w:i/>
                <w:iCs/>
                <w:caps w:val="false"/>
                <w:color w:val="8fa8c8"/>
                <w:sz w:val="10"/>
                <w:szCs w:val="10"/>
              </w:rPr>
              <w:t xml:space="preserve">  ·  Level 1  ·  Chapter 2: Patient Rights &amp; Safety</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6</w:t>
            </w:r>
          </w:p>
          <w:p>
            <w:pPr>
              <w:spacing w:after="36" w:before="0"/>
            </w:pPr>
            <w:r>
              <w:rPr>
                <w:rFonts w:ascii="Arial" w:cs="Arial" w:eastAsia="Arial" w:hAnsi="Arial"/>
                <w:b w:val="false"/>
                <w:bCs w:val="false"/>
                <w:i/>
                <w:iCs/>
                <w:caps w:val="false"/>
                <w:color w:val="8fa8c8"/>
                <w:sz w:val="9"/>
                <w:szCs w:val="9"/>
              </w:rPr>
              <w:t xml:space="preserve">ASF-CH2-PRS-v2.0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A signature on a form is not the same as consent — a patient who signs without understanding the risks, alternatives, or their right to refuse has not actually exercised the autonomy the process is meant to protect. A real informed consent process treats the form as evidence of a conversation that already happened, not a substitute for one.</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Beauchamp &amp; Childress 2019 — the ethical validity of consent rests on genuine understanding and voluntariness, not on documentation alone.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Consent forms are procedure-specific, listing the actual risks and alternatives discussed</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Consent is obtained by the clinician performing or responsible for the procedure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Patients can describe, in their own words, what they consented to</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 clear, used process exists for surrogate consent and documented emergency exceptions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Patients are told explicitly that consent can be withdrawn at any time</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Consent forms are generic, blanket documents covering "all procedures" with no specifics</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Junior or unqualified staff obtain signatures without explaining the procedure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Patients cannot describe what they signed, even shortly afterward</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defined process exists for patients unable to consent for themselves</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Consent is treated as a one-time signature with no mention of the right to withdraw</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The form is specific but the conversation never happened.</w:t>
            </w:r>
          </w:p>
          <w:p>
            <w:pPr>
              <w:spacing w:after="20" w:before="0"/>
            </w:pPr>
            <w:r>
              <w:rPr>
                <w:rFonts w:ascii="Arial" w:cs="Arial" w:eastAsia="Arial" w:hAnsi="Arial"/>
                <w:b w:val="false"/>
                <w:bCs w:val="false"/>
                <w:i/>
                <w:iCs/>
                <w:caps w:val="false"/>
                <w:color w:val="4b5563"/>
                <w:sz w:val="15"/>
                <w:szCs w:val="15"/>
              </w:rPr>
              <w:t xml:space="preserve">A well-designed, procedure-specific consent form is used, but in practice it is handed to the patient to sign without an accompanying explanation.</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Consent is obtained by whoever is available, not whoever is qualified.</w:t>
            </w:r>
          </w:p>
          <w:p>
            <w:pPr>
              <w:spacing w:after="20" w:before="0"/>
            </w:pPr>
            <w:r>
              <w:rPr>
                <w:rFonts w:ascii="Arial" w:cs="Arial" w:eastAsia="Arial" w:hAnsi="Arial"/>
                <w:b w:val="false"/>
                <w:bCs w:val="false"/>
                <w:i/>
                <w:iCs/>
                <w:caps w:val="false"/>
                <w:color w:val="4b5563"/>
                <w:sz w:val="15"/>
                <w:szCs w:val="15"/>
              </w:rPr>
              <w:t xml:space="preserve">Time pressure leads to consent being taken by staff who did not perform the procedure and may not fully understand it themselves.</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Surrogate consent exists on paper but is applied inconsistently.</w:t>
            </w:r>
          </w:p>
          <w:p>
            <w:pPr>
              <w:spacing w:after="36" w:before="0"/>
            </w:pPr>
            <w:r>
              <w:rPr>
                <w:rFonts w:ascii="Arial" w:cs="Arial" w:eastAsia="Arial" w:hAnsi="Arial"/>
                <w:b w:val="false"/>
                <w:bCs w:val="false"/>
                <w:i/>
                <w:iCs/>
                <w:caps w:val="false"/>
                <w:color w:val="4b5563"/>
                <w:sz w:val="15"/>
                <w:szCs w:val="15"/>
              </w:rPr>
              <w:t xml:space="preserve">A policy for guardians and emergencies exists, but staff are unsure when to invoke it, leading to inconsistent practice across departments.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Review current consent forms and replace generic blanket forms with procedure-specific versions.</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Clarify in policy who is qualified to obtain consent for each type of procedure.</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Draft or update the surrogate/emergency consent process and brief relevant staff.</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Introduce a brief post-consent understanding check, such as teach-back, for a sample of procedures.</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Audit a sample of consent forms and, where feasible, patient understanding on a regular schedule.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Ask the patient to explain it back, not just confirm they signed.  </w:t>
            </w:r>
            <w:r>
              <w:rPr>
                <w:rFonts w:ascii="Arial" w:cs="Arial" w:eastAsia="Arial" w:hAnsi="Arial"/>
                <w:b w:val="false"/>
                <w:bCs w:val="false"/>
                <w:i w:val="false"/>
                <w:iCs w:val="false"/>
                <w:caps w:val="false"/>
                <w:color w:val="374151"/>
                <w:sz w:val="16"/>
                <w:szCs w:val="16"/>
              </w:rPr>
              <w:t xml:space="preserve">A patient who can restate the procedure and its main risk in their own words has genuinely consented.</w:t>
            </w:r>
          </w:p>
          <w:p>
            <w:pPr>
              <w:spacing w:after="16" w:before="0"/>
            </w:pPr>
            <w:r>
              <w:rPr>
                <w:rFonts w:ascii="Arial" w:cs="Arial" w:eastAsia="Arial" w:hAnsi="Arial"/>
                <w:b/>
                <w:bCs/>
                <w:i w:val="false"/>
                <w:iCs w:val="false"/>
                <w:caps w:val="false"/>
                <w:color w:val="b91c1c"/>
                <w:sz w:val="15"/>
                <w:szCs w:val="15"/>
              </w:rPr>
              <w:t xml:space="preserve">Check who actually signed as the explaining clinician.  </w:t>
            </w:r>
            <w:r>
              <w:rPr>
                <w:rFonts w:ascii="Arial" w:cs="Arial" w:eastAsia="Arial" w:hAnsi="Arial"/>
                <w:b w:val="false"/>
                <w:bCs w:val="false"/>
                <w:i w:val="false"/>
                <w:iCs w:val="false"/>
                <w:caps w:val="false"/>
                <w:color w:val="374151"/>
                <w:sz w:val="16"/>
                <w:szCs w:val="16"/>
              </w:rPr>
              <w:t xml:space="preserve">A consent form obtained by a nurse or trainee for a procedure they did not perform is a common and easily missed gap.</w:t>
            </w:r>
          </w:p>
          <w:p>
            <w:pPr>
              <w:spacing w:after="36" w:before="0"/>
            </w:pPr>
            <w:r>
              <w:rPr>
                <w:rFonts w:ascii="Arial" w:cs="Arial" w:eastAsia="Arial" w:hAnsi="Arial"/>
                <w:b/>
                <w:bCs/>
                <w:i w:val="false"/>
                <w:iCs w:val="false"/>
                <w:caps w:val="false"/>
                <w:color w:val="b91c1c"/>
                <w:sz w:val="15"/>
                <w:szCs w:val="15"/>
              </w:rPr>
              <w:t xml:space="preserve">Look for the withdrawal right, not just the initial consent.  </w:t>
            </w:r>
            <w:r>
              <w:rPr>
                <w:rFonts w:ascii="Arial" w:cs="Arial" w:eastAsia="Arial" w:hAnsi="Arial"/>
                <w:b w:val="false"/>
                <w:bCs w:val="false"/>
                <w:i w:val="false"/>
                <w:iCs w:val="false"/>
                <w:caps w:val="false"/>
                <w:color w:val="374151"/>
                <w:sz w:val="16"/>
                <w:szCs w:val="16"/>
              </w:rPr>
              <w:t xml:space="preserve">Ask whether patients are told they can withdraw consent at any point — this is frequently omitted even in otherwise solid processes.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ndi65y-u1pj9hsoa4y9a">
              <w:r>
                <w:rPr>
                  <w:rFonts w:ascii="Arial" w:cs="Arial" w:eastAsia="Arial" w:hAnsi="Arial"/>
                  <w:b/>
                  <w:bCs/>
                  <w:color w:val="c9a227"/>
                  <w:sz w:val="13"/>
                  <w:szCs w:val="13"/>
                  <w:u w:val="single"/>
                </w:rPr>
                <w:t xml:space="preserve">academy.gmj.ge/ch2-2-informed-consent</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2.3</w:t>
            </w:r>
            <w:r>
              <w:rPr>
                <w:rFonts w:ascii="Helvetica" w:cs="Helvetica" w:eastAsia="Helvetica" w:hAnsi="Helvetica"/>
                <w:b/>
                <w:bCs/>
                <w:i w:val="false"/>
                <w:iCs w:val="false"/>
                <w:caps/>
                <w:color w:val="c9a227"/>
                <w:sz w:val="10"/>
                <w:szCs w:val="10"/>
              </w:rPr>
              <w:t xml:space="preserve">  CORE</w:t>
            </w:r>
            <w:r>
              <w:rPr>
                <w:rFonts w:ascii="Arial" w:cs="Arial" w:eastAsia="Arial" w:hAnsi="Arial"/>
                <w:b w:val="false"/>
                <w:bCs w:val="false"/>
                <w:i/>
                <w:iCs/>
                <w:caps w:val="false"/>
                <w:color w:val="8fa8c8"/>
                <w:sz w:val="10"/>
                <w:szCs w:val="10"/>
              </w:rPr>
              <w:t xml:space="preserve">  ·  Level 1  ·  Chapter 2: Patient Rights &amp; Safety</w:t>
            </w:r>
          </w:p>
          <w:p>
            <w:pPr>
              <w:spacing w:after="36" w:before="0"/>
            </w:pPr>
            <w:r>
              <w:rPr>
                <w:rFonts w:ascii="Arial" w:cs="Arial" w:eastAsia="Arial" w:hAnsi="Arial"/>
                <w:b/>
                <w:bCs/>
                <w:i w:val="false"/>
                <w:iCs w:val="false"/>
                <w:caps w:val="false"/>
                <w:color w:val="dce8f5"/>
                <w:sz w:val="12"/>
                <w:szCs w:val="12"/>
              </w:rPr>
              <w:t xml:space="preserve">Confidentiality and Privacy of Patient Information</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7</w:t>
            </w:r>
          </w:p>
          <w:p>
            <w:pPr>
              <w:spacing w:after="36" w:before="0"/>
            </w:pPr>
            <w:r>
              <w:rPr>
                <w:rFonts w:ascii="Arial" w:cs="Arial" w:eastAsia="Arial" w:hAnsi="Arial"/>
                <w:b w:val="false"/>
                <w:bCs w:val="false"/>
                <w:i/>
                <w:iCs/>
                <w:caps w:val="false"/>
                <w:color w:val="8fa8c8"/>
                <w:sz w:val="9"/>
                <w:szCs w:val="9"/>
              </w:rPr>
              <w:t xml:space="preserve">ASF-CH2-PRS-v2.0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2.3</w:t>
            </w:r>
          </w:p>
          <w:p>
            <w:pPr>
              <w:spacing w:after="3" w:before="0"/>
            </w:pPr>
            <w:r>
              <w:rPr>
                <w:rFonts w:ascii="Helvetica" w:cs="Helvetica" w:eastAsia="Helvetica" w:hAnsi="Helvetica"/>
                <w:b/>
                <w:bCs/>
                <w:i w:val="false"/>
                <w:iCs w:val="false"/>
                <w:caps/>
                <w:color w:val="c9a227"/>
                <w:sz w:val="12"/>
                <w:szCs w:val="12"/>
              </w:rPr>
              <w:t xml:space="preserve">CORE</w:t>
            </w:r>
          </w:p>
          <w:p>
            <w:pPr>
              <w:spacing w:after="36" w:before="0"/>
            </w:pPr>
            <w:r>
              <w:rPr>
                <w:rFonts w:ascii="Helvetica" w:cs="Helvetica" w:eastAsia="Helvetica" w:hAnsi="Helvetica"/>
                <w:b w:val="false"/>
                <w:bCs w:val="false"/>
                <w:i w:val="false"/>
                <w:iCs w:val="false"/>
                <w:caps/>
                <w:color w:val="aaaaaa"/>
                <w:sz w:val="10"/>
                <w:szCs w:val="10"/>
              </w:rPr>
              <w:t xml:space="preserve">L1</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Confidentiality and Privacy of Patient Information</w:t>
            </w:r>
          </w:p>
          <w:p>
            <w:pPr>
              <w:spacing w:after="36" w:before="0"/>
            </w:pPr>
            <w:r>
              <w:rPr>
                <w:rFonts w:ascii="Arial" w:cs="Arial" w:eastAsia="Arial" w:hAnsi="Arial"/>
                <w:b w:val="false"/>
                <w:bCs w:val="false"/>
                <w:i w:val="false"/>
                <w:iCs w:val="false"/>
                <w:caps w:val="false"/>
                <w:color w:val="4b5563"/>
                <w:sz w:val="15"/>
                <w:szCs w:val="15"/>
              </w:rPr>
              <w:t xml:space="preserve">The hospital protects the confidentiality of patient information through defined access controls, physical privacy safeguards, and staff training, with a documented process for handling breaches.</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written confidentiality policy covering both physical privacy and patient record access?</w:t>
            </w:r>
          </w:p>
          <w:p>
            <w:pPr>
              <w:spacing w:after="7" w:before="0"/>
            </w:pPr>
            <w:r>
              <w:rPr>
                <w:rFonts w:ascii="Arial" w:cs="Arial" w:eastAsia="Arial" w:hAnsi="Arial"/>
                <w:b w:val="false"/>
                <w:bCs w:val="false"/>
                <w:i/>
                <w:iCs/>
                <w:caps w:val="false"/>
                <w:color w:val="4b5563"/>
                <w:sz w:val="15"/>
                <w:szCs w:val="15"/>
              </w:rPr>
              <w:t xml:space="preserve">Check both dimensions are addressed.</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Confidentiality policy</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access to patient records restricted to staff with a legitimate need, with access logged or controlled?</w:t>
            </w:r>
          </w:p>
          <w:p>
            <w:pPr>
              <w:spacing w:after="7" w:before="0"/>
            </w:pPr>
            <w:r>
              <w:rPr>
                <w:rFonts w:ascii="Arial" w:cs="Arial" w:eastAsia="Arial" w:hAnsi="Arial"/>
                <w:b w:val="false"/>
                <w:bCs w:val="false"/>
                <w:i/>
                <w:iCs/>
                <w:caps w:val="false"/>
                <w:color w:val="4b5563"/>
                <w:sz w:val="15"/>
                <w:szCs w:val="15"/>
              </w:rPr>
              <w:t xml:space="preserve">Check for role-based access or sign-out logs.</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Access control evidence</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patient conversations and examinations conducted with reasonable physical privacy?</w:t>
            </w:r>
          </w:p>
          <w:p>
            <w:pPr>
              <w:spacing w:after="36" w:before="0"/>
            </w:pPr>
            <w:r>
              <w:rPr>
                <w:rFonts w:ascii="Arial" w:cs="Arial" w:eastAsia="Arial" w:hAnsi="Arial"/>
                <w:b w:val="false"/>
                <w:bCs w:val="false"/>
                <w:i/>
                <w:iCs/>
                <w:caps w:val="false"/>
                <w:color w:val="4b5563"/>
                <w:sz w:val="15"/>
                <w:szCs w:val="15"/>
              </w:rPr>
              <w:t xml:space="preserve">Direct observation — curtains, closed doors, lowered voices at reception.</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Have staff received training on confidentiality obligations, including for informal settings?</w:t>
            </w:r>
          </w:p>
          <w:p>
            <w:pPr>
              <w:spacing w:after="7" w:before="0"/>
            </w:pPr>
            <w:r>
              <w:rPr>
                <w:rFonts w:ascii="Arial" w:cs="Arial" w:eastAsia="Arial" w:hAnsi="Arial"/>
                <w:b w:val="false"/>
                <w:bCs w:val="false"/>
                <w:i/>
                <w:iCs/>
                <w:caps w:val="false"/>
                <w:color w:val="4b5563"/>
                <w:sz w:val="15"/>
                <w:szCs w:val="15"/>
              </w:rPr>
              <w:t xml:space="preserve">Check training records, including recent hires.</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Training records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documented process for reporting and responding to a confidentiality breach?</w:t>
            </w:r>
          </w:p>
          <w:p>
            <w:pPr>
              <w:spacing w:after="7" w:before="0"/>
            </w:pPr>
            <w:r>
              <w:rPr>
                <w:rFonts w:ascii="Arial" w:cs="Arial" w:eastAsia="Arial" w:hAnsi="Arial"/>
                <w:b w:val="false"/>
                <w:bCs w:val="false"/>
                <w:i/>
                <w:iCs/>
                <w:caps w:val="false"/>
                <w:color w:val="4b5563"/>
                <w:sz w:val="15"/>
                <w:szCs w:val="15"/>
              </w:rPr>
              <w:t xml:space="preserve">Ask for an example or the written procedure.</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Breach response procedure</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0"/>
        <w:gridCol w:w="434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1fae5"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5803d"/>
                <w:sz w:val="13"/>
                <w:szCs w:val="13"/>
              </w:rPr>
              <w:t xml:space="preserve">OBSERVE</w:t>
            </w:r>
          </w:p>
          <w:p>
            <w:pPr>
              <w:spacing w:after="36" w:before="0"/>
            </w:pPr>
            <w:r>
              <w:rPr>
                <w:rFonts w:ascii="Arial" w:cs="Arial" w:eastAsia="Arial" w:hAnsi="Arial"/>
                <w:b/>
                <w:bCs/>
                <w:i w:val="false"/>
                <w:iCs w:val="false"/>
                <w:caps w:val="false"/>
                <w:color w:val="15803d"/>
                <w:sz w:val="14"/>
                <w:szCs w:val="14"/>
              </w:rPr>
              <w:t xml:space="preserve">Physical privacy walkthrough</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Observes patient-facing areas — reception, wards, exam rooms — for physical privacy in practice, not just written policy.</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Record access control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system or policy controlling who can access which patient records.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Training record check</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Confirms staff have completed confidentiality training, including recent hires.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Breach response question</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Asks a manager to describe the process for a suspected confidentiality breach, real or hypothetical.</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8ihxwkyxjvwujrhzxxktk">
              <w:r>
                <w:rPr>
                  <w:rFonts w:ascii="Arial" w:cs="Arial" w:eastAsia="Arial" w:hAnsi="Arial"/>
                  <w:b/>
                  <w:bCs/>
                  <w:color w:val="c9a227"/>
                  <w:sz w:val="13"/>
                  <w:szCs w:val="13"/>
                  <w:u w:val="single"/>
                </w:rPr>
                <w:t xml:space="preserve">World Medical Association. WMA International Code of Medical Ethics. Ferney-Voltaire: WMA; 2022.</w:t>
              </w:r>
            </w:hyperlink>
            <w:r>
              <w:rPr>
                <w:rFonts w:ascii="Arial" w:cs="Arial" w:eastAsia="Arial" w:hAnsi="Arial"/>
                <w:b/>
                <w:bCs/>
                <w:i w:val="false"/>
                <w:iCs w:val="false"/>
                <w:caps w:val="false"/>
                <w:color w:val="6b778c"/>
                <w:sz w:val="13"/>
                <w:szCs w:val="13"/>
              </w:rPr>
              <w:t xml:space="preserve">   2. </w:t>
            </w:r>
            <w:hyperlink w:history="1" r:id="rIdjltxkosl9ep5lsz919rxt">
              <w:r>
                <w:rPr>
                  <w:rFonts w:ascii="Arial" w:cs="Arial" w:eastAsia="Arial" w:hAnsi="Arial"/>
                  <w:b/>
                  <w:bCs/>
                  <w:color w:val="c9a227"/>
                  <w:sz w:val="13"/>
                  <w:szCs w:val="13"/>
                  <w:u w:val="single"/>
                </w:rPr>
                <w:t xml:space="preserve">Council of Europe. Convention 108+: Convention for the Protection of Individuals with regard to the Processing of Personal Data. Strasbourg: Council of Europe; 2018.</w:t>
              </w:r>
            </w:hyperlink>
            <w:r>
              <w:rPr>
                <w:rFonts w:ascii="Arial" w:cs="Arial" w:eastAsia="Arial" w:hAnsi="Arial"/>
                <w:b/>
                <w:bCs/>
                <w:i w:val="false"/>
                <w:iCs w:val="false"/>
                <w:caps w:val="false"/>
                <w:color w:val="6b778c"/>
                <w:sz w:val="13"/>
                <w:szCs w:val="13"/>
              </w:rPr>
              <w:t xml:space="preserve">   3. </w:t>
            </w:r>
            <w:hyperlink w:history="1" r:id="rIdbomru0wt9znhswrf27pyg">
              <w:r>
                <w:rPr>
                  <w:rFonts w:ascii="Arial" w:cs="Arial" w:eastAsia="Arial" w:hAnsi="Arial"/>
                  <w:b/>
                  <w:bCs/>
                  <w:color w:val="c9a227"/>
                  <w:sz w:val="13"/>
                  <w:szCs w:val="13"/>
                  <w:u w:val="single"/>
                </w:rPr>
                <w:t xml:space="preserve">World Health Organization. Ethical and safety recommendations for research on violence against women. Geneva: WHO; 2001.</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2.3</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2.3</w:t>
            </w:r>
            <w:r>
              <w:rPr>
                <w:rFonts w:ascii="Arial" w:cs="Arial" w:eastAsia="Arial" w:hAnsi="Arial"/>
                <w:b w:val="false"/>
                <w:bCs w:val="false"/>
                <w:i/>
                <w:iCs/>
                <w:caps w:val="false"/>
                <w:color w:val="8fa8c8"/>
                <w:sz w:val="10"/>
                <w:szCs w:val="10"/>
              </w:rPr>
              <w:t xml:space="preserve">  ·  Level 1  ·  Chapter 2: Patient Rights &amp; Safety</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8</w:t>
            </w:r>
          </w:p>
          <w:p>
            <w:pPr>
              <w:spacing w:after="36" w:before="0"/>
            </w:pPr>
            <w:r>
              <w:rPr>
                <w:rFonts w:ascii="Arial" w:cs="Arial" w:eastAsia="Arial" w:hAnsi="Arial"/>
                <w:b w:val="false"/>
                <w:bCs w:val="false"/>
                <w:i/>
                <w:iCs/>
                <w:caps w:val="false"/>
                <w:color w:val="8fa8c8"/>
                <w:sz w:val="9"/>
                <w:szCs w:val="9"/>
              </w:rPr>
              <w:t xml:space="preserve">ASF-CH2-PRS-v2.0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Patients disclose sensitive information — diagnoses, histories, fears — on the understanding that it will be protected. When conversations happen within earshot of other patients, or records are accessible to staff with no clinical need to see them, that trust is broken quietly and often invisibly, discouraging patients from being fully honest with clinicians in future.</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WMA International Code of Medical Ethics 2022 — physicians and institutions are bound to protect patient confidentiality as a core ethical and professional obligation, with narrow, defined exceptions only.</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Confidentiality policy addresses both physical privacy and information access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Patient record access is role-based and can be traced to an individual user</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Conversations and examinations are conducted with reasonable physical privacy in observed practice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All staff, including recent hires and non-clinical staff, have completed confidentiality training</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 clear, documented process exists for reporting and responding to breaches</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Patient information is discussed at reception within earshot of other patients</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Any staff member can access any patient’s record regardless of clinical need</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confidentiality training is provided, or it stopped after initial hiring years ago</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Curtains, doors, or screens for private conversations are absent or unused in practice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process exists for reporting a suspected breach</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The policy is strong but physical privacy in practice is weak.</w:t>
            </w:r>
          </w:p>
          <w:p>
            <w:pPr>
              <w:spacing w:after="20" w:before="0"/>
            </w:pPr>
            <w:r>
              <w:rPr>
                <w:rFonts w:ascii="Arial" w:cs="Arial" w:eastAsia="Arial" w:hAnsi="Arial"/>
                <w:b w:val="false"/>
                <w:bCs w:val="false"/>
                <w:i/>
                <w:iCs/>
                <w:caps w:val="false"/>
                <w:color w:val="4b5563"/>
                <w:sz w:val="15"/>
                <w:szCs w:val="15"/>
              </w:rPr>
              <w:t xml:space="preserve">A well-written confidentiality policy exists, but on the ward, patient details are still discussed at the nursing station within earshot of visitors.</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Access controls exist on paper but are not enforced.</w:t>
            </w:r>
          </w:p>
          <w:p>
            <w:pPr>
              <w:spacing w:after="20" w:before="0"/>
            </w:pPr>
            <w:r>
              <w:rPr>
                <w:rFonts w:ascii="Arial" w:cs="Arial" w:eastAsia="Arial" w:hAnsi="Arial"/>
                <w:b w:val="false"/>
                <w:bCs w:val="false"/>
                <w:i/>
                <w:iCs/>
                <w:caps w:val="false"/>
                <w:color w:val="4b5563"/>
                <w:sz w:val="15"/>
                <w:szCs w:val="15"/>
              </w:rPr>
              <w:t xml:space="preserve">A role-based access system is designed and documented, but in practice shared logins or unrestricted access make the control meaningless.</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Training happened once, at hiring, and never again.</w:t>
            </w:r>
          </w:p>
          <w:p>
            <w:pPr>
              <w:spacing w:after="36" w:before="0"/>
            </w:pPr>
            <w:r>
              <w:rPr>
                <w:rFonts w:ascii="Arial" w:cs="Arial" w:eastAsia="Arial" w:hAnsi="Arial"/>
                <w:b w:val="false"/>
                <w:bCs w:val="false"/>
                <w:i/>
                <w:iCs/>
                <w:caps w:val="false"/>
                <w:color w:val="4b5563"/>
                <w:sz w:val="15"/>
                <w:szCs w:val="15"/>
              </w:rPr>
              <w:t xml:space="preserve">New staff receive a one-time briefing on confidentiality, but there is no refresher, and awareness fades as informal habits take over.</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Review the confidentiality policy for coverage of both physical privacy and information access; update where gaps exist.</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Audit current record access controls and correct any shared logins or unrestricted access.</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Walk through patient-facing areas and address obvious physical privacy gaps.</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Deliver or refresh confidentiality training for all staff, including non-clinical roles.</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Periodically re-observe physical privacy practice and re-audit access logs; maintain a working breach-reporting process.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Stand at reception and just listen.  </w:t>
            </w:r>
            <w:r>
              <w:rPr>
                <w:rFonts w:ascii="Arial" w:cs="Arial" w:eastAsia="Arial" w:hAnsi="Arial"/>
                <w:b w:val="false"/>
                <w:bCs w:val="false"/>
                <w:i w:val="false"/>
                <w:iCs w:val="false"/>
                <w:caps w:val="false"/>
                <w:color w:val="374151"/>
                <w:sz w:val="16"/>
                <w:szCs w:val="16"/>
              </w:rPr>
              <w:t xml:space="preserve">A few minutes near the reception or nursing station reveals more about real-world confidentiality than any policy document.</w:t>
            </w:r>
          </w:p>
          <w:p>
            <w:pPr>
              <w:spacing w:after="16" w:before="0"/>
            </w:pPr>
            <w:r>
              <w:rPr>
                <w:rFonts w:ascii="Arial" w:cs="Arial" w:eastAsia="Arial" w:hAnsi="Arial"/>
                <w:b/>
                <w:bCs/>
                <w:i w:val="false"/>
                <w:iCs w:val="false"/>
                <w:caps w:val="false"/>
                <w:color w:val="b91c1c"/>
                <w:sz w:val="15"/>
                <w:szCs w:val="15"/>
              </w:rPr>
              <w:t xml:space="preserve">Ask for an access log, not just an access policy.  </w:t>
            </w:r>
            <w:r>
              <w:rPr>
                <w:rFonts w:ascii="Arial" w:cs="Arial" w:eastAsia="Arial" w:hAnsi="Arial"/>
                <w:b w:val="false"/>
                <w:bCs w:val="false"/>
                <w:i w:val="false"/>
                <w:iCs w:val="false"/>
                <w:caps w:val="false"/>
                <w:color w:val="374151"/>
                <w:sz w:val="16"/>
                <w:szCs w:val="16"/>
              </w:rPr>
              <w:t xml:space="preserve">A policy describing role-based access means little if the underlying system cannot actually show who accessed a given record and when.</w:t>
            </w:r>
          </w:p>
          <w:p>
            <w:pPr>
              <w:spacing w:after="36" w:before="0"/>
            </w:pPr>
            <w:r>
              <w:rPr>
                <w:rFonts w:ascii="Arial" w:cs="Arial" w:eastAsia="Arial" w:hAnsi="Arial"/>
                <w:b/>
                <w:bCs/>
                <w:i w:val="false"/>
                <w:iCs w:val="false"/>
                <w:caps w:val="false"/>
                <w:color w:val="b91c1c"/>
                <w:sz w:val="15"/>
                <w:szCs w:val="15"/>
              </w:rPr>
              <w:t xml:space="preserve">Ask about breach reporting as a real scenario.  </w:t>
            </w:r>
            <w:r>
              <w:rPr>
                <w:rFonts w:ascii="Arial" w:cs="Arial" w:eastAsia="Arial" w:hAnsi="Arial"/>
                <w:b w:val="false"/>
                <w:bCs w:val="false"/>
                <w:i w:val="false"/>
                <w:iCs w:val="false"/>
                <w:caps w:val="false"/>
                <w:color w:val="374151"/>
                <w:sz w:val="16"/>
                <w:szCs w:val="16"/>
              </w:rPr>
              <w:t xml:space="preserve">A hospital that has never had to think through what happens after a breach often has no functioning process, whatever the policy states.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4iapok1xn4jz6wzequ8ig">
              <w:r>
                <w:rPr>
                  <w:rFonts w:ascii="Arial" w:cs="Arial" w:eastAsia="Arial" w:hAnsi="Arial"/>
                  <w:b/>
                  <w:bCs/>
                  <w:color w:val="c9a227"/>
                  <w:sz w:val="13"/>
                  <w:szCs w:val="13"/>
                  <w:u w:val="single"/>
                </w:rPr>
                <w:t xml:space="preserve">academy.gmj.ge/ch2-3-confidentiality-privacy</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2.4</w:t>
            </w:r>
            <w:r>
              <w:rPr>
                <w:rFonts w:ascii="Arial" w:cs="Arial" w:eastAsia="Arial" w:hAnsi="Arial"/>
                <w:b w:val="false"/>
                <w:bCs w:val="false"/>
                <w:i/>
                <w:iCs/>
                <w:caps w:val="false"/>
                <w:color w:val="8fa8c8"/>
                <w:sz w:val="10"/>
                <w:szCs w:val="10"/>
              </w:rPr>
              <w:t xml:space="preserve">  ·  Level 1  ·  Chapter 2: Patient Rights &amp; Safety</w:t>
            </w:r>
          </w:p>
          <w:p>
            <w:pPr>
              <w:spacing w:after="36" w:before="0"/>
            </w:pPr>
            <w:r>
              <w:rPr>
                <w:rFonts w:ascii="Arial" w:cs="Arial" w:eastAsia="Arial" w:hAnsi="Arial"/>
                <w:b/>
                <w:bCs/>
                <w:i w:val="false"/>
                <w:iCs w:val="false"/>
                <w:caps w:val="false"/>
                <w:color w:val="dce8f5"/>
                <w:sz w:val="12"/>
                <w:szCs w:val="12"/>
              </w:rPr>
              <w:t xml:space="preserve">Patient Identification and Safe Procedures</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9</w:t>
            </w:r>
          </w:p>
          <w:p>
            <w:pPr>
              <w:spacing w:after="36" w:before="0"/>
            </w:pPr>
            <w:r>
              <w:rPr>
                <w:rFonts w:ascii="Arial" w:cs="Arial" w:eastAsia="Arial" w:hAnsi="Arial"/>
                <w:b w:val="false"/>
                <w:bCs w:val="false"/>
                <w:i/>
                <w:iCs/>
                <w:caps w:val="false"/>
                <w:color w:val="8fa8c8"/>
                <w:sz w:val="9"/>
                <w:szCs w:val="9"/>
              </w:rPr>
              <w:t xml:space="preserve">ASF-CH2-PRS-v2.0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2.4</w:t>
            </w:r>
          </w:p>
          <w:p>
            <w:pPr>
              <w:spacing w:after="3" w:before="0"/>
            </w:pPr>
            <w:r>
              <w:rPr>
                <w:rFonts w:ascii="Helvetica" w:cs="Helvetica" w:eastAsia="Helvetica" w:hAnsi="Helvetica"/>
                <w:b/>
                <w:bCs/>
                <w:i w:val="false"/>
                <w:iCs w:val="false"/>
                <w:caps/>
                <w:color w:val="c9a227"/>
                <w:sz w:val="12"/>
                <w:szCs w:val="12"/>
              </w:rPr>
              <w:t xml:space="preserve"/>
            </w:r>
          </w:p>
          <w:p>
            <w:pPr>
              <w:spacing w:after="36" w:before="0"/>
            </w:pPr>
            <w:r>
              <w:rPr>
                <w:rFonts w:ascii="Helvetica" w:cs="Helvetica" w:eastAsia="Helvetica" w:hAnsi="Helvetica"/>
                <w:b w:val="false"/>
                <w:bCs w:val="false"/>
                <w:i w:val="false"/>
                <w:iCs w:val="false"/>
                <w:caps/>
                <w:color w:val="aaaaaa"/>
                <w:sz w:val="10"/>
                <w:szCs w:val="10"/>
              </w:rPr>
              <w:t xml:space="preserve">L1</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Patient Identification and Safe Procedures</w:t>
            </w:r>
          </w:p>
          <w:p>
            <w:pPr>
              <w:spacing w:after="36" w:before="0"/>
            </w:pPr>
            <w:r>
              <w:rPr>
                <w:rFonts w:ascii="Arial" w:cs="Arial" w:eastAsia="Arial" w:hAnsi="Arial"/>
                <w:b w:val="false"/>
                <w:bCs w:val="false"/>
                <w:i w:val="false"/>
                <w:iCs w:val="false"/>
                <w:caps w:val="false"/>
                <w:color w:val="4b5563"/>
                <w:sz w:val="15"/>
                <w:szCs w:val="15"/>
              </w:rPr>
              <w:t xml:space="preserve">The hospital uses at least two patient identifiers to confirm identity before any procedure, medication administration, or specimen collection, with a documented identification policy.</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written policy requiring at least two patient identifiers before medication, procedures, or specimen collection?</w:t>
            </w:r>
          </w:p>
          <w:p>
            <w:pPr>
              <w:spacing w:after="7" w:before="0"/>
            </w:pPr>
            <w:r>
              <w:rPr>
                <w:rFonts w:ascii="Arial" w:cs="Arial" w:eastAsia="Arial" w:hAnsi="Arial"/>
                <w:b w:val="false"/>
                <w:bCs w:val="false"/>
                <w:i/>
                <w:iCs/>
                <w:caps w:val="false"/>
                <w:color w:val="4b5563"/>
                <w:sz w:val="15"/>
                <w:szCs w:val="15"/>
              </w:rPr>
              <w:t xml:space="preserve">Name plus date of birth, or equivalent — not room number alone.</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Patient identification policy</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patient identifiers checked and verified at each of these critical points in observed practice?</w:t>
            </w:r>
          </w:p>
          <w:p>
            <w:pPr>
              <w:spacing w:after="36" w:before="0"/>
            </w:pPr>
            <w:r>
              <w:rPr>
                <w:rFonts w:ascii="Arial" w:cs="Arial" w:eastAsia="Arial" w:hAnsi="Arial"/>
                <w:b w:val="false"/>
                <w:bCs w:val="false"/>
                <w:i/>
                <w:iCs/>
                <w:caps w:val="false"/>
                <w:color w:val="4b5563"/>
                <w:sz w:val="15"/>
                <w:szCs w:val="15"/>
              </w:rPr>
              <w:t xml:space="preserve">Direct observation of a medication round or procedure prep.</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Where wristbands or equivalent are used, are they applied to every inpatient and checked for accuracy?</w:t>
            </w:r>
          </w:p>
          <w:p>
            <w:pPr>
              <w:spacing w:after="36" w:before="0"/>
            </w:pPr>
            <w:r>
              <w:rPr>
                <w:rFonts w:ascii="Arial" w:cs="Arial" w:eastAsia="Arial" w:hAnsi="Arial"/>
                <w:b w:val="false"/>
                <w:bCs w:val="false"/>
                <w:i/>
                <w:iCs/>
                <w:caps w:val="false"/>
                <w:color w:val="4b5563"/>
                <w:sz w:val="15"/>
                <w:szCs w:val="15"/>
              </w:rPr>
              <w:t xml:space="preserve">Spot-check a sample of wristbands against records.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defined process for identifying patients who cannot confirm their own identity?</w:t>
            </w:r>
          </w:p>
          <w:p>
            <w:pPr>
              <w:spacing w:after="7" w:before="0"/>
            </w:pPr>
            <w:r>
              <w:rPr>
                <w:rFonts w:ascii="Arial" w:cs="Arial" w:eastAsia="Arial" w:hAnsi="Arial"/>
                <w:b w:val="false"/>
                <w:bCs w:val="false"/>
                <w:i/>
                <w:iCs/>
                <w:caps w:val="false"/>
                <w:color w:val="4b5563"/>
                <w:sz w:val="15"/>
                <w:szCs w:val="15"/>
              </w:rPr>
              <w:t xml:space="preserve">Ask for the specific procedure used for unconscious, cognitively impaired, or infant patients.</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Alternative identification procedure</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misidentification near-misses or events tracked and reviewed?</w:t>
            </w:r>
          </w:p>
          <w:p>
            <w:pPr>
              <w:spacing w:after="7" w:before="0"/>
            </w:pPr>
            <w:r>
              <w:rPr>
                <w:rFonts w:ascii="Arial" w:cs="Arial" w:eastAsia="Arial" w:hAnsi="Arial"/>
                <w:b w:val="false"/>
                <w:bCs w:val="false"/>
                <w:i/>
                <w:iCs/>
                <w:caps w:val="false"/>
                <w:color w:val="4b5563"/>
                <w:sz w:val="15"/>
                <w:szCs w:val="15"/>
              </w:rPr>
              <w:t xml:space="preserve">Check the incident log for identification-related entries.</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Near-miss / incident log</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0"/>
        <w:gridCol w:w="434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Identification policy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written policy for the required two-identifier standard and its application points.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1fae5"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5803d"/>
                <w:sz w:val="13"/>
                <w:szCs w:val="13"/>
              </w:rPr>
              <w:t xml:space="preserve">OBSERVE</w:t>
            </w:r>
          </w:p>
          <w:p>
            <w:pPr>
              <w:spacing w:after="36" w:before="0"/>
            </w:pPr>
            <w:r>
              <w:rPr>
                <w:rFonts w:ascii="Arial" w:cs="Arial" w:eastAsia="Arial" w:hAnsi="Arial"/>
                <w:b/>
                <w:bCs/>
                <w:i w:val="false"/>
                <w:iCs w:val="false"/>
                <w:caps w:val="false"/>
                <w:color w:val="15803d"/>
                <w:sz w:val="14"/>
                <w:szCs w:val="14"/>
              </w:rPr>
              <w:t xml:space="preserve">Medication round observation</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Observes or reviews documentation of identity verification during a medication administration round.</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1fae5"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5803d"/>
                <w:sz w:val="13"/>
                <w:szCs w:val="13"/>
              </w:rPr>
              <w:t xml:space="preserve">OBSERVE</w:t>
            </w:r>
          </w:p>
          <w:p>
            <w:pPr>
              <w:spacing w:after="36" w:before="0"/>
            </w:pPr>
            <w:r>
              <w:rPr>
                <w:rFonts w:ascii="Arial" w:cs="Arial" w:eastAsia="Arial" w:hAnsi="Arial"/>
                <w:b/>
                <w:bCs/>
                <w:i w:val="false"/>
                <w:iCs w:val="false"/>
                <w:caps w:val="false"/>
                <w:color w:val="15803d"/>
                <w:sz w:val="14"/>
                <w:szCs w:val="14"/>
              </w:rPr>
              <w:t xml:space="preserve">Wristband accuracy spot-check</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Checks a sample of inpatient wristbands, or equivalent, against medical records for accuracy.</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Alternative identification procedure</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documented process for patients unable to confirm their own identity.</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ejd2h3xgig9w6gkqjzpqg">
              <w:r>
                <w:rPr>
                  <w:rFonts w:ascii="Arial" w:cs="Arial" w:eastAsia="Arial" w:hAnsi="Arial"/>
                  <w:b/>
                  <w:bCs/>
                  <w:color w:val="c9a227"/>
                  <w:sz w:val="13"/>
                  <w:szCs w:val="13"/>
                  <w:u w:val="single"/>
                </w:rPr>
                <w:t xml:space="preserve">World Health Organization. Patient identification. Patient Safety Solutions, Volume 1, Solution 2. Geneva: WHO; 2007.</w:t>
              </w:r>
            </w:hyperlink>
            <w:r>
              <w:rPr>
                <w:rFonts w:ascii="Arial" w:cs="Arial" w:eastAsia="Arial" w:hAnsi="Arial"/>
                <w:b/>
                <w:bCs/>
                <w:i w:val="false"/>
                <w:iCs w:val="false"/>
                <w:caps w:val="false"/>
                <w:color w:val="6b778c"/>
                <w:sz w:val="13"/>
                <w:szCs w:val="13"/>
              </w:rPr>
              <w:t xml:space="preserve">   2. </w:t>
            </w:r>
            <w:hyperlink w:history="1" r:id="rIdbsmae2r8jt95byyqmidbc">
              <w:r>
                <w:rPr>
                  <w:rFonts w:ascii="Arial" w:cs="Arial" w:eastAsia="Arial" w:hAnsi="Arial"/>
                  <w:b/>
                  <w:bCs/>
                  <w:color w:val="c9a227"/>
                  <w:sz w:val="13"/>
                  <w:szCs w:val="13"/>
                  <w:u w:val="single"/>
                </w:rPr>
                <w:t xml:space="preserve">Joint Commission International. International Patient Safety Goals. Oak Brook: JCI; 2020.</w:t>
              </w:r>
            </w:hyperlink>
            <w:r>
              <w:rPr>
                <w:rFonts w:ascii="Arial" w:cs="Arial" w:eastAsia="Arial" w:hAnsi="Arial"/>
                <w:b/>
                <w:bCs/>
                <w:i w:val="false"/>
                <w:iCs w:val="false"/>
                <w:caps w:val="false"/>
                <w:color w:val="6b778c"/>
                <w:sz w:val="13"/>
                <w:szCs w:val="13"/>
              </w:rPr>
              <w:t xml:space="preserve">   3. </w:t>
            </w:r>
            <w:hyperlink w:history="1" r:id="rId9yasfyvh__cqa3kf2ahsq">
              <w:r>
                <w:rPr>
                  <w:rFonts w:ascii="Arial" w:cs="Arial" w:eastAsia="Arial" w:hAnsi="Arial"/>
                  <w:b/>
                  <w:bCs/>
                  <w:color w:val="c9a227"/>
                  <w:sz w:val="13"/>
                  <w:szCs w:val="13"/>
                  <w:u w:val="single"/>
                </w:rPr>
                <w:t xml:space="preserve">National Patient Safety Agency. Standardising wristbands improves patient safety. London: NPSA; 2007.</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2.4</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2.4</w:t>
            </w:r>
            <w:r>
              <w:rPr>
                <w:rFonts w:ascii="Arial" w:cs="Arial" w:eastAsia="Arial" w:hAnsi="Arial"/>
                <w:b w:val="false"/>
                <w:bCs w:val="false"/>
                <w:i/>
                <w:iCs/>
                <w:caps w:val="false"/>
                <w:color w:val="8fa8c8"/>
                <w:sz w:val="10"/>
                <w:szCs w:val="10"/>
              </w:rPr>
              <w:t xml:space="preserve">  ·  Level 1  ·  Chapter 2: Patient Rights &amp; Safety</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10</w:t>
            </w:r>
          </w:p>
          <w:p>
            <w:pPr>
              <w:spacing w:after="36" w:before="0"/>
            </w:pPr>
            <w:r>
              <w:rPr>
                <w:rFonts w:ascii="Arial" w:cs="Arial" w:eastAsia="Arial" w:hAnsi="Arial"/>
                <w:b w:val="false"/>
                <w:bCs w:val="false"/>
                <w:i/>
                <w:iCs/>
                <w:caps w:val="false"/>
                <w:color w:val="8fa8c8"/>
                <w:sz w:val="9"/>
                <w:szCs w:val="9"/>
              </w:rPr>
              <w:t xml:space="preserve">ASF-CH2-PRS-v2.0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Misidentification is one of the simplest, most preventable causes of serious harm — the wrong medication given, blood transfused to the wrong patient, a procedure performed on the wrong person — and it happens precisely because a single identifier felt sufficient in a busy moment. A consistently applied two-identifier check closes that gap cheaply and reliably.</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WHO Patient Safety Solutions 2007 — patient misidentification is a recurring root cause in wrong-patient, wrong-site, and wrong-procedure events reported across health systems worldwide.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Two identifiers, such as name and date of birth, are checked before every medication, procedure, and specimen collection</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Wristbands, where used, are applied to all inpatients and checked for accuracy</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Staff verbally confirm identity with the patient wherever the patient is able to respond</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 defined, understood process exists for patients unable to confirm their own identity</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Identification near-misses are logged and reviewed, feeding back into practice</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Identification relies on a single identifier, such as bed or room number</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Wristbands are inconsistently applied or contain outdated information</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Staff proceed with medication or procedures without verifying identity when a patient is unresponsive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defined process exists for patients who cannot confirm their own identity</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Misidentification near-misses go unrecorded and unreviewed</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The policy requires two identifiers but practice has drifted to one.</w:t>
            </w:r>
          </w:p>
          <w:p>
            <w:pPr>
              <w:spacing w:after="20" w:before="0"/>
            </w:pPr>
            <w:r>
              <w:rPr>
                <w:rFonts w:ascii="Arial" w:cs="Arial" w:eastAsia="Arial" w:hAnsi="Arial"/>
                <w:b w:val="false"/>
                <w:bCs w:val="false"/>
                <w:i/>
                <w:iCs/>
                <w:caps w:val="false"/>
                <w:color w:val="4b5563"/>
                <w:sz w:val="15"/>
                <w:szCs w:val="15"/>
              </w:rPr>
              <w:t xml:space="preserve">The written standard is correct, but under time pressure staff have fallen into checking only a bed number or a familiar face.</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Wristbands are used but not verified for accuracy.</w:t>
            </w:r>
          </w:p>
          <w:p>
            <w:pPr>
              <w:spacing w:after="20" w:before="0"/>
            </w:pPr>
            <w:r>
              <w:rPr>
                <w:rFonts w:ascii="Arial" w:cs="Arial" w:eastAsia="Arial" w:hAnsi="Arial"/>
                <w:b w:val="false"/>
                <w:bCs w:val="false"/>
                <w:i/>
                <w:iCs/>
                <w:caps w:val="false"/>
                <w:color w:val="4b5563"/>
                <w:sz w:val="15"/>
                <w:szCs w:val="15"/>
              </w:rPr>
              <w:t xml:space="preserve">Every inpatient wears a wristband, satisfying a superficial check, but the information on it is not routinely cross-checked against the record.</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Alternative identification exists for some situations but not all.</w:t>
            </w:r>
          </w:p>
          <w:p>
            <w:pPr>
              <w:spacing w:after="36" w:before="0"/>
            </w:pPr>
            <w:r>
              <w:rPr>
                <w:rFonts w:ascii="Arial" w:cs="Arial" w:eastAsia="Arial" w:hAnsi="Arial"/>
                <w:b w:val="false"/>
                <w:bCs w:val="false"/>
                <w:i/>
                <w:iCs/>
                <w:caps w:val="false"/>
                <w:color w:val="4b5563"/>
                <w:sz w:val="15"/>
                <w:szCs w:val="15"/>
              </w:rPr>
              <w:t xml:space="preserve">A clear procedure covers unconscious adult patients, but no equivalent process has been thought through for infants or patients with cognitive impairment.</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Confirm or write the two-identifier policy and specify exactly which points it applies to.</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Brief all clinical staff on the policy and observe a sample of medication rounds for compliance.</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Audit wristband accuracy, or equivalent, across a sample of current inpatients.</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Develop or refine the alternative identification procedure for patients unable to confirm their own identity.</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Track identification near-misses in the incident system and review them at the QI programme level.</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Watch a real medication round, don’t just ask about the policy.  </w:t>
            </w:r>
            <w:r>
              <w:rPr>
                <w:rFonts w:ascii="Arial" w:cs="Arial" w:eastAsia="Arial" w:hAnsi="Arial"/>
                <w:b w:val="false"/>
                <w:bCs w:val="false"/>
                <w:i w:val="false"/>
                <w:iCs w:val="false"/>
                <w:caps w:val="false"/>
                <w:color w:val="374151"/>
                <w:sz w:val="16"/>
                <w:szCs w:val="16"/>
              </w:rPr>
              <w:t xml:space="preserve">Identification checks are one of the easiest safety behaviours to describe correctly and skip in practice.</w:t>
            </w:r>
          </w:p>
          <w:p>
            <w:pPr>
              <w:spacing w:after="16" w:before="0"/>
            </w:pPr>
            <w:r>
              <w:rPr>
                <w:rFonts w:ascii="Arial" w:cs="Arial" w:eastAsia="Arial" w:hAnsi="Arial"/>
                <w:b/>
                <w:bCs/>
                <w:i w:val="false"/>
                <w:iCs w:val="false"/>
                <w:caps w:val="false"/>
                <w:color w:val="b91c1c"/>
                <w:sz w:val="15"/>
                <w:szCs w:val="15"/>
              </w:rPr>
              <w:t xml:space="preserve">Check a wristband against the chart, not just its presence.  </w:t>
            </w:r>
            <w:r>
              <w:rPr>
                <w:rFonts w:ascii="Arial" w:cs="Arial" w:eastAsia="Arial" w:hAnsi="Arial"/>
                <w:b w:val="false"/>
                <w:bCs w:val="false"/>
                <w:i w:val="false"/>
                <w:iCs w:val="false"/>
                <w:caps w:val="false"/>
                <w:color w:val="374151"/>
                <w:sz w:val="16"/>
                <w:szCs w:val="16"/>
              </w:rPr>
              <w:t xml:space="preserve">A wristband that exists but shows an outdated or incorrect date of birth is a false sense of security.</w:t>
            </w:r>
          </w:p>
          <w:p>
            <w:pPr>
              <w:spacing w:after="36" w:before="0"/>
            </w:pPr>
            <w:r>
              <w:rPr>
                <w:rFonts w:ascii="Arial" w:cs="Arial" w:eastAsia="Arial" w:hAnsi="Arial"/>
                <w:b/>
                <w:bCs/>
                <w:i w:val="false"/>
                <w:iCs w:val="false"/>
                <w:caps w:val="false"/>
                <w:color w:val="b91c1c"/>
                <w:sz w:val="15"/>
                <w:szCs w:val="15"/>
              </w:rPr>
              <w:t xml:space="preserve">Ask specifically about infants and cognitively impaired patients.  </w:t>
            </w:r>
            <w:r>
              <w:rPr>
                <w:rFonts w:ascii="Arial" w:cs="Arial" w:eastAsia="Arial" w:hAnsi="Arial"/>
                <w:b w:val="false"/>
                <w:bCs w:val="false"/>
                <w:i w:val="false"/>
                <w:iCs w:val="false"/>
                <w:caps w:val="false"/>
                <w:color w:val="374151"/>
                <w:sz w:val="16"/>
                <w:szCs w:val="16"/>
              </w:rPr>
              <w:t xml:space="preserve">Alternative identification procedures are often well-designed for unconscious adults but overlooked for these groups.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4ybgwimnle6fuor1zqudh">
              <w:r>
                <w:rPr>
                  <w:rFonts w:ascii="Arial" w:cs="Arial" w:eastAsia="Arial" w:hAnsi="Arial"/>
                  <w:b/>
                  <w:bCs/>
                  <w:color w:val="c9a227"/>
                  <w:sz w:val="13"/>
                  <w:szCs w:val="13"/>
                  <w:u w:val="single"/>
                </w:rPr>
                <w:t xml:space="preserve">academy.gmj.ge/ch2-4-patient-identification</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2.5</w:t>
            </w:r>
            <w:r>
              <w:rPr>
                <w:rFonts w:ascii="Arial" w:cs="Arial" w:eastAsia="Arial" w:hAnsi="Arial"/>
                <w:b w:val="false"/>
                <w:bCs w:val="false"/>
                <w:i/>
                <w:iCs/>
                <w:caps w:val="false"/>
                <w:color w:val="8fa8c8"/>
                <w:sz w:val="10"/>
                <w:szCs w:val="10"/>
              </w:rPr>
              <w:t xml:space="preserve">  ·  Level 1  ·  Chapter 2: Patient Rights &amp; Safety</w:t>
            </w:r>
          </w:p>
          <w:p>
            <w:pPr>
              <w:spacing w:after="36" w:before="0"/>
            </w:pPr>
            <w:r>
              <w:rPr>
                <w:rFonts w:ascii="Arial" w:cs="Arial" w:eastAsia="Arial" w:hAnsi="Arial"/>
                <w:b/>
                <w:bCs/>
                <w:i w:val="false"/>
                <w:iCs w:val="false"/>
                <w:caps w:val="false"/>
                <w:color w:val="dce8f5"/>
                <w:sz w:val="12"/>
                <w:szCs w:val="12"/>
              </w:rPr>
              <w:t xml:space="preserve">Complaints and Grievance Process</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11</w:t>
            </w:r>
          </w:p>
          <w:p>
            <w:pPr>
              <w:spacing w:after="36" w:before="0"/>
            </w:pPr>
            <w:r>
              <w:rPr>
                <w:rFonts w:ascii="Arial" w:cs="Arial" w:eastAsia="Arial" w:hAnsi="Arial"/>
                <w:b w:val="false"/>
                <w:bCs w:val="false"/>
                <w:i/>
                <w:iCs/>
                <w:caps w:val="false"/>
                <w:color w:val="8fa8c8"/>
                <w:sz w:val="9"/>
                <w:szCs w:val="9"/>
              </w:rPr>
              <w:t xml:space="preserve">ASF-CH2-PRS-v2.0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2.5</w:t>
            </w:r>
          </w:p>
          <w:p>
            <w:pPr>
              <w:spacing w:after="3" w:before="0"/>
            </w:pPr>
            <w:r>
              <w:rPr>
                <w:rFonts w:ascii="Helvetica" w:cs="Helvetica" w:eastAsia="Helvetica" w:hAnsi="Helvetica"/>
                <w:b/>
                <w:bCs/>
                <w:i w:val="false"/>
                <w:iCs w:val="false"/>
                <w:caps/>
                <w:color w:val="c9a227"/>
                <w:sz w:val="12"/>
                <w:szCs w:val="12"/>
              </w:rPr>
              <w:t xml:space="preserve"/>
            </w:r>
          </w:p>
          <w:p>
            <w:pPr>
              <w:spacing w:after="36" w:before="0"/>
            </w:pPr>
            <w:r>
              <w:rPr>
                <w:rFonts w:ascii="Helvetica" w:cs="Helvetica" w:eastAsia="Helvetica" w:hAnsi="Helvetica"/>
                <w:b w:val="false"/>
                <w:bCs w:val="false"/>
                <w:i w:val="false"/>
                <w:iCs w:val="false"/>
                <w:caps/>
                <w:color w:val="aaaaaa"/>
                <w:sz w:val="10"/>
                <w:szCs w:val="10"/>
              </w:rPr>
              <w:t xml:space="preserve">L1</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Complaints and Grievance Process</w:t>
            </w:r>
          </w:p>
          <w:p>
            <w:pPr>
              <w:spacing w:after="36" w:before="0"/>
            </w:pPr>
            <w:r>
              <w:rPr>
                <w:rFonts w:ascii="Arial" w:cs="Arial" w:eastAsia="Arial" w:hAnsi="Arial"/>
                <w:b w:val="false"/>
                <w:bCs w:val="false"/>
                <w:i w:val="false"/>
                <w:iCs w:val="false"/>
                <w:caps w:val="false"/>
                <w:color w:val="4b5563"/>
                <w:sz w:val="15"/>
                <w:szCs w:val="15"/>
              </w:rPr>
              <w:t xml:space="preserve">The hospital has an accessible, timely, and fair process for patients and families to raise complaints or grievances, with tracked resolution and no risk of retaliation.</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written complaints/grievance policy with defined timelines for acknowledgement and response?</w:t>
            </w:r>
          </w:p>
          <w:p>
            <w:pPr>
              <w:spacing w:after="7" w:before="0"/>
            </w:pPr>
            <w:r>
              <w:rPr>
                <w:rFonts w:ascii="Arial" w:cs="Arial" w:eastAsia="Arial" w:hAnsi="Arial"/>
                <w:b w:val="false"/>
                <w:bCs w:val="false"/>
                <w:i/>
                <w:iCs/>
                <w:caps w:val="false"/>
                <w:color w:val="4b5563"/>
                <w:sz w:val="15"/>
                <w:szCs w:val="15"/>
              </w:rPr>
              <w:t xml:space="preserve">Check for specific day counts, not vague language.</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Complaints policy</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patients and families told how to make a complaint, in accessible language, at or before discharge?</w:t>
            </w:r>
          </w:p>
          <w:p>
            <w:pPr>
              <w:spacing w:after="36" w:before="0"/>
            </w:pPr>
            <w:r>
              <w:rPr>
                <w:rFonts w:ascii="Arial" w:cs="Arial" w:eastAsia="Arial" w:hAnsi="Arial"/>
                <w:b w:val="false"/>
                <w:bCs w:val="false"/>
                <w:i/>
                <w:iCs/>
                <w:caps w:val="false"/>
                <w:color w:val="4b5563"/>
                <w:sz w:val="15"/>
                <w:szCs w:val="15"/>
              </w:rPr>
              <w:t xml:space="preserve">Check admission or discharge materials.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complaints logged centrally and tracked to resolution?</w:t>
            </w:r>
          </w:p>
          <w:p>
            <w:pPr>
              <w:spacing w:after="7" w:before="0"/>
            </w:pPr>
            <w:r>
              <w:rPr>
                <w:rFonts w:ascii="Arial" w:cs="Arial" w:eastAsia="Arial" w:hAnsi="Arial"/>
                <w:b w:val="false"/>
                <w:bCs w:val="false"/>
                <w:i/>
                <w:iCs/>
                <w:caps w:val="false"/>
                <w:color w:val="4b5563"/>
                <w:sz w:val="15"/>
                <w:szCs w:val="15"/>
              </w:rPr>
              <w:t xml:space="preserve">Check a complaints log for open/closed status.</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Complaints log</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safeguard against retaliation for patients or staff who raise a complaint?</w:t>
            </w:r>
          </w:p>
          <w:p>
            <w:pPr>
              <w:spacing w:after="36" w:before="0"/>
            </w:pPr>
            <w:r>
              <w:rPr>
                <w:rFonts w:ascii="Arial" w:cs="Arial" w:eastAsia="Arial" w:hAnsi="Arial"/>
                <w:b w:val="false"/>
                <w:bCs w:val="false"/>
                <w:i/>
                <w:iCs/>
                <w:caps w:val="false"/>
                <w:color w:val="4b5563"/>
                <w:sz w:val="15"/>
                <w:szCs w:val="15"/>
              </w:rPr>
              <w:t xml:space="preserve">Ask how the hospital ensures a complaining patient’s care is unaffected.</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complaint themes reviewed periodically by leadership to identify patterns?</w:t>
            </w:r>
          </w:p>
          <w:p>
            <w:pPr>
              <w:spacing w:after="7" w:before="0"/>
            </w:pPr>
            <w:r>
              <w:rPr>
                <w:rFonts w:ascii="Arial" w:cs="Arial" w:eastAsia="Arial" w:hAnsi="Arial"/>
                <w:b w:val="false"/>
                <w:bCs w:val="false"/>
                <w:i/>
                <w:iCs/>
                <w:caps w:val="false"/>
                <w:color w:val="4b5563"/>
                <w:sz w:val="15"/>
                <w:szCs w:val="15"/>
              </w:rPr>
              <w:t xml:space="preserve">Check for a summary report or trend review, not only case-by-case handling.</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Complaint trend review</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0"/>
        <w:gridCol w:w="434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Complaints log and timeline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complaints log for defined timelines and evidence of tracked resolution.</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1fae5"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5803d"/>
                <w:sz w:val="13"/>
                <w:szCs w:val="13"/>
              </w:rPr>
              <w:t xml:space="preserve">OBSERVE</w:t>
            </w:r>
          </w:p>
          <w:p>
            <w:pPr>
              <w:spacing w:after="36" w:before="0"/>
            </w:pPr>
            <w:r>
              <w:rPr>
                <w:rFonts w:ascii="Arial" w:cs="Arial" w:eastAsia="Arial" w:hAnsi="Arial"/>
                <w:b/>
                <w:bCs/>
                <w:i w:val="false"/>
                <w:iCs w:val="false"/>
                <w:caps w:val="false"/>
                <w:color w:val="15803d"/>
                <w:sz w:val="14"/>
                <w:szCs w:val="14"/>
              </w:rPr>
              <w:t xml:space="preserve">Accessibility check</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Looks for visible, understandable information on how to complain in patient areas or discharge materials.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Retaliation safeguard question</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Asks how the hospital ensures a patient’s ongoing care is unaffected by having made a complaint.</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Trend review evidence</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Checks for a periodic summary or pattern review of complaint themes at leadership level.</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tzoj0rk2j73swoif_lc8k">
              <w:r>
                <w:rPr>
                  <w:rFonts w:ascii="Arial" w:cs="Arial" w:eastAsia="Arial" w:hAnsi="Arial"/>
                  <w:b/>
                  <w:bCs/>
                  <w:color w:val="c9a227"/>
                  <w:sz w:val="13"/>
                  <w:szCs w:val="13"/>
                  <w:u w:val="single"/>
                </w:rPr>
                <w:t xml:space="preserve">World Health Organization. WHO framework on integrated people-centred health services. Geneva: WHO; 2016.</w:t>
              </w:r>
            </w:hyperlink>
            <w:r>
              <w:rPr>
                <w:rFonts w:ascii="Arial" w:cs="Arial" w:eastAsia="Arial" w:hAnsi="Arial"/>
                <w:b/>
                <w:bCs/>
                <w:i w:val="false"/>
                <w:iCs w:val="false"/>
                <w:caps w:val="false"/>
                <w:color w:val="6b778c"/>
                <w:sz w:val="13"/>
                <w:szCs w:val="13"/>
              </w:rPr>
              <w:t xml:space="preserve">   2. </w:t>
            </w:r>
            <w:hyperlink w:history="1" r:id="rIdvz7o8j_vn3arkywjf0saj">
              <w:r>
                <w:rPr>
                  <w:rFonts w:ascii="Arial" w:cs="Arial" w:eastAsia="Arial" w:hAnsi="Arial"/>
                  <w:b/>
                  <w:bCs/>
                  <w:color w:val="c9a227"/>
                  <w:sz w:val="13"/>
                  <w:szCs w:val="13"/>
                  <w:u w:val="single"/>
                </w:rPr>
                <w:t xml:space="preserve">Reader TW, Gillespie A, Roberts J. Patient complaints in healthcare systems: a systematic review and coding taxonomy. BMJ Qual Saf. 2014;23(8):678-689.</w:t>
              </w:r>
            </w:hyperlink>
            <w:r>
              <w:rPr>
                <w:rFonts w:ascii="Arial" w:cs="Arial" w:eastAsia="Arial" w:hAnsi="Arial"/>
                <w:b/>
                <w:bCs/>
                <w:i w:val="false"/>
                <w:iCs w:val="false"/>
                <w:caps w:val="false"/>
                <w:color w:val="6b778c"/>
                <w:sz w:val="13"/>
                <w:szCs w:val="13"/>
              </w:rPr>
              <w:t xml:space="preserve">   3. </w:t>
            </w:r>
            <w:hyperlink w:history="1" r:id="rIdtpi2_cmmz_feocm3a31vz">
              <w:r>
                <w:rPr>
                  <w:rFonts w:ascii="Arial" w:cs="Arial" w:eastAsia="Arial" w:hAnsi="Arial"/>
                  <w:b/>
                  <w:bCs/>
                  <w:color w:val="c9a227"/>
                  <w:sz w:val="13"/>
                  <w:szCs w:val="13"/>
                  <w:u w:val="single"/>
                </w:rPr>
                <w:t xml:space="preserve">Bismark MM, Dauer E, Paterson R, Studdert DM. Accountability sought by patients following adverse events from medical care. CMAJ. 2006;175(8):889-894.</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2.5</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2.5</w:t>
            </w:r>
            <w:r>
              <w:rPr>
                <w:rFonts w:ascii="Arial" w:cs="Arial" w:eastAsia="Arial" w:hAnsi="Arial"/>
                <w:b w:val="false"/>
                <w:bCs w:val="false"/>
                <w:i/>
                <w:iCs/>
                <w:caps w:val="false"/>
                <w:color w:val="8fa8c8"/>
                <w:sz w:val="10"/>
                <w:szCs w:val="10"/>
              </w:rPr>
              <w:t xml:space="preserve">  ·  Level 1  ·  Chapter 2: Patient Rights &amp; Safety</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12</w:t>
            </w:r>
          </w:p>
          <w:p>
            <w:pPr>
              <w:spacing w:after="36" w:before="0"/>
            </w:pPr>
            <w:r>
              <w:rPr>
                <w:rFonts w:ascii="Arial" w:cs="Arial" w:eastAsia="Arial" w:hAnsi="Arial"/>
                <w:b w:val="false"/>
                <w:bCs w:val="false"/>
                <w:i/>
                <w:iCs/>
                <w:caps w:val="false"/>
                <w:color w:val="8fa8c8"/>
                <w:sz w:val="9"/>
                <w:szCs w:val="9"/>
              </w:rPr>
              <w:t xml:space="preserve">ASF-CH2-PRS-v2.0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A complaints process that is hard to find, slow to respond, or feared to trigger worse treatment does not protect patients — it protects the institution from hearing about its own failures. A genuinely accessible, timely, and safe complaints channel turns dissatisfaction into information the hospital can actually use, rather than into silent harm.</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Reader, Gillespie &amp; Roberts 2014 — patient complaints, when systematically reviewed rather than handled case by case, reliably surface recurring safety and quality issues that formal incident reporting alone misses.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Complaints policy states specific timelines for acknowledgement and resolution</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Patients are told clearly, at admission or discharge, how to raise a complaint</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Every complaint is logged and tracked to a documented resolution</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Patients can be confident raising a complaint will not affect their care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Leadership reviews complaint themes periodically to spot patterns, not just individual cases</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defined process exists; complaints are handled informally and inconsistently</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Patients do not know how or where to complain</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Complaints are not logged, so no one can say how many were received or resolved</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Staff or patients fear that complaining will lead to worse treatment</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Complaints are closed individually with no review of recurring themes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The process exists but responses are chronically slow.</w:t>
            </w:r>
          </w:p>
          <w:p>
            <w:pPr>
              <w:spacing w:after="20" w:before="0"/>
            </w:pPr>
            <w:r>
              <w:rPr>
                <w:rFonts w:ascii="Arial" w:cs="Arial" w:eastAsia="Arial" w:hAnsi="Arial"/>
                <w:b w:val="false"/>
                <w:bCs w:val="false"/>
                <w:i/>
                <w:iCs/>
                <w:caps w:val="false"/>
                <w:color w:val="4b5563"/>
                <w:sz w:val="15"/>
                <w:szCs w:val="15"/>
              </w:rPr>
              <w:t xml:space="preserve">A complaints policy with defined timelines is in place, but in practice responses routinely exceed the stated period, eroding trust in the process.</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Complaints are logged but never analysed for patterns.</w:t>
            </w:r>
          </w:p>
          <w:p>
            <w:pPr>
              <w:spacing w:after="20" w:before="0"/>
            </w:pPr>
            <w:r>
              <w:rPr>
                <w:rFonts w:ascii="Arial" w:cs="Arial" w:eastAsia="Arial" w:hAnsi="Arial"/>
                <w:b w:val="false"/>
                <w:bCs w:val="false"/>
                <w:i/>
                <w:iCs/>
                <w:caps w:val="false"/>
                <w:color w:val="4b5563"/>
                <w:sz w:val="15"/>
                <w:szCs w:val="15"/>
              </w:rPr>
              <w:t xml:space="preserve">Every complaint is recorded and eventually closed, but no one steps back to ask whether the same issue keeps recurring across different patients.</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The channel exists but is not genuinely known to patients.</w:t>
            </w:r>
          </w:p>
          <w:p>
            <w:pPr>
              <w:spacing w:after="36" w:before="0"/>
            </w:pPr>
            <w:r>
              <w:rPr>
                <w:rFonts w:ascii="Arial" w:cs="Arial" w:eastAsia="Arial" w:hAnsi="Arial"/>
                <w:b w:val="false"/>
                <w:bCs w:val="false"/>
                <w:i/>
                <w:iCs/>
                <w:caps w:val="false"/>
                <w:color w:val="4b5563"/>
                <w:sz w:val="15"/>
                <w:szCs w:val="15"/>
              </w:rPr>
              <w:t xml:space="preserve">A complaints process technically exists, often buried in a handbook, but most patients leave the hospital without knowing it was there.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Draft or update the complaints policy with specific acknowledgement and resolution timelines.</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Add clear complaints information to admission and discharge materials, in plain language.</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Set up or formalise a central complaints log tracking status to resolution.</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Establish a periodic review of complaint themes at leadership or QI level.</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Track timeliness against the stated standard; feed trends into the quality improvement programme.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Ask a discharged patient how they would complain, not whether a policy exists.  </w:t>
            </w:r>
            <w:r>
              <w:rPr>
                <w:rFonts w:ascii="Arial" w:cs="Arial" w:eastAsia="Arial" w:hAnsi="Arial"/>
                <w:b w:val="false"/>
                <w:bCs w:val="false"/>
                <w:i w:val="false"/>
                <w:iCs w:val="false"/>
                <w:caps w:val="false"/>
                <w:color w:val="374151"/>
                <w:sz w:val="16"/>
                <w:szCs w:val="16"/>
              </w:rPr>
              <w:t xml:space="preserve">The strongest test of accessibility is whether an ordinary patient, without staff prompting, actually knows the route.</w:t>
            </w:r>
          </w:p>
          <w:p>
            <w:pPr>
              <w:spacing w:after="16" w:before="0"/>
            </w:pPr>
            <w:r>
              <w:rPr>
                <w:rFonts w:ascii="Arial" w:cs="Arial" w:eastAsia="Arial" w:hAnsi="Arial"/>
                <w:b/>
                <w:bCs/>
                <w:i w:val="false"/>
                <w:iCs w:val="false"/>
                <w:caps w:val="false"/>
                <w:color w:val="b91c1c"/>
                <w:sz w:val="15"/>
                <w:szCs w:val="15"/>
              </w:rPr>
              <w:t xml:space="preserve">Pull the log and check actual response times.  </w:t>
            </w:r>
            <w:r>
              <w:rPr>
                <w:rFonts w:ascii="Arial" w:cs="Arial" w:eastAsia="Arial" w:hAnsi="Arial"/>
                <w:b w:val="false"/>
                <w:bCs w:val="false"/>
                <w:i w:val="false"/>
                <w:iCs w:val="false"/>
                <w:caps w:val="false"/>
                <w:color w:val="374151"/>
                <w:sz w:val="16"/>
                <w:szCs w:val="16"/>
              </w:rPr>
              <w:t xml:space="preserve">Comparing real dates against the policy’s stated timeline reveals whether the process works in practice or only on paper.</w:t>
            </w:r>
          </w:p>
          <w:p>
            <w:pPr>
              <w:spacing w:after="36" w:before="0"/>
            </w:pPr>
            <w:r>
              <w:rPr>
                <w:rFonts w:ascii="Arial" w:cs="Arial" w:eastAsia="Arial" w:hAnsi="Arial"/>
                <w:b/>
                <w:bCs/>
                <w:i w:val="false"/>
                <w:iCs w:val="false"/>
                <w:caps w:val="false"/>
                <w:color w:val="b91c1c"/>
                <w:sz w:val="15"/>
                <w:szCs w:val="15"/>
              </w:rPr>
              <w:t xml:space="preserve">Ask for the trend review, not just individual complaint files.  </w:t>
            </w:r>
            <w:r>
              <w:rPr>
                <w:rFonts w:ascii="Arial" w:cs="Arial" w:eastAsia="Arial" w:hAnsi="Arial"/>
                <w:b w:val="false"/>
                <w:bCs w:val="false"/>
                <w:i w:val="false"/>
                <w:iCs w:val="false"/>
                <w:caps w:val="false"/>
                <w:color w:val="374151"/>
                <w:sz w:val="16"/>
                <w:szCs w:val="16"/>
              </w:rPr>
              <w:t xml:space="preserve">A hospital that can show a leadership-level summary of recurring themes is meaningfully ahead of one that only closes cases one by one.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xbmxltw_t4pukzq3xwtv1">
              <w:r>
                <w:rPr>
                  <w:rFonts w:ascii="Arial" w:cs="Arial" w:eastAsia="Arial" w:hAnsi="Arial"/>
                  <w:b/>
                  <w:bCs/>
                  <w:color w:val="c9a227"/>
                  <w:sz w:val="13"/>
                  <w:szCs w:val="13"/>
                  <w:u w:val="single"/>
                </w:rPr>
                <w:t xml:space="preserve">academy.gmj.ge/ch2-5-complaints-grievance-process</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2.6</w:t>
            </w:r>
            <w:r>
              <w:rPr>
                <w:rFonts w:ascii="Arial" w:cs="Arial" w:eastAsia="Arial" w:hAnsi="Arial"/>
                <w:b w:val="false"/>
                <w:bCs w:val="false"/>
                <w:i/>
                <w:iCs/>
                <w:caps w:val="false"/>
                <w:color w:val="8fa8c8"/>
                <w:sz w:val="10"/>
                <w:szCs w:val="10"/>
              </w:rPr>
              <w:t xml:space="preserve">  ·  Level 2  ·  Chapter 2: Patient Rights &amp; Safety</w:t>
            </w:r>
          </w:p>
          <w:p>
            <w:pPr>
              <w:spacing w:after="36" w:before="0"/>
            </w:pPr>
            <w:r>
              <w:rPr>
                <w:rFonts w:ascii="Arial" w:cs="Arial" w:eastAsia="Arial" w:hAnsi="Arial"/>
                <w:b/>
                <w:bCs/>
                <w:i w:val="false"/>
                <w:iCs w:val="false"/>
                <w:caps w:val="false"/>
                <w:color w:val="dce8f5"/>
                <w:sz w:val="12"/>
                <w:szCs w:val="12"/>
              </w:rPr>
              <w:t xml:space="preserve">Vulnerable Patient Protections</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13</w:t>
            </w:r>
          </w:p>
          <w:p>
            <w:pPr>
              <w:spacing w:after="36" w:before="0"/>
            </w:pPr>
            <w:r>
              <w:rPr>
                <w:rFonts w:ascii="Arial" w:cs="Arial" w:eastAsia="Arial" w:hAnsi="Arial"/>
                <w:b w:val="false"/>
                <w:bCs w:val="false"/>
                <w:i/>
                <w:iCs/>
                <w:caps w:val="false"/>
                <w:color w:val="8fa8c8"/>
                <w:sz w:val="9"/>
                <w:szCs w:val="9"/>
              </w:rPr>
              <w:t xml:space="preserve">ASF-CH2-PRS-v2.0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2.6</w:t>
            </w:r>
          </w:p>
          <w:p>
            <w:pPr>
              <w:spacing w:after="3" w:before="0"/>
            </w:pPr>
            <w:r>
              <w:rPr>
                <w:rFonts w:ascii="Helvetica" w:cs="Helvetica" w:eastAsia="Helvetica" w:hAnsi="Helvetica"/>
                <w:b/>
                <w:bCs/>
                <w:i w:val="false"/>
                <w:iCs w:val="false"/>
                <w:caps/>
                <w:color w:val="c9a227"/>
                <w:sz w:val="12"/>
                <w:szCs w:val="12"/>
              </w:rPr>
              <w:t xml:space="preserve"/>
            </w:r>
          </w:p>
          <w:p>
            <w:pPr>
              <w:spacing w:after="36" w:before="0"/>
            </w:pPr>
            <w:r>
              <w:rPr>
                <w:rFonts w:ascii="Helvetica" w:cs="Helvetica" w:eastAsia="Helvetica" w:hAnsi="Helvetica"/>
                <w:b w:val="false"/>
                <w:bCs w:val="false"/>
                <w:i w:val="false"/>
                <w:iCs w:val="false"/>
                <w:caps/>
                <w:color w:val="aaaaaa"/>
                <w:sz w:val="10"/>
                <w:szCs w:val="10"/>
              </w:rPr>
              <w:t xml:space="preserve">L2</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Vulnerable Patient Protections</w:t>
            </w:r>
          </w:p>
          <w:p>
            <w:pPr>
              <w:spacing w:after="36" w:before="0"/>
            </w:pPr>
            <w:r>
              <w:rPr>
                <w:rFonts w:ascii="Arial" w:cs="Arial" w:eastAsia="Arial" w:hAnsi="Arial"/>
                <w:b w:val="false"/>
                <w:bCs w:val="false"/>
                <w:i w:val="false"/>
                <w:iCs w:val="false"/>
                <w:caps w:val="false"/>
                <w:color w:val="4b5563"/>
                <w:sz w:val="15"/>
                <w:szCs w:val="15"/>
              </w:rPr>
              <w:t xml:space="preserve">The hospital has defined additional safeguards for vulnerable patient groups, including children, older adults, patients with disabilities, and patients experiencing abuse or exploitation.</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written policy defining vulnerable patient groups and specific protections for each?</w:t>
            </w:r>
          </w:p>
          <w:p>
            <w:pPr>
              <w:spacing w:after="7" w:before="0"/>
            </w:pPr>
            <w:r>
              <w:rPr>
                <w:rFonts w:ascii="Arial" w:cs="Arial" w:eastAsia="Arial" w:hAnsi="Arial"/>
                <w:b w:val="false"/>
                <w:bCs w:val="false"/>
                <w:i/>
                <w:iCs/>
                <w:caps w:val="false"/>
                <w:color w:val="4b5563"/>
                <w:sz w:val="15"/>
                <w:szCs w:val="15"/>
              </w:rPr>
              <w:t xml:space="preserve">Specific groups named with specific measures, not a single generic statement.</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Vulnerable patient safeguarding policy</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routine screening process for abuse or exploitation, such as domestic violence, elder abuse, or child abuse?</w:t>
            </w:r>
          </w:p>
          <w:p>
            <w:pPr>
              <w:spacing w:after="7" w:before="0"/>
            </w:pPr>
            <w:r>
              <w:rPr>
                <w:rFonts w:ascii="Arial" w:cs="Arial" w:eastAsia="Arial" w:hAnsi="Arial"/>
                <w:b w:val="false"/>
                <w:bCs w:val="false"/>
                <w:i/>
                <w:iCs/>
                <w:caps w:val="false"/>
                <w:color w:val="4b5563"/>
                <w:sz w:val="15"/>
                <w:szCs w:val="15"/>
              </w:rPr>
              <w:t xml:space="preserve">Check for a screening tool or protocol used at intake.</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Screening protocol</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physical facilities reasonably accessible for patients with disabilities?</w:t>
            </w:r>
          </w:p>
          <w:p>
            <w:pPr>
              <w:spacing w:after="36" w:before="0"/>
            </w:pPr>
            <w:r>
              <w:rPr>
                <w:rFonts w:ascii="Arial" w:cs="Arial" w:eastAsia="Arial" w:hAnsi="Arial"/>
                <w:b w:val="false"/>
                <w:bCs w:val="false"/>
                <w:i/>
                <w:iCs/>
                <w:caps w:val="false"/>
                <w:color w:val="4b5563"/>
                <w:sz w:val="15"/>
                <w:szCs w:val="15"/>
              </w:rPr>
              <w:t xml:space="preserve">Direct observation of ramps, accessible toilets, and signage.</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defined referral pathway to external protection services when a concern is identified?</w:t>
            </w:r>
          </w:p>
          <w:p>
            <w:pPr>
              <w:spacing w:after="7" w:before="0"/>
            </w:pPr>
            <w:r>
              <w:rPr>
                <w:rFonts w:ascii="Arial" w:cs="Arial" w:eastAsia="Arial" w:hAnsi="Arial"/>
                <w:b w:val="false"/>
                <w:bCs w:val="false"/>
                <w:i/>
                <w:iCs/>
                <w:caps w:val="false"/>
                <w:color w:val="4b5563"/>
                <w:sz w:val="15"/>
                <w:szCs w:val="15"/>
              </w:rPr>
              <w:t xml:space="preserve">Ask staff to describe the pathway.</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Referral pathway documentation</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Have staff received training on recognising and responding to signs of abuse or vulnerability?</w:t>
            </w:r>
          </w:p>
          <w:p>
            <w:pPr>
              <w:spacing w:after="7" w:before="0"/>
            </w:pPr>
            <w:r>
              <w:rPr>
                <w:rFonts w:ascii="Arial" w:cs="Arial" w:eastAsia="Arial" w:hAnsi="Arial"/>
                <w:b w:val="false"/>
                <w:bCs w:val="false"/>
                <w:i/>
                <w:iCs/>
                <w:caps w:val="false"/>
                <w:color w:val="4b5563"/>
                <w:sz w:val="15"/>
                <w:szCs w:val="15"/>
              </w:rPr>
              <w:t xml:space="preserve">Check training records.</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Training records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0"/>
        <w:gridCol w:w="434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Safeguarding policy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policy for specific, named protections for each vulnerable group, not a single generic statement.</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1fae5"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5803d"/>
                <w:sz w:val="13"/>
                <w:szCs w:val="13"/>
              </w:rPr>
              <w:t xml:space="preserve">OBSERVE</w:t>
            </w:r>
          </w:p>
          <w:p>
            <w:pPr>
              <w:spacing w:after="36" w:before="0"/>
            </w:pPr>
            <w:r>
              <w:rPr>
                <w:rFonts w:ascii="Arial" w:cs="Arial" w:eastAsia="Arial" w:hAnsi="Arial"/>
                <w:b/>
                <w:bCs/>
                <w:i w:val="false"/>
                <w:iCs w:val="false"/>
                <w:caps w:val="false"/>
                <w:color w:val="15803d"/>
                <w:sz w:val="14"/>
                <w:szCs w:val="14"/>
              </w:rPr>
              <w:t xml:space="preserve">Accessibility walkthrough</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Assesses physical accessibility for patients with disabilities in a walkthrough of key areas.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Screening and referral question</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Asks a frontline staff member to describe how they would identify and respond to a suspected abuse concern, including the referral pathway.</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Training record check</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Confirms staff have received training on recognising and responding to vulnerability and abuse.</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gim-fk6425tw9gt0yytwl">
              <w:r>
                <w:rPr>
                  <w:rFonts w:ascii="Arial" w:cs="Arial" w:eastAsia="Arial" w:hAnsi="Arial"/>
                  <w:b/>
                  <w:bCs/>
                  <w:color w:val="c9a227"/>
                  <w:sz w:val="13"/>
                  <w:szCs w:val="13"/>
                  <w:u w:val="single"/>
                </w:rPr>
                <w:t xml:space="preserve">World Health Organization. Responding to intimate partner violence and sexual violence against women: WHO clinical and policy guidelines. Geneva: WHO; 2013.</w:t>
              </w:r>
            </w:hyperlink>
            <w:r>
              <w:rPr>
                <w:rFonts w:ascii="Arial" w:cs="Arial" w:eastAsia="Arial" w:hAnsi="Arial"/>
                <w:b/>
                <w:bCs/>
                <w:i w:val="false"/>
                <w:iCs w:val="false"/>
                <w:caps w:val="false"/>
                <w:color w:val="6b778c"/>
                <w:sz w:val="13"/>
                <w:szCs w:val="13"/>
              </w:rPr>
              <w:t xml:space="preserve">   2. </w:t>
            </w:r>
            <w:hyperlink w:history="1" r:id="rIdfx_3lplqeoxmspjbqpjz_">
              <w:r>
                <w:rPr>
                  <w:rFonts w:ascii="Arial" w:cs="Arial" w:eastAsia="Arial" w:hAnsi="Arial"/>
                  <w:b/>
                  <w:bCs/>
                  <w:color w:val="c9a227"/>
                  <w:sz w:val="13"/>
                  <w:szCs w:val="13"/>
                  <w:u w:val="single"/>
                </w:rPr>
                <w:t xml:space="preserve">World Health Organization. Toolkit for detection, management and prevention of child maltreatment. Geneva: WHO; 2022.</w:t>
              </w:r>
            </w:hyperlink>
            <w:r>
              <w:rPr>
                <w:rFonts w:ascii="Arial" w:cs="Arial" w:eastAsia="Arial" w:hAnsi="Arial"/>
                <w:b/>
                <w:bCs/>
                <w:i w:val="false"/>
                <w:iCs w:val="false"/>
                <w:caps w:val="false"/>
                <w:color w:val="6b778c"/>
                <w:sz w:val="13"/>
                <w:szCs w:val="13"/>
              </w:rPr>
              <w:t xml:space="preserve">   3. </w:t>
            </w:r>
            <w:hyperlink w:history="1" r:id="rIdc-v7bhp7ya-xrfn1ywrwh">
              <w:r>
                <w:rPr>
                  <w:rFonts w:ascii="Arial" w:cs="Arial" w:eastAsia="Arial" w:hAnsi="Arial"/>
                  <w:b/>
                  <w:bCs/>
                  <w:color w:val="c9a227"/>
                  <w:sz w:val="13"/>
                  <w:szCs w:val="13"/>
                  <w:u w:val="single"/>
                </w:rPr>
                <w:t xml:space="preserve">United Nations. Convention on the Rights of Persons with Disabilities. New York: UN; 2006.</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2.6</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2.6</w:t>
            </w:r>
            <w:r>
              <w:rPr>
                <w:rFonts w:ascii="Arial" w:cs="Arial" w:eastAsia="Arial" w:hAnsi="Arial"/>
                <w:b w:val="false"/>
                <w:bCs w:val="false"/>
                <w:i/>
                <w:iCs/>
                <w:caps w:val="false"/>
                <w:color w:val="8fa8c8"/>
                <w:sz w:val="10"/>
                <w:szCs w:val="10"/>
              </w:rPr>
              <w:t xml:space="preserve">  ·  Level 2  ·  Chapter 2: Patient Rights &amp; Safety</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14</w:t>
            </w:r>
          </w:p>
          <w:p>
            <w:pPr>
              <w:spacing w:after="36" w:before="0"/>
            </w:pPr>
            <w:r>
              <w:rPr>
                <w:rFonts w:ascii="Arial" w:cs="Arial" w:eastAsia="Arial" w:hAnsi="Arial"/>
                <w:b w:val="false"/>
                <w:bCs w:val="false"/>
                <w:i/>
                <w:iCs/>
                <w:caps w:val="false"/>
                <w:color w:val="8fa8c8"/>
                <w:sz w:val="9"/>
                <w:szCs w:val="9"/>
              </w:rPr>
              <w:t xml:space="preserve">ASF-CH2-PRS-v2.0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General patient protections written for an average adult patient often fail groups whose vulnerability is precisely what makes standard processes insufficient — a child who cannot describe abuse, an older adult dependent on a caregiver who may be the source of harm, a patient with a disability who cannot physically access standard facilities. Explicit, named protections close gaps that a generic policy leaves invisible until a specific case exposes them.</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WHO 2013 clinical and policy guidelines — routine, structured screening for intimate partner and sexual violence in health settings substantially increases identification of cases that would otherwise go unrecognised.</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Policy names specific vulnerable groups with specific, tailored protections for each</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Routine screening for abuse or exploitation is built into intake processes where clinically appropriate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Physical facilities are genuinely accessible for patients with disabilities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 clear, known referral pathway exists to external protection services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Staff have received specific training on recognising and responding to vulnerability</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policy distinguishes vulnerable groups from the general patient population</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screening for abuse or exploitation occurs at any point in care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Facilities are physically inaccessible for patients with mobility or sensory disabilities</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Staff would not know who to contact if they suspected abuse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training on vulnerability or safeguarding has ever been provided</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The policy names groups but offers no specific measures.</w:t>
            </w:r>
          </w:p>
          <w:p>
            <w:pPr>
              <w:spacing w:after="20" w:before="0"/>
            </w:pPr>
            <w:r>
              <w:rPr>
                <w:rFonts w:ascii="Arial" w:cs="Arial" w:eastAsia="Arial" w:hAnsi="Arial"/>
                <w:b w:val="false"/>
                <w:bCs w:val="false"/>
                <w:i/>
                <w:iCs/>
                <w:caps w:val="false"/>
                <w:color w:val="4b5563"/>
                <w:sz w:val="15"/>
                <w:szCs w:val="15"/>
              </w:rPr>
              <w:t xml:space="preserve">Children, older adults, and patients with disabilities are listed in a policy document, but no concrete protection or process is attached to any of them.</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Screening happens inconsistently, dependent on individual staff awareness.</w:t>
            </w:r>
          </w:p>
          <w:p>
            <w:pPr>
              <w:spacing w:after="20" w:before="0"/>
            </w:pPr>
            <w:r>
              <w:rPr>
                <w:rFonts w:ascii="Arial" w:cs="Arial" w:eastAsia="Arial" w:hAnsi="Arial"/>
                <w:b w:val="false"/>
                <w:bCs w:val="false"/>
                <w:i/>
                <w:iCs/>
                <w:caps w:val="false"/>
                <w:color w:val="4b5563"/>
                <w:sz w:val="15"/>
                <w:szCs w:val="15"/>
              </w:rPr>
              <w:t xml:space="preserve">Some experienced staff routinely screen for abuse; others, especially newer staff, do not, because the practice was never built into a standard protocol.</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The referral pathway exists on paper but staff don’t know it in practice.</w:t>
            </w:r>
          </w:p>
          <w:p>
            <w:pPr>
              <w:spacing w:after="36" w:before="0"/>
            </w:pPr>
            <w:r>
              <w:rPr>
                <w:rFonts w:ascii="Arial" w:cs="Arial" w:eastAsia="Arial" w:hAnsi="Arial"/>
                <w:b w:val="false"/>
                <w:bCs w:val="false"/>
                <w:i/>
                <w:iCs/>
                <w:caps w:val="false"/>
                <w:color w:val="4b5563"/>
                <w:sz w:val="15"/>
                <w:szCs w:val="15"/>
              </w:rPr>
              <w:t xml:space="preserve">A documented referral process to external protection services exists, but frontline staff, when asked directly, cannot describe how to actually use it.</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Identify the vulnerable patient groups relevant to the facility’s population and draft specific protections for each.</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Introduce or formalise a screening protocol for abuse and exploitation at appropriate intake points.</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Walk through physical facilities and identify accessibility gaps for patients with disabilities.</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Establish and communicate a clear referral pathway to external protection services; train staff on it.</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Refresh safeguarding training periodically; review screening and referral activity for gaps.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Ask about a specific group, not vulnerability in general.  </w:t>
            </w:r>
            <w:r>
              <w:rPr>
                <w:rFonts w:ascii="Arial" w:cs="Arial" w:eastAsia="Arial" w:hAnsi="Arial"/>
                <w:b w:val="false"/>
                <w:bCs w:val="false"/>
                <w:i w:val="false"/>
                <w:iCs w:val="false"/>
                <w:caps w:val="false"/>
                <w:color w:val="374151"/>
                <w:sz w:val="16"/>
                <w:szCs w:val="16"/>
              </w:rPr>
              <w:t xml:space="preserve">A hospital can sound thorough discussing vulnerability abstractly while having no concrete measure for a specific group — press for specifics.</w:t>
            </w:r>
          </w:p>
          <w:p>
            <w:pPr>
              <w:spacing w:after="16" w:before="0"/>
            </w:pPr>
            <w:r>
              <w:rPr>
                <w:rFonts w:ascii="Arial" w:cs="Arial" w:eastAsia="Arial" w:hAnsi="Arial"/>
                <w:b/>
                <w:bCs/>
                <w:i w:val="false"/>
                <w:iCs w:val="false"/>
                <w:caps w:val="false"/>
                <w:color w:val="b91c1c"/>
                <w:sz w:val="15"/>
                <w:szCs w:val="15"/>
              </w:rPr>
              <w:t xml:space="preserve">Walk the building as a wheelchair user would.  </w:t>
            </w:r>
            <w:r>
              <w:rPr>
                <w:rFonts w:ascii="Arial" w:cs="Arial" w:eastAsia="Arial" w:hAnsi="Arial"/>
                <w:b w:val="false"/>
                <w:bCs w:val="false"/>
                <w:i w:val="false"/>
                <w:iCs w:val="false"/>
                <w:caps w:val="false"/>
                <w:color w:val="374151"/>
                <w:sz w:val="16"/>
                <w:szCs w:val="16"/>
              </w:rPr>
              <w:t xml:space="preserve">Direct observation of accessibility catches gaps that a written policy alone would not reveal.</w:t>
            </w:r>
          </w:p>
          <w:p>
            <w:pPr>
              <w:spacing w:after="36" w:before="0"/>
            </w:pPr>
            <w:r>
              <w:rPr>
                <w:rFonts w:ascii="Arial" w:cs="Arial" w:eastAsia="Arial" w:hAnsi="Arial"/>
                <w:b/>
                <w:bCs/>
                <w:i w:val="false"/>
                <w:iCs w:val="false"/>
                <w:caps w:val="false"/>
                <w:color w:val="b91c1c"/>
                <w:sz w:val="15"/>
                <w:szCs w:val="15"/>
              </w:rPr>
              <w:t xml:space="preserve">Test the referral pathway with a hypothetical, not a policy citation.  </w:t>
            </w:r>
            <w:r>
              <w:rPr>
                <w:rFonts w:ascii="Arial" w:cs="Arial" w:eastAsia="Arial" w:hAnsi="Arial"/>
                <w:b w:val="false"/>
                <w:bCs w:val="false"/>
                <w:i w:val="false"/>
                <w:iCs w:val="false"/>
                <w:caps w:val="false"/>
                <w:color w:val="374151"/>
                <w:sz w:val="16"/>
                <w:szCs w:val="16"/>
              </w:rPr>
              <w:t xml:space="preserve">Ask a frontline staff member to walk through exactly what they would do this week if they suspected abuse.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xr7pbdtxp8t5ktefj2ew1">
              <w:r>
                <w:rPr>
                  <w:rFonts w:ascii="Arial" w:cs="Arial" w:eastAsia="Arial" w:hAnsi="Arial"/>
                  <w:b/>
                  <w:bCs/>
                  <w:color w:val="c9a227"/>
                  <w:sz w:val="13"/>
                  <w:szCs w:val="13"/>
                  <w:u w:val="single"/>
                </w:rPr>
                <w:t xml:space="preserve">academy.gmj.ge/ch2-6-vulnerable-patient-protections</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2.7</w:t>
            </w:r>
            <w:r>
              <w:rPr>
                <w:rFonts w:ascii="Arial" w:cs="Arial" w:eastAsia="Arial" w:hAnsi="Arial"/>
                <w:b w:val="false"/>
                <w:bCs w:val="false"/>
                <w:i/>
                <w:iCs/>
                <w:caps w:val="false"/>
                <w:color w:val="8fa8c8"/>
                <w:sz w:val="10"/>
                <w:szCs w:val="10"/>
              </w:rPr>
              <w:t xml:space="preserve">  ·  Level 2  ·  Chapter 2: Patient Rights &amp; Safety</w:t>
            </w:r>
          </w:p>
          <w:p>
            <w:pPr>
              <w:spacing w:after="36" w:before="0"/>
            </w:pPr>
            <w:r>
              <w:rPr>
                <w:rFonts w:ascii="Arial" w:cs="Arial" w:eastAsia="Arial" w:hAnsi="Arial"/>
                <w:b/>
                <w:bCs/>
                <w:i w:val="false"/>
                <w:iCs w:val="false"/>
                <w:caps w:val="false"/>
                <w:color w:val="dce8f5"/>
                <w:sz w:val="12"/>
                <w:szCs w:val="12"/>
              </w:rPr>
              <w:t xml:space="preserve">Advance Directives and End-of-Life Decisions</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15</w:t>
            </w:r>
          </w:p>
          <w:p>
            <w:pPr>
              <w:spacing w:after="36" w:before="0"/>
            </w:pPr>
            <w:r>
              <w:rPr>
                <w:rFonts w:ascii="Arial" w:cs="Arial" w:eastAsia="Arial" w:hAnsi="Arial"/>
                <w:b w:val="false"/>
                <w:bCs w:val="false"/>
                <w:i/>
                <w:iCs/>
                <w:caps w:val="false"/>
                <w:color w:val="8fa8c8"/>
                <w:sz w:val="9"/>
                <w:szCs w:val="9"/>
              </w:rPr>
              <w:t xml:space="preserve">ASF-CH2-PRS-v2.0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2.7</w:t>
            </w:r>
          </w:p>
          <w:p>
            <w:pPr>
              <w:spacing w:after="3" w:before="0"/>
            </w:pPr>
            <w:r>
              <w:rPr>
                <w:rFonts w:ascii="Helvetica" w:cs="Helvetica" w:eastAsia="Helvetica" w:hAnsi="Helvetica"/>
                <w:b/>
                <w:bCs/>
                <w:i w:val="false"/>
                <w:iCs w:val="false"/>
                <w:caps/>
                <w:color w:val="c9a227"/>
                <w:sz w:val="12"/>
                <w:szCs w:val="12"/>
              </w:rPr>
              <w:t xml:space="preserve"/>
            </w:r>
          </w:p>
          <w:p>
            <w:pPr>
              <w:spacing w:after="36" w:before="0"/>
            </w:pPr>
            <w:r>
              <w:rPr>
                <w:rFonts w:ascii="Helvetica" w:cs="Helvetica" w:eastAsia="Helvetica" w:hAnsi="Helvetica"/>
                <w:b w:val="false"/>
                <w:bCs w:val="false"/>
                <w:i w:val="false"/>
                <w:iCs w:val="false"/>
                <w:caps/>
                <w:color w:val="aaaaaa"/>
                <w:sz w:val="10"/>
                <w:szCs w:val="10"/>
              </w:rPr>
              <w:t xml:space="preserve">L2</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Advance Directives and End-of-Life Decisions</w:t>
            </w:r>
          </w:p>
          <w:p>
            <w:pPr>
              <w:spacing w:after="36" w:before="0"/>
            </w:pPr>
            <w:r>
              <w:rPr>
                <w:rFonts w:ascii="Arial" w:cs="Arial" w:eastAsia="Arial" w:hAnsi="Arial"/>
                <w:b w:val="false"/>
                <w:bCs w:val="false"/>
                <w:i w:val="false"/>
                <w:iCs w:val="false"/>
                <w:caps w:val="false"/>
                <w:color w:val="4b5563"/>
                <w:sz w:val="15"/>
                <w:szCs w:val="15"/>
              </w:rPr>
              <w:t xml:space="preserve">The hospital has a documented process for eliciting, recording, and honouring patient advance directives and end-of-life care preferences, consistent with national law.</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written policy on advance directives and end-of-life decision-making, consistent with national law?</w:t>
            </w:r>
          </w:p>
          <w:p>
            <w:pPr>
              <w:spacing w:after="7" w:before="0"/>
            </w:pPr>
            <w:r>
              <w:rPr>
                <w:rFonts w:ascii="Arial" w:cs="Arial" w:eastAsia="Arial" w:hAnsi="Arial"/>
                <w:b w:val="false"/>
                <w:bCs w:val="false"/>
                <w:i/>
                <w:iCs/>
                <w:caps w:val="false"/>
                <w:color w:val="4b5563"/>
                <w:sz w:val="15"/>
                <w:szCs w:val="15"/>
              </w:rPr>
              <w:t xml:space="preserve">Check the policy references applicable national legislation.</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Advance directives / end-of-life policy</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patients with serious or terminal illness asked about their care preferences, including resuscitation status, in a documented and timely way?</w:t>
            </w:r>
          </w:p>
          <w:p>
            <w:pPr>
              <w:spacing w:after="7" w:before="0"/>
            </w:pPr>
            <w:r>
              <w:rPr>
                <w:rFonts w:ascii="Arial" w:cs="Arial" w:eastAsia="Arial" w:hAnsi="Arial"/>
                <w:b w:val="false"/>
                <w:bCs w:val="false"/>
                <w:i/>
                <w:iCs/>
                <w:caps w:val="false"/>
                <w:color w:val="4b5563"/>
                <w:sz w:val="15"/>
                <w:szCs w:val="15"/>
              </w:rPr>
              <w:t xml:space="preserve">Check patient records for documented discussions.</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Documented preference discussions (sample)</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advance directives, once recorded, readily visible to the care team?</w:t>
            </w:r>
          </w:p>
          <w:p>
            <w:pPr>
              <w:spacing w:after="36" w:before="0"/>
            </w:pPr>
            <w:r>
              <w:rPr>
                <w:rFonts w:ascii="Arial" w:cs="Arial" w:eastAsia="Arial" w:hAnsi="Arial"/>
                <w:b w:val="false"/>
                <w:bCs w:val="false"/>
                <w:i/>
                <w:iCs/>
                <w:caps w:val="false"/>
                <w:color w:val="4b5563"/>
                <w:sz w:val="15"/>
                <w:szCs w:val="15"/>
              </w:rPr>
              <w:t xml:space="preserve">Check how directives are flagged and accessed.</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access to palliative or comfort-focused care for patients who choose it?</w:t>
            </w:r>
          </w:p>
          <w:p>
            <w:pPr>
              <w:spacing w:after="36" w:before="0"/>
            </w:pPr>
            <w:r>
              <w:rPr>
                <w:rFonts w:ascii="Arial" w:cs="Arial" w:eastAsia="Arial" w:hAnsi="Arial"/>
                <w:b w:val="false"/>
                <w:bCs w:val="false"/>
                <w:i/>
                <w:iCs/>
                <w:caps w:val="false"/>
                <w:color w:val="4b5563"/>
                <w:sz w:val="15"/>
                <w:szCs w:val="15"/>
              </w:rPr>
              <w:t xml:space="preserve">Ask what options exist on-site or by referral.</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family members involved appropriately, respecting the patient’s own wishes about who is consulted?</w:t>
            </w:r>
          </w:p>
          <w:p>
            <w:pPr>
              <w:spacing w:after="36" w:before="0"/>
            </w:pPr>
            <w:r>
              <w:rPr>
                <w:rFonts w:ascii="Arial" w:cs="Arial" w:eastAsia="Arial" w:hAnsi="Arial"/>
                <w:b w:val="false"/>
                <w:bCs w:val="false"/>
                <w:i/>
                <w:iCs/>
                <w:caps w:val="false"/>
                <w:color w:val="4b5563"/>
                <w:sz w:val="15"/>
                <w:szCs w:val="15"/>
              </w:rPr>
              <w:t xml:space="preserve">Ask how the hospital balances patient autonomy and family involvement.</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0"/>
        <w:gridCol w:w="434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Policy and legal consistency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advance directives policy against applicable national legislation.</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Documented preference discussion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a sample of records for seriously ill patients to check preference discussions were documented and timely.</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1fae5"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5803d"/>
                <w:sz w:val="13"/>
                <w:szCs w:val="13"/>
              </w:rPr>
              <w:t xml:space="preserve">OBSERVE</w:t>
            </w:r>
          </w:p>
          <w:p>
            <w:pPr>
              <w:spacing w:after="36" w:before="0"/>
            </w:pPr>
            <w:r>
              <w:rPr>
                <w:rFonts w:ascii="Arial" w:cs="Arial" w:eastAsia="Arial" w:hAnsi="Arial"/>
                <w:b/>
                <w:bCs/>
                <w:i w:val="false"/>
                <w:iCs w:val="false"/>
                <w:caps w:val="false"/>
                <w:color w:val="15803d"/>
                <w:sz w:val="14"/>
                <w:szCs w:val="14"/>
              </w:rPr>
              <w:t xml:space="preserve">Directive visibility check</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Checks how a recorded advance directive is flagged and made visible to the treating team.</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Palliative access question</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Asks what palliative or comfort-focused care options are available on-site or by referral.</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f0pp1zq0oagwqowhwzgm9">
              <w:r>
                <w:rPr>
                  <w:rFonts w:ascii="Arial" w:cs="Arial" w:eastAsia="Arial" w:hAnsi="Arial"/>
                  <w:b/>
                  <w:bCs/>
                  <w:color w:val="c9a227"/>
                  <w:sz w:val="13"/>
                  <w:szCs w:val="13"/>
                  <w:u w:val="single"/>
                </w:rPr>
                <w:t xml:space="preserve">World Health Organization. WHO definition and guidance on palliative care. Geneva: WHO; 2020.</w:t>
              </w:r>
            </w:hyperlink>
            <w:r>
              <w:rPr>
                <w:rFonts w:ascii="Arial" w:cs="Arial" w:eastAsia="Arial" w:hAnsi="Arial"/>
                <w:b/>
                <w:bCs/>
                <w:i w:val="false"/>
                <w:iCs w:val="false"/>
                <w:caps w:val="false"/>
                <w:color w:val="6b778c"/>
                <w:sz w:val="13"/>
                <w:szCs w:val="13"/>
              </w:rPr>
              <w:t xml:space="preserve">   2. </w:t>
            </w:r>
            <w:hyperlink w:history="1" r:id="rIdcresqvqmzvcpttdtoulk0">
              <w:r>
                <w:rPr>
                  <w:rFonts w:ascii="Arial" w:cs="Arial" w:eastAsia="Arial" w:hAnsi="Arial"/>
                  <w:b/>
                  <w:bCs/>
                  <w:color w:val="c9a227"/>
                  <w:sz w:val="13"/>
                  <w:szCs w:val="13"/>
                  <w:u w:val="single"/>
                </w:rPr>
                <w:t xml:space="preserve">Council of Europe. Guide on the decision-making process regarding medical treatment in end-of-life situations. Strasbourg: Council of Europe; 2014.</w:t>
              </w:r>
            </w:hyperlink>
            <w:r>
              <w:rPr>
                <w:rFonts w:ascii="Arial" w:cs="Arial" w:eastAsia="Arial" w:hAnsi="Arial"/>
                <w:b/>
                <w:bCs/>
                <w:i w:val="false"/>
                <w:iCs w:val="false"/>
                <w:caps w:val="false"/>
                <w:color w:val="6b778c"/>
                <w:sz w:val="13"/>
                <w:szCs w:val="13"/>
              </w:rPr>
              <w:t xml:space="preserve">   3. </w:t>
            </w:r>
            <w:hyperlink w:history="1" r:id="rIdxfhyiidjo8wjtvyqnoihz">
              <w:r>
                <w:rPr>
                  <w:rFonts w:ascii="Arial" w:cs="Arial" w:eastAsia="Arial" w:hAnsi="Arial"/>
                  <w:b/>
                  <w:bCs/>
                  <w:color w:val="c9a227"/>
                  <w:sz w:val="13"/>
                  <w:szCs w:val="13"/>
                  <w:u w:val="single"/>
                </w:rPr>
                <w:t xml:space="preserve">Sudore RL, Lum HD, You JJ, et al. Defining advance care planning for adults: a consensus definition. J Pain Symptom Manage. 2017;53(5):821-832.</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2.7</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2.7</w:t>
            </w:r>
            <w:r>
              <w:rPr>
                <w:rFonts w:ascii="Arial" w:cs="Arial" w:eastAsia="Arial" w:hAnsi="Arial"/>
                <w:b w:val="false"/>
                <w:bCs w:val="false"/>
                <w:i/>
                <w:iCs/>
                <w:caps w:val="false"/>
                <w:color w:val="8fa8c8"/>
                <w:sz w:val="10"/>
                <w:szCs w:val="10"/>
              </w:rPr>
              <w:t xml:space="preserve">  ·  Level 2  ·  Chapter 2: Patient Rights &amp; Safety</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16</w:t>
            </w:r>
          </w:p>
          <w:p>
            <w:pPr>
              <w:spacing w:after="36" w:before="0"/>
            </w:pPr>
            <w:r>
              <w:rPr>
                <w:rFonts w:ascii="Arial" w:cs="Arial" w:eastAsia="Arial" w:hAnsi="Arial"/>
                <w:b w:val="false"/>
                <w:bCs w:val="false"/>
                <w:i/>
                <w:iCs/>
                <w:caps w:val="false"/>
                <w:color w:val="8fa8c8"/>
                <w:sz w:val="9"/>
                <w:szCs w:val="9"/>
              </w:rPr>
              <w:t xml:space="preserve">ASF-CH2-PRS-v2.0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Without a structured process, decisions about resuscitation, life-sustaining treatment, and comfort care at the end of life default to whoever happens to be in the room at a moment of crisis, rather than reflecting what the patient actually wanted. Recording preferences earlier, while a patient can still express them clearly, protects both patient autonomy and the clinical team from having to guess under pressure.</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Sudore et al. 2017 — structured advance care planning is consistently associated with care that better matches patients’ actual wishes and reduces decisional burden on families during crises.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Advance directives policy is consistent with and references applicable national law</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Seriously ill patients are asked about care preferences in a timely, documented way</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Recorded directives are clearly flagged and visible to the whole care team</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Palliative or comfort-focused care is genuinely accessible, on-site or by referral</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Family involvement respects the patient’s own stated wishes about who is consulted</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policy exists on advance directives or end-of-life decision-making</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Resuscitation status and care preferences are never discussed until a crisis forces it</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Recorded directives are filed but not visible to staff actually providing care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palliative care option exists, on-site or by referral</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Family wishes routinely override the patient’s own previously stated preferences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Preferences are discussed but recorded inconsistently.</w:t>
            </w:r>
          </w:p>
          <w:p>
            <w:pPr>
              <w:spacing w:after="20" w:before="0"/>
            </w:pPr>
            <w:r>
              <w:rPr>
                <w:rFonts w:ascii="Arial" w:cs="Arial" w:eastAsia="Arial" w:hAnsi="Arial"/>
                <w:b w:val="false"/>
                <w:bCs w:val="false"/>
                <w:i/>
                <w:iCs/>
                <w:caps w:val="false"/>
                <w:color w:val="4b5563"/>
                <w:sz w:val="15"/>
                <w:szCs w:val="15"/>
              </w:rPr>
              <w:t xml:space="preserve">Conversations about care preferences happen, but documentation is patchy, so the information may not be available when it is actually needed.</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Directives are recorded but not visible to the team providing care.</w:t>
            </w:r>
          </w:p>
          <w:p>
            <w:pPr>
              <w:spacing w:after="20" w:before="0"/>
            </w:pPr>
            <w:r>
              <w:rPr>
                <w:rFonts w:ascii="Arial" w:cs="Arial" w:eastAsia="Arial" w:hAnsi="Arial"/>
                <w:b w:val="false"/>
                <w:bCs w:val="false"/>
                <w:i/>
                <w:iCs/>
                <w:caps w:val="false"/>
                <w:color w:val="4b5563"/>
                <w:sz w:val="15"/>
                <w:szCs w:val="15"/>
              </w:rPr>
              <w:t xml:space="preserve">A directive exists in the chart, but there is no reliable flag or process to ensure the treating team actually sees it before a critical decision.</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Palliative care exists in name but is rarely actually offered.</w:t>
            </w:r>
          </w:p>
          <w:p>
            <w:pPr>
              <w:spacing w:after="36" w:before="0"/>
            </w:pPr>
            <w:r>
              <w:rPr>
                <w:rFonts w:ascii="Arial" w:cs="Arial" w:eastAsia="Arial" w:hAnsi="Arial"/>
                <w:b w:val="false"/>
                <w:bCs w:val="false"/>
                <w:i/>
                <w:iCs/>
                <w:caps w:val="false"/>
                <w:color w:val="4b5563"/>
                <w:sz w:val="15"/>
                <w:szCs w:val="15"/>
              </w:rPr>
              <w:t xml:space="preserve">A referral pathway to palliative care technically exists, but in practice it is rarely used because staff are unfamiliar with when or how to invoke it.</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Confirm or draft the advance directives policy, checked against applicable national law.</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Introduce a standard point in care to raise and document preferences for seriously ill patients.</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Establish a clear, visible way to flag recorded directives in the patient record.</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Confirm or establish a working palliative care referral pathway and brief staff on it.</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Audit a sample of records for seriously ill patients to check preferences were discussed and documented.</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Check whether the directive is actually visible at the point of decision.  </w:t>
            </w:r>
            <w:r>
              <w:rPr>
                <w:rFonts w:ascii="Arial" w:cs="Arial" w:eastAsia="Arial" w:hAnsi="Arial"/>
                <w:b w:val="false"/>
                <w:bCs w:val="false"/>
                <w:i w:val="false"/>
                <w:iCs w:val="false"/>
                <w:caps w:val="false"/>
                <w:color w:val="374151"/>
                <w:sz w:val="16"/>
                <w:szCs w:val="16"/>
              </w:rPr>
              <w:t xml:space="preserve">A recorded preference buried in an unreferenced section of the chart offers no real protection during a crisis.</w:t>
            </w:r>
          </w:p>
          <w:p>
            <w:pPr>
              <w:spacing w:after="16" w:before="0"/>
            </w:pPr>
            <w:r>
              <w:rPr>
                <w:rFonts w:ascii="Arial" w:cs="Arial" w:eastAsia="Arial" w:hAnsi="Arial"/>
                <w:b/>
                <w:bCs/>
                <w:i w:val="false"/>
                <w:iCs w:val="false"/>
                <w:caps w:val="false"/>
                <w:color w:val="b91c1c"/>
                <w:sz w:val="15"/>
                <w:szCs w:val="15"/>
              </w:rPr>
              <w:t xml:space="preserve">Ask about a specific recent case, if appropriate and available.  </w:t>
            </w:r>
            <w:r>
              <w:rPr>
                <w:rFonts w:ascii="Arial" w:cs="Arial" w:eastAsia="Arial" w:hAnsi="Arial"/>
                <w:b w:val="false"/>
                <w:bCs w:val="false"/>
                <w:i w:val="false"/>
                <w:iCs w:val="false"/>
                <w:caps w:val="false"/>
                <w:color w:val="374151"/>
                <w:sz w:val="16"/>
                <w:szCs w:val="16"/>
              </w:rPr>
              <w:t xml:space="preserve">Walking through how one real situation was handled reveals far more than a policy description.</w:t>
            </w:r>
          </w:p>
          <w:p>
            <w:pPr>
              <w:spacing w:after="36" w:before="0"/>
            </w:pPr>
            <w:r>
              <w:rPr>
                <w:rFonts w:ascii="Arial" w:cs="Arial" w:eastAsia="Arial" w:hAnsi="Arial"/>
                <w:b/>
                <w:bCs/>
                <w:i w:val="false"/>
                <w:iCs w:val="false"/>
                <w:caps w:val="false"/>
                <w:color w:val="b91c1c"/>
                <w:sz w:val="15"/>
                <w:szCs w:val="15"/>
              </w:rPr>
              <w:t xml:space="preserve">Ask how disagreement between patient and family wishes is handled.  </w:t>
            </w:r>
            <w:r>
              <w:rPr>
                <w:rFonts w:ascii="Arial" w:cs="Arial" w:eastAsia="Arial" w:hAnsi="Arial"/>
                <w:b w:val="false"/>
                <w:bCs w:val="false"/>
                <w:i w:val="false"/>
                <w:iCs w:val="false"/>
                <w:caps w:val="false"/>
                <w:color w:val="374151"/>
                <w:sz w:val="16"/>
                <w:szCs w:val="16"/>
              </w:rPr>
              <w:t xml:space="preserve">This is where end-of-life processes most often break down in practice.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krjr9quainzmzote2nlay">
              <w:r>
                <w:rPr>
                  <w:rFonts w:ascii="Arial" w:cs="Arial" w:eastAsia="Arial" w:hAnsi="Arial"/>
                  <w:b/>
                  <w:bCs/>
                  <w:color w:val="c9a227"/>
                  <w:sz w:val="13"/>
                  <w:szCs w:val="13"/>
                  <w:u w:val="single"/>
                </w:rPr>
                <w:t xml:space="preserve">academy.gmj.ge/ch2-7-advance-directives-end-of-life</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2.8</w:t>
            </w:r>
            <w:r>
              <w:rPr>
                <w:rFonts w:ascii="Arial" w:cs="Arial" w:eastAsia="Arial" w:hAnsi="Arial"/>
                <w:b w:val="false"/>
                <w:bCs w:val="false"/>
                <w:i/>
                <w:iCs/>
                <w:caps w:val="false"/>
                <w:color w:val="8fa8c8"/>
                <w:sz w:val="10"/>
                <w:szCs w:val="10"/>
              </w:rPr>
              <w:t xml:space="preserve">  ·  Level 2  ·  Chapter 2: Patient Rights &amp; Safety</w:t>
            </w:r>
          </w:p>
          <w:p>
            <w:pPr>
              <w:spacing w:after="36" w:before="0"/>
            </w:pPr>
            <w:r>
              <w:rPr>
                <w:rFonts w:ascii="Arial" w:cs="Arial" w:eastAsia="Arial" w:hAnsi="Arial"/>
                <w:b/>
                <w:bCs/>
                <w:i w:val="false"/>
                <w:iCs w:val="false"/>
                <w:caps w:val="false"/>
                <w:color w:val="dce8f5"/>
                <w:sz w:val="12"/>
                <w:szCs w:val="12"/>
              </w:rPr>
              <w:t xml:space="preserve">Interpreter and Language Access Services</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17</w:t>
            </w:r>
          </w:p>
          <w:p>
            <w:pPr>
              <w:spacing w:after="36" w:before="0"/>
            </w:pPr>
            <w:r>
              <w:rPr>
                <w:rFonts w:ascii="Arial" w:cs="Arial" w:eastAsia="Arial" w:hAnsi="Arial"/>
                <w:b w:val="false"/>
                <w:bCs w:val="false"/>
                <w:i/>
                <w:iCs/>
                <w:caps w:val="false"/>
                <w:color w:val="8fa8c8"/>
                <w:sz w:val="9"/>
                <w:szCs w:val="9"/>
              </w:rPr>
              <w:t xml:space="preserve">ASF-CH2-PRS-v2.0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2.8</w:t>
            </w:r>
          </w:p>
          <w:p>
            <w:pPr>
              <w:spacing w:after="3" w:before="0"/>
            </w:pPr>
            <w:r>
              <w:rPr>
                <w:rFonts w:ascii="Helvetica" w:cs="Helvetica" w:eastAsia="Helvetica" w:hAnsi="Helvetica"/>
                <w:b/>
                <w:bCs/>
                <w:i w:val="false"/>
                <w:iCs w:val="false"/>
                <w:caps/>
                <w:color w:val="c9a227"/>
                <w:sz w:val="12"/>
                <w:szCs w:val="12"/>
              </w:rPr>
              <w:t xml:space="preserve"/>
            </w:r>
          </w:p>
          <w:p>
            <w:pPr>
              <w:spacing w:after="36" w:before="0"/>
            </w:pPr>
            <w:r>
              <w:rPr>
                <w:rFonts w:ascii="Helvetica" w:cs="Helvetica" w:eastAsia="Helvetica" w:hAnsi="Helvetica"/>
                <w:b w:val="false"/>
                <w:bCs w:val="false"/>
                <w:i w:val="false"/>
                <w:iCs w:val="false"/>
                <w:caps/>
                <w:color w:val="aaaaaa"/>
                <w:sz w:val="10"/>
                <w:szCs w:val="10"/>
              </w:rPr>
              <w:t xml:space="preserve">L2</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Interpreter and Language Access Services</w:t>
            </w:r>
          </w:p>
          <w:p>
            <w:pPr>
              <w:spacing w:after="36" w:before="0"/>
            </w:pPr>
            <w:r>
              <w:rPr>
                <w:rFonts w:ascii="Arial" w:cs="Arial" w:eastAsia="Arial" w:hAnsi="Arial"/>
                <w:b w:val="false"/>
                <w:bCs w:val="false"/>
                <w:i w:val="false"/>
                <w:iCs w:val="false"/>
                <w:caps w:val="false"/>
                <w:color w:val="4b5563"/>
                <w:sz w:val="15"/>
                <w:szCs w:val="15"/>
              </w:rPr>
              <w:t xml:space="preserve">The hospital provides qualified interpretation for patients who do not speak the primary language of care, rather than relying on untrained staff or family members for clinical communication.</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documented process for accessing qualified interpretation, whether in-person, phone, or video?</w:t>
            </w:r>
          </w:p>
          <w:p>
            <w:pPr>
              <w:spacing w:after="7" w:before="0"/>
            </w:pPr>
            <w:r>
              <w:rPr>
                <w:rFonts w:ascii="Arial" w:cs="Arial" w:eastAsia="Arial" w:hAnsi="Arial"/>
                <w:b w:val="false"/>
                <w:bCs w:val="false"/>
                <w:i/>
                <w:iCs/>
                <w:caps w:val="false"/>
                <w:color w:val="4b5563"/>
                <w:sz w:val="15"/>
                <w:szCs w:val="15"/>
              </w:rPr>
              <w:t xml:space="preserve">Check the actual mechanism, not just an aspirational statement.</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Interpreter access policy / contract</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interpreters used for clinically significant conversations, such as consent, diagnosis, and discharge instructions, rather than family members?</w:t>
            </w:r>
          </w:p>
          <w:p>
            <w:pPr>
              <w:spacing w:after="36" w:before="0"/>
            </w:pPr>
            <w:r>
              <w:rPr>
                <w:rFonts w:ascii="Arial" w:cs="Arial" w:eastAsia="Arial" w:hAnsi="Arial"/>
                <w:b w:val="false"/>
                <w:bCs w:val="false"/>
                <w:i/>
                <w:iCs/>
                <w:caps w:val="false"/>
                <w:color w:val="4b5563"/>
                <w:sz w:val="15"/>
                <w:szCs w:val="15"/>
              </w:rPr>
              <w:t xml:space="preserve">Check practice against policy for a sample of cases.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Do staff know how to access interpretation quickly, including outside normal hours?</w:t>
            </w:r>
          </w:p>
          <w:p>
            <w:pPr>
              <w:spacing w:after="36" w:before="0"/>
            </w:pPr>
            <w:r>
              <w:rPr>
                <w:rFonts w:ascii="Arial" w:cs="Arial" w:eastAsia="Arial" w:hAnsi="Arial"/>
                <w:b w:val="false"/>
                <w:bCs w:val="false"/>
                <w:i/>
                <w:iCs/>
                <w:caps w:val="false"/>
                <w:color w:val="4b5563"/>
                <w:sz w:val="15"/>
                <w:szCs w:val="15"/>
              </w:rPr>
              <w:t xml:space="preserve">Interview staff about the actual process.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 use of interpretation, or its absence, documented in the patient record for relevant encounters?</w:t>
            </w:r>
          </w:p>
          <w:p>
            <w:pPr>
              <w:spacing w:after="7" w:before="0"/>
            </w:pPr>
            <w:r>
              <w:rPr>
                <w:rFonts w:ascii="Arial" w:cs="Arial" w:eastAsia="Arial" w:hAnsi="Arial"/>
                <w:b w:val="false"/>
                <w:bCs w:val="false"/>
                <w:i/>
                <w:iCs/>
                <w:caps w:val="false"/>
                <w:color w:val="4b5563"/>
                <w:sz w:val="15"/>
                <w:szCs w:val="15"/>
              </w:rPr>
              <w:t xml:space="preserve">Spot-check records of non-native-language patients.</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Documentation sample</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family members, especially minors, actively discouraged from interpreting for significant clinical decisions?</w:t>
            </w:r>
          </w:p>
          <w:p>
            <w:pPr>
              <w:spacing w:after="36" w:before="0"/>
            </w:pPr>
            <w:r>
              <w:rPr>
                <w:rFonts w:ascii="Arial" w:cs="Arial" w:eastAsia="Arial" w:hAnsi="Arial"/>
                <w:b w:val="false"/>
                <w:bCs w:val="false"/>
                <w:i/>
                <w:iCs/>
                <w:caps w:val="false"/>
                <w:color w:val="4b5563"/>
                <w:sz w:val="15"/>
                <w:szCs w:val="15"/>
              </w:rPr>
              <w:t xml:space="preserve">Ask about the hospital’s stated position on this.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0"/>
        <w:gridCol w:w="434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Interpreter access mechanism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actual, practical mechanism for accessing interpretation, not just a policy statement.</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Staff access knowledge check</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Asks a frontline staff member how they would access interpretation right now, including out of hours.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Documentation sample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Checks patient records for documentation of interpreter use in relevant encounters.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1fae5"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5803d"/>
                <w:sz w:val="13"/>
                <w:szCs w:val="13"/>
              </w:rPr>
              <w:t xml:space="preserve">OBSERVE</w:t>
            </w:r>
          </w:p>
          <w:p>
            <w:pPr>
              <w:spacing w:after="36" w:before="0"/>
            </w:pPr>
            <w:r>
              <w:rPr>
                <w:rFonts w:ascii="Arial" w:cs="Arial" w:eastAsia="Arial" w:hAnsi="Arial"/>
                <w:b/>
                <w:bCs/>
                <w:i w:val="false"/>
                <w:iCs w:val="false"/>
                <w:caps w:val="false"/>
                <w:color w:val="15803d"/>
                <w:sz w:val="14"/>
                <w:szCs w:val="14"/>
              </w:rPr>
              <w:t xml:space="preserve">Family/child interpreting check</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Looks for evidence of the hospital’s actual practice regarding family members, particularly children, interpreting for significant decisions.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cjgtch2qp_w5uedefeoq7">
              <w:r>
                <w:rPr>
                  <w:rFonts w:ascii="Arial" w:cs="Arial" w:eastAsia="Arial" w:hAnsi="Arial"/>
                  <w:b/>
                  <w:bCs/>
                  <w:color w:val="c9a227"/>
                  <w:sz w:val="13"/>
                  <w:szCs w:val="13"/>
                  <w:u w:val="single"/>
                </w:rPr>
                <w:t xml:space="preserve">World Health Organization. WHO framework on integrated people-centred health services. Geneva: WHO; 2016.</w:t>
              </w:r>
            </w:hyperlink>
            <w:r>
              <w:rPr>
                <w:rFonts w:ascii="Arial" w:cs="Arial" w:eastAsia="Arial" w:hAnsi="Arial"/>
                <w:b/>
                <w:bCs/>
                <w:i w:val="false"/>
                <w:iCs w:val="false"/>
                <w:caps w:val="false"/>
                <w:color w:val="6b778c"/>
                <w:sz w:val="13"/>
                <w:szCs w:val="13"/>
              </w:rPr>
              <w:t xml:space="preserve">   2. </w:t>
            </w:r>
            <w:hyperlink w:history="1" r:id="rIde5n_m1pe8wz418v9vvoa4">
              <w:r>
                <w:rPr>
                  <w:rFonts w:ascii="Arial" w:cs="Arial" w:eastAsia="Arial" w:hAnsi="Arial"/>
                  <w:b/>
                  <w:bCs/>
                  <w:color w:val="c9a227"/>
                  <w:sz w:val="13"/>
                  <w:szCs w:val="13"/>
                  <w:u w:val="single"/>
                </w:rPr>
                <w:t xml:space="preserve">Flores G. The impact of medical interpreter services on the quality of health care: a systematic review. Med Care Res Rev. 2005;62(3):255-299.</w:t>
              </w:r>
            </w:hyperlink>
            <w:r>
              <w:rPr>
                <w:rFonts w:ascii="Arial" w:cs="Arial" w:eastAsia="Arial" w:hAnsi="Arial"/>
                <w:b/>
                <w:bCs/>
                <w:i w:val="false"/>
                <w:iCs w:val="false"/>
                <w:caps w:val="false"/>
                <w:color w:val="6b778c"/>
                <w:sz w:val="13"/>
                <w:szCs w:val="13"/>
              </w:rPr>
              <w:t xml:space="preserve">   3. </w:t>
            </w:r>
            <w:hyperlink w:history="1" r:id="rIdqe9mr1yvs3n4-k7grpouk">
              <w:r>
                <w:rPr>
                  <w:rFonts w:ascii="Arial" w:cs="Arial" w:eastAsia="Arial" w:hAnsi="Arial"/>
                  <w:b/>
                  <w:bCs/>
                  <w:color w:val="c9a227"/>
                  <w:sz w:val="13"/>
                  <w:szCs w:val="13"/>
                  <w:u w:val="single"/>
                </w:rPr>
                <w:t xml:space="preserve">Karliner LS, Jacobs EA, Chen AH, Mutha S. Do professional interpreters improve clinical care for patients with limited English proficiency? Health Serv Res. 2007;42(2):727-754.</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2.8</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2.8</w:t>
            </w:r>
            <w:r>
              <w:rPr>
                <w:rFonts w:ascii="Arial" w:cs="Arial" w:eastAsia="Arial" w:hAnsi="Arial"/>
                <w:b w:val="false"/>
                <w:bCs w:val="false"/>
                <w:i/>
                <w:iCs/>
                <w:caps w:val="false"/>
                <w:color w:val="8fa8c8"/>
                <w:sz w:val="10"/>
                <w:szCs w:val="10"/>
              </w:rPr>
              <w:t xml:space="preserve">  ·  Level 2  ·  Chapter 2: Patient Rights &amp; Safety</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18</w:t>
            </w:r>
          </w:p>
          <w:p>
            <w:pPr>
              <w:spacing w:after="36" w:before="0"/>
            </w:pPr>
            <w:r>
              <w:rPr>
                <w:rFonts w:ascii="Arial" w:cs="Arial" w:eastAsia="Arial" w:hAnsi="Arial"/>
                <w:b w:val="false"/>
                <w:bCs w:val="false"/>
                <w:i/>
                <w:iCs/>
                <w:caps w:val="false"/>
                <w:color w:val="8fa8c8"/>
                <w:sz w:val="9"/>
                <w:szCs w:val="9"/>
              </w:rPr>
              <w:t xml:space="preserve">ASF-CH2-PRS-v2.0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A family member, especially a child, asked to interpret a serious diagnosis or a consent conversation carries an emotional burden they should not bear, and clinically significant nuance is often lost or deliberately softened in informal interpretation. Qualified interpretation is what makes informed consent, accurate history-taking, and safe discharge instructions actually possible for anyone who does not share the primary language of care.</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Karliner et al. 2007 — professional interpreter use is associated with fewer communication errors and improved clinical outcomes compared with ad hoc interpretation by untrained staff or family members.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 working mechanism exists to access qualified interpretation, including out of hours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Interpreters, not family members, are used for consent, diagnosis, and discharge conversations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Staff know how to access interpretation quickly and use it in practice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Use of interpretation is documented in the patient record for relevant encounters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Children are explicitly discouraged from interpreting for significant clinical decisions</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defined mechanism exists to access interpretation</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Family members, including children, routinely interpret clinical conversations</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Staff are unsure how to access interpretation, or it is impractical to use in practice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documentation exists of whether interpretation was used</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hospital position exists discouraging children from interpreting significant decisions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Interpretation exists on paper but is rarely used in practice.</w:t>
            </w:r>
          </w:p>
          <w:p>
            <w:pPr>
              <w:spacing w:after="20" w:before="0"/>
            </w:pPr>
            <w:r>
              <w:rPr>
                <w:rFonts w:ascii="Arial" w:cs="Arial" w:eastAsia="Arial" w:hAnsi="Arial"/>
                <w:b w:val="false"/>
                <w:bCs w:val="false"/>
                <w:i/>
                <w:iCs/>
                <w:caps w:val="false"/>
                <w:color w:val="4b5563"/>
                <w:sz w:val="15"/>
                <w:szCs w:val="15"/>
              </w:rPr>
              <w:t xml:space="preserve">A phone interpretation service is contracted, but staff find it slow or cumbersome and default to a family member instead.</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Interpretation is used for major procedures but skipped for routine but significant conversations.</w:t>
            </w:r>
          </w:p>
          <w:p>
            <w:pPr>
              <w:spacing w:after="20" w:before="0"/>
            </w:pPr>
            <w:r>
              <w:rPr>
                <w:rFonts w:ascii="Arial" w:cs="Arial" w:eastAsia="Arial" w:hAnsi="Arial"/>
                <w:b w:val="false"/>
                <w:bCs w:val="false"/>
                <w:i/>
                <w:iCs/>
                <w:caps w:val="false"/>
                <w:color w:val="4b5563"/>
                <w:sz w:val="15"/>
                <w:szCs w:val="15"/>
              </w:rPr>
              <w:t xml:space="preserve">Surgical consent reliably involves an interpreter, but discharge instructions and medication counselling often do not.</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The policy discourages child interpreters, but practice hasn’t caught up.</w:t>
            </w:r>
          </w:p>
          <w:p>
            <w:pPr>
              <w:spacing w:after="36" w:before="0"/>
            </w:pPr>
            <w:r>
              <w:rPr>
                <w:rFonts w:ascii="Arial" w:cs="Arial" w:eastAsia="Arial" w:hAnsi="Arial"/>
                <w:b w:val="false"/>
                <w:bCs w:val="false"/>
                <w:i/>
                <w:iCs/>
                <w:caps w:val="false"/>
                <w:color w:val="4b5563"/>
                <w:sz w:val="15"/>
                <w:szCs w:val="15"/>
              </w:rPr>
              <w:t xml:space="preserve">A written position exists, but in a busy department it is still common for a child accompanying a parent to be asked to translate.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Confirm or establish a practical interpretation access mechanism.</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Brief staff on how to access interpretation quickly, including out-of-hours procedures.</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Set a documentation standard for recording interpreter use in relevant clinical encounters.</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Communicate a clear position discouraging family and child interpreting for significant decisions, and reinforce it in training.</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Audit a sample of relevant encounters for interpreter use and documentation; refine access barriers as they surface.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Ask a staff member to demonstrate accessing interpretation right now.  </w:t>
            </w:r>
            <w:r>
              <w:rPr>
                <w:rFonts w:ascii="Arial" w:cs="Arial" w:eastAsia="Arial" w:hAnsi="Arial"/>
                <w:b w:val="false"/>
                <w:bCs w:val="false"/>
                <w:i w:val="false"/>
                <w:iCs w:val="false"/>
                <w:caps w:val="false"/>
                <w:color w:val="374151"/>
                <w:sz w:val="16"/>
                <w:szCs w:val="16"/>
              </w:rPr>
              <w:t xml:space="preserve">Watching the actual steps reveals whether the mechanism is fast and usable, or theoretical and rarely touched.</w:t>
            </w:r>
          </w:p>
          <w:p>
            <w:pPr>
              <w:spacing w:after="16" w:before="0"/>
            </w:pPr>
            <w:r>
              <w:rPr>
                <w:rFonts w:ascii="Arial" w:cs="Arial" w:eastAsia="Arial" w:hAnsi="Arial"/>
                <w:b/>
                <w:bCs/>
                <w:i w:val="false"/>
                <w:iCs w:val="false"/>
                <w:caps w:val="false"/>
                <w:color w:val="b91c1c"/>
                <w:sz w:val="15"/>
                <w:szCs w:val="15"/>
              </w:rPr>
              <w:t xml:space="preserve">Check discharge instructions, not only consent.  </w:t>
            </w:r>
            <w:r>
              <w:rPr>
                <w:rFonts w:ascii="Arial" w:cs="Arial" w:eastAsia="Arial" w:hAnsi="Arial"/>
                <w:b w:val="false"/>
                <w:bCs w:val="false"/>
                <w:i w:val="false"/>
                <w:iCs w:val="false"/>
                <w:caps w:val="false"/>
                <w:color w:val="374151"/>
                <w:sz w:val="16"/>
                <w:szCs w:val="16"/>
              </w:rPr>
              <w:t xml:space="preserve">Interpretation is often reserved for the most obviously high-stakes moment while equally consequential conversations are overlooked.</w:t>
            </w:r>
          </w:p>
          <w:p>
            <w:pPr>
              <w:spacing w:after="36" w:before="0"/>
            </w:pPr>
            <w:r>
              <w:rPr>
                <w:rFonts w:ascii="Arial" w:cs="Arial" w:eastAsia="Arial" w:hAnsi="Arial"/>
                <w:b/>
                <w:bCs/>
                <w:i w:val="false"/>
                <w:iCs w:val="false"/>
                <w:caps w:val="false"/>
                <w:color w:val="b91c1c"/>
                <w:sz w:val="15"/>
                <w:szCs w:val="15"/>
              </w:rPr>
              <w:t xml:space="preserve">Ask directly about child interpreters.  </w:t>
            </w:r>
            <w:r>
              <w:rPr>
                <w:rFonts w:ascii="Arial" w:cs="Arial" w:eastAsia="Arial" w:hAnsi="Arial"/>
                <w:b w:val="false"/>
                <w:bCs w:val="false"/>
                <w:i w:val="false"/>
                <w:iCs w:val="false"/>
                <w:caps w:val="false"/>
                <w:color w:val="374151"/>
                <w:sz w:val="16"/>
                <w:szCs w:val="16"/>
              </w:rPr>
              <w:t xml:space="preserve">A hospital with a clear, actively reinforced position is meaningfully different from one that has simply never addressed it.</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sqkkb1npmizk2pmmuro58">
              <w:r>
                <w:rPr>
                  <w:rFonts w:ascii="Arial" w:cs="Arial" w:eastAsia="Arial" w:hAnsi="Arial"/>
                  <w:b/>
                  <w:bCs/>
                  <w:color w:val="c9a227"/>
                  <w:sz w:val="13"/>
                  <w:szCs w:val="13"/>
                  <w:u w:val="single"/>
                </w:rPr>
                <w:t xml:space="preserve">academy.gmj.ge/ch2-8-interpreter-language-access</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2.9</w:t>
            </w:r>
            <w:r>
              <w:rPr>
                <w:rFonts w:ascii="Arial" w:cs="Arial" w:eastAsia="Arial" w:hAnsi="Arial"/>
                <w:b w:val="false"/>
                <w:bCs w:val="false"/>
                <w:i/>
                <w:iCs/>
                <w:caps w:val="false"/>
                <w:color w:val="8fa8c8"/>
                <w:sz w:val="10"/>
                <w:szCs w:val="10"/>
              </w:rPr>
              <w:t xml:space="preserve">  ·  Level 3  ·  Chapter 2: Patient Rights &amp; Safety</w:t>
            </w:r>
          </w:p>
          <w:p>
            <w:pPr>
              <w:spacing w:after="36" w:before="0"/>
            </w:pPr>
            <w:r>
              <w:rPr>
                <w:rFonts w:ascii="Arial" w:cs="Arial" w:eastAsia="Arial" w:hAnsi="Arial"/>
                <w:b/>
                <w:bCs/>
                <w:i w:val="false"/>
                <w:iCs w:val="false"/>
                <w:caps w:val="false"/>
                <w:color w:val="dce8f5"/>
                <w:sz w:val="12"/>
                <w:szCs w:val="12"/>
              </w:rPr>
              <w:t xml:space="preserve">Patient Feedback and Experience Monitoring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19</w:t>
            </w:r>
          </w:p>
          <w:p>
            <w:pPr>
              <w:spacing w:after="36" w:before="0"/>
            </w:pPr>
            <w:r>
              <w:rPr>
                <w:rFonts w:ascii="Arial" w:cs="Arial" w:eastAsia="Arial" w:hAnsi="Arial"/>
                <w:b w:val="false"/>
                <w:bCs w:val="false"/>
                <w:i/>
                <w:iCs/>
                <w:caps w:val="false"/>
                <w:color w:val="8fa8c8"/>
                <w:sz w:val="9"/>
                <w:szCs w:val="9"/>
              </w:rPr>
              <w:t xml:space="preserve">ASF-CH2-PRS-v2.0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2.9</w:t>
            </w:r>
          </w:p>
          <w:p>
            <w:pPr>
              <w:spacing w:after="3" w:before="0"/>
            </w:pPr>
            <w:r>
              <w:rPr>
                <w:rFonts w:ascii="Helvetica" w:cs="Helvetica" w:eastAsia="Helvetica" w:hAnsi="Helvetica"/>
                <w:b/>
                <w:bCs/>
                <w:i w:val="false"/>
                <w:iCs w:val="false"/>
                <w:caps/>
                <w:color w:val="c9a227"/>
                <w:sz w:val="12"/>
                <w:szCs w:val="12"/>
              </w:rPr>
              <w:t xml:space="preserve"/>
            </w:r>
          </w:p>
          <w:p>
            <w:pPr>
              <w:spacing w:after="36" w:before="0"/>
            </w:pPr>
            <w:r>
              <w:rPr>
                <w:rFonts w:ascii="Helvetica" w:cs="Helvetica" w:eastAsia="Helvetica" w:hAnsi="Helvetica"/>
                <w:b w:val="false"/>
                <w:bCs w:val="false"/>
                <w:i w:val="false"/>
                <w:iCs w:val="false"/>
                <w:caps/>
                <w:color w:val="aaaaaa"/>
                <w:sz w:val="10"/>
                <w:szCs w:val="10"/>
              </w:rPr>
              <w:t xml:space="preserve">L3</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Patient Feedback and Experience Monitoring</w:t>
            </w:r>
          </w:p>
          <w:p>
            <w:pPr>
              <w:spacing w:after="36" w:before="0"/>
            </w:pPr>
            <w:r>
              <w:rPr>
                <w:rFonts w:ascii="Arial" w:cs="Arial" w:eastAsia="Arial" w:hAnsi="Arial"/>
                <w:b w:val="false"/>
                <w:bCs w:val="false"/>
                <w:i w:val="false"/>
                <w:iCs w:val="false"/>
                <w:caps w:val="false"/>
                <w:color w:val="4b5563"/>
                <w:sz w:val="15"/>
                <w:szCs w:val="15"/>
              </w:rPr>
              <w:t xml:space="preserve">The hospital systematically collects and reviews patient experience data, beyond formal complaints, and uses it to inform service improvement.</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systematic method for collecting patient experience data, beyond formal complaints?</w:t>
            </w:r>
          </w:p>
          <w:p>
            <w:pPr>
              <w:spacing w:after="7" w:before="0"/>
            </w:pPr>
            <w:r>
              <w:rPr>
                <w:rFonts w:ascii="Arial" w:cs="Arial" w:eastAsia="Arial" w:hAnsi="Arial"/>
                <w:b w:val="false"/>
                <w:bCs w:val="false"/>
                <w:i/>
                <w:iCs/>
                <w:caps w:val="false"/>
                <w:color w:val="4b5563"/>
                <w:sz w:val="15"/>
                <w:szCs w:val="15"/>
              </w:rPr>
              <w:t xml:space="preserve">Check for a defined, recurring collection method, such as surveys or a patient council.</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Patient experience collection method</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a reasonable proportion of patients or families actually reached by this collection method?</w:t>
            </w:r>
          </w:p>
          <w:p>
            <w:pPr>
              <w:spacing w:after="7" w:before="0"/>
            </w:pPr>
            <w:r>
              <w:rPr>
                <w:rFonts w:ascii="Arial" w:cs="Arial" w:eastAsia="Arial" w:hAnsi="Arial"/>
                <w:b w:val="false"/>
                <w:bCs w:val="false"/>
                <w:i/>
                <w:iCs/>
                <w:caps w:val="false"/>
                <w:color w:val="4b5563"/>
                <w:sz w:val="15"/>
                <w:szCs w:val="15"/>
              </w:rPr>
              <w:t xml:space="preserve">Check the response rate or coverage.</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Response rate / coverage data</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patient experience data reviewed by leadership on a defined schedule?</w:t>
            </w:r>
          </w:p>
          <w:p>
            <w:pPr>
              <w:spacing w:after="7" w:before="0"/>
            </w:pPr>
            <w:r>
              <w:rPr>
                <w:rFonts w:ascii="Arial" w:cs="Arial" w:eastAsia="Arial" w:hAnsi="Arial"/>
                <w:b w:val="false"/>
                <w:bCs w:val="false"/>
                <w:i/>
                <w:iCs/>
                <w:caps w:val="false"/>
                <w:color w:val="4b5563"/>
                <w:sz w:val="15"/>
                <w:szCs w:val="15"/>
              </w:rPr>
              <w:t xml:space="preserve">Check for a standing review item, similar to Standard 1.10.</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Review record</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Can the hospital show at least one service change made in response to patient experience data?</w:t>
            </w:r>
          </w:p>
          <w:p>
            <w:pPr>
              <w:spacing w:after="7" w:before="0"/>
            </w:pPr>
            <w:r>
              <w:rPr>
                <w:rFonts w:ascii="Arial" w:cs="Arial" w:eastAsia="Arial" w:hAnsi="Arial"/>
                <w:b w:val="false"/>
                <w:bCs w:val="false"/>
                <w:i/>
                <w:iCs/>
                <w:caps w:val="false"/>
                <w:color w:val="4b5563"/>
                <w:sz w:val="15"/>
                <w:szCs w:val="15"/>
              </w:rPr>
              <w:t xml:space="preserve">A specific example, not a general claim.</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Documented example</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Does the hospital have or participate in a structured patient council or equivalent mechanism, as under Standard 1.10?</w:t>
            </w:r>
          </w:p>
          <w:p>
            <w:pPr>
              <w:spacing w:after="36" w:before="0"/>
            </w:pPr>
            <w:r>
              <w:rPr>
                <w:rFonts w:ascii="Arial" w:cs="Arial" w:eastAsia="Arial" w:hAnsi="Arial"/>
                <w:b w:val="false"/>
                <w:bCs w:val="false"/>
                <w:i/>
                <w:iCs/>
                <w:caps w:val="false"/>
                <w:color w:val="4b5563"/>
                <w:sz w:val="15"/>
                <w:szCs w:val="15"/>
              </w:rPr>
              <w:t xml:space="preserve">Check for the same engagement mechanism referenced in Chapter 1.</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0"/>
        <w:gridCol w:w="434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Collection method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systematic method used for gathering patient experience data beyond complaints.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Coverage and response rate check</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Checks what proportion of patients are actually reached by the collection method.</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One real example</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Asks leadership to describe a specific service change made because of patient experience data.</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1fae5"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5803d"/>
                <w:sz w:val="13"/>
                <w:szCs w:val="13"/>
              </w:rPr>
              <w:t xml:space="preserve">OBSERVE</w:t>
            </w:r>
          </w:p>
          <w:p>
            <w:pPr>
              <w:spacing w:after="36" w:before="0"/>
            </w:pPr>
            <w:r>
              <w:rPr>
                <w:rFonts w:ascii="Arial" w:cs="Arial" w:eastAsia="Arial" w:hAnsi="Arial"/>
                <w:b/>
                <w:bCs/>
                <w:i w:val="false"/>
                <w:iCs w:val="false"/>
                <w:caps w:val="false"/>
                <w:color w:val="15803d"/>
                <w:sz w:val="14"/>
                <w:szCs w:val="14"/>
              </w:rPr>
              <w:t xml:space="preserve">Council/engagement mechanism cross-check</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Confirms consistency with the engagement mechanism described under Standard 1.10.</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qe5oebutz4rk-hyzl9uki">
              <w:r>
                <w:rPr>
                  <w:rFonts w:ascii="Arial" w:cs="Arial" w:eastAsia="Arial" w:hAnsi="Arial"/>
                  <w:b/>
                  <w:bCs/>
                  <w:color w:val="c9a227"/>
                  <w:sz w:val="13"/>
                  <w:szCs w:val="13"/>
                  <w:u w:val="single"/>
                </w:rPr>
                <w:t xml:space="preserve">World Health Organization. WHO framework on integrated people-centred health services. Geneva: WHO; 2016.</w:t>
              </w:r>
            </w:hyperlink>
            <w:r>
              <w:rPr>
                <w:rFonts w:ascii="Arial" w:cs="Arial" w:eastAsia="Arial" w:hAnsi="Arial"/>
                <w:b/>
                <w:bCs/>
                <w:i w:val="false"/>
                <w:iCs w:val="false"/>
                <w:caps w:val="false"/>
                <w:color w:val="6b778c"/>
                <w:sz w:val="13"/>
                <w:szCs w:val="13"/>
              </w:rPr>
              <w:t xml:space="preserve">   2. </w:t>
            </w:r>
            <w:hyperlink w:history="1" r:id="rIdsqx4grn07uzygxqyykwbd">
              <w:r>
                <w:rPr>
                  <w:rFonts w:ascii="Arial" w:cs="Arial" w:eastAsia="Arial" w:hAnsi="Arial"/>
                  <w:b/>
                  <w:bCs/>
                  <w:color w:val="c9a227"/>
                  <w:sz w:val="13"/>
                  <w:szCs w:val="13"/>
                  <w:u w:val="single"/>
                </w:rPr>
                <w:t xml:space="preserve">Doyle C, Lennox L, Bell D. A systematic review of evidence on the links between patient experience and clinical safety and effectiveness. BMJ Open. 2013;3(1):e001570.</w:t>
              </w:r>
            </w:hyperlink>
            <w:r>
              <w:rPr>
                <w:rFonts w:ascii="Arial" w:cs="Arial" w:eastAsia="Arial" w:hAnsi="Arial"/>
                <w:b/>
                <w:bCs/>
                <w:i w:val="false"/>
                <w:iCs w:val="false"/>
                <w:caps w:val="false"/>
                <w:color w:val="6b778c"/>
                <w:sz w:val="13"/>
                <w:szCs w:val="13"/>
              </w:rPr>
              <w:t xml:space="preserve">   3. </w:t>
            </w:r>
            <w:hyperlink w:history="1" r:id="rIdfmwlveuawbprus_491qjo">
              <w:r>
                <w:rPr>
                  <w:rFonts w:ascii="Arial" w:cs="Arial" w:eastAsia="Arial" w:hAnsi="Arial"/>
                  <w:b/>
                  <w:bCs/>
                  <w:color w:val="c9a227"/>
                  <w:sz w:val="13"/>
                  <w:szCs w:val="13"/>
                  <w:u w:val="single"/>
                </w:rPr>
                <w:t xml:space="preserve">Coulter A, Locock L, Ziebland S, Calabrese J. Collecting data on patient experience is not enough: they must be used to improve care. BMJ. 2014;348:g2225.</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2.9</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2.9</w:t>
            </w:r>
            <w:r>
              <w:rPr>
                <w:rFonts w:ascii="Arial" w:cs="Arial" w:eastAsia="Arial" w:hAnsi="Arial"/>
                <w:b w:val="false"/>
                <w:bCs w:val="false"/>
                <w:i/>
                <w:iCs/>
                <w:caps w:val="false"/>
                <w:color w:val="8fa8c8"/>
                <w:sz w:val="10"/>
                <w:szCs w:val="10"/>
              </w:rPr>
              <w:t xml:space="preserve">  ·  Level 3  ·  Chapter 2: Patient Rights &amp; Safety</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20</w:t>
            </w:r>
          </w:p>
          <w:p>
            <w:pPr>
              <w:spacing w:after="36" w:before="0"/>
            </w:pPr>
            <w:r>
              <w:rPr>
                <w:rFonts w:ascii="Arial" w:cs="Arial" w:eastAsia="Arial" w:hAnsi="Arial"/>
                <w:b w:val="false"/>
                <w:bCs w:val="false"/>
                <w:i/>
                <w:iCs/>
                <w:caps w:val="false"/>
                <w:color w:val="8fa8c8"/>
                <w:sz w:val="9"/>
                <w:szCs w:val="9"/>
              </w:rPr>
              <w:t xml:space="preserve">ASF-CH2-PRS-v2.0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Complaints capture only the small fraction of patients dissatisfied enough to formally object; systematic experience monitoring reaches the much larger group who leave quietly unsatisfied and never say anything. Reviewing that broader data, and actually changing something because of it, closes a feedback loop that complaints alone leave open.</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Doyle, Lennox &amp; Bell 2013 — patient experience is consistently linked to clinical safety and effectiveness, meaning experience data is a genuine indicator of care quality, not a soft add-on.</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 systematic method reaches a meaningful proportion of patients, not a self-selected few</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Data collection goes beyond complaints to routine experience monitoring</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Leadership reviews patient experience data on a defined schedule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At least one concrete service change can be traced to patient experience findings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The hospital operates or participates in a structured patient council or equivalent mechanism</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systematic patient experience data is collected beyond occasional, informal feedback</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Response rates or coverage are so low the data is not meaningfully representative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Experience data, if collected, is never reviewed by leadership</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service change has ever been traced to patient feedback</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patient council or equivalent structured engagement mechanism exists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Surveys are distributed but response rates are too low to mean anything.</w:t>
            </w:r>
          </w:p>
          <w:p>
            <w:pPr>
              <w:spacing w:after="20" w:before="0"/>
            </w:pPr>
            <w:r>
              <w:rPr>
                <w:rFonts w:ascii="Arial" w:cs="Arial" w:eastAsia="Arial" w:hAnsi="Arial"/>
                <w:b w:val="false"/>
                <w:bCs w:val="false"/>
                <w:i/>
                <w:iCs/>
                <w:caps w:val="false"/>
                <w:color w:val="4b5563"/>
                <w:sz w:val="15"/>
                <w:szCs w:val="15"/>
              </w:rPr>
              <w:t xml:space="preserve">A feedback survey exists and is technically distributed to every patient, but so few are returned that the resulting data cannot represent the actual patient population.</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Data is collected and reviewed, but rarely acted on.</w:t>
            </w:r>
          </w:p>
          <w:p>
            <w:pPr>
              <w:spacing w:after="20" w:before="0"/>
            </w:pPr>
            <w:r>
              <w:rPr>
                <w:rFonts w:ascii="Arial" w:cs="Arial" w:eastAsia="Arial" w:hAnsi="Arial"/>
                <w:b w:val="false"/>
                <w:bCs w:val="false"/>
                <w:i/>
                <w:iCs/>
                <w:caps w:val="false"/>
                <w:color w:val="4b5563"/>
                <w:sz w:val="15"/>
                <w:szCs w:val="15"/>
              </w:rPr>
              <w:t xml:space="preserve">Leadership receives a patient experience report on schedule, discusses it briefly, but rarely translates findings into an actual service change.</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The patient council exists but experience data doesn’t reach it, or vice versa.</w:t>
            </w:r>
          </w:p>
          <w:p>
            <w:pPr>
              <w:spacing w:after="36" w:before="0"/>
            </w:pPr>
            <w:r>
              <w:rPr>
                <w:rFonts w:ascii="Arial" w:cs="Arial" w:eastAsia="Arial" w:hAnsi="Arial"/>
                <w:b w:val="false"/>
                <w:bCs w:val="false"/>
                <w:i/>
                <w:iCs/>
                <w:caps w:val="false"/>
                <w:color w:val="4b5563"/>
                <w:sz w:val="15"/>
                <w:szCs w:val="15"/>
              </w:rPr>
              <w:t xml:space="preserve">The formal engagement mechanism described under Standard 1.10 and the routine experience-monitoring process operate separately, missing an opportunity to triangulate findings.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Choose or confirm a systematic method for collecting patient experience data beyond complaints.</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Assess and, if needed, improve how the method reaches a representative proportion of patients.</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Set a defined schedule for leadership to review experience data.</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Identify and implement at least one service change based on findings; document it.</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Track coverage and review trends over time; connect findings to the patient council/engagement mechanism under Standard 1.10.</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Ask for the response rate, not just the survey tool.  </w:t>
            </w:r>
            <w:r>
              <w:rPr>
                <w:rFonts w:ascii="Arial" w:cs="Arial" w:eastAsia="Arial" w:hAnsi="Arial"/>
                <w:b w:val="false"/>
                <w:bCs w:val="false"/>
                <w:i w:val="false"/>
                <w:iCs w:val="false"/>
                <w:caps w:val="false"/>
                <w:color w:val="374151"/>
                <w:sz w:val="16"/>
                <w:szCs w:val="16"/>
              </w:rPr>
              <w:t xml:space="preserve">A beautifully designed survey with a very low response rate provides a false sense of listening to patients.</w:t>
            </w:r>
          </w:p>
          <w:p>
            <w:pPr>
              <w:spacing w:after="16" w:before="0"/>
            </w:pPr>
            <w:r>
              <w:rPr>
                <w:rFonts w:ascii="Arial" w:cs="Arial" w:eastAsia="Arial" w:hAnsi="Arial"/>
                <w:b/>
                <w:bCs/>
                <w:i w:val="false"/>
                <w:iCs w:val="false"/>
                <w:caps w:val="false"/>
                <w:color w:val="b91c1c"/>
                <w:sz w:val="15"/>
                <w:szCs w:val="15"/>
              </w:rPr>
              <w:t xml:space="preserve">Trace one finding all the way to a change.  </w:t>
            </w:r>
            <w:r>
              <w:rPr>
                <w:rFonts w:ascii="Arial" w:cs="Arial" w:eastAsia="Arial" w:hAnsi="Arial"/>
                <w:b w:val="false"/>
                <w:bCs w:val="false"/>
                <w:i w:val="false"/>
                <w:iCs w:val="false"/>
                <w:caps w:val="false"/>
                <w:color w:val="374151"/>
                <w:sz w:val="16"/>
                <w:szCs w:val="16"/>
              </w:rPr>
              <w:t xml:space="preserve">Ask for a specific example of a service change and follow it back to the original piece of patient feedback that prompted it.</w:t>
            </w:r>
          </w:p>
          <w:p>
            <w:pPr>
              <w:spacing w:after="36" w:before="0"/>
            </w:pPr>
            <w:r>
              <w:rPr>
                <w:rFonts w:ascii="Arial" w:cs="Arial" w:eastAsia="Arial" w:hAnsi="Arial"/>
                <w:b/>
                <w:bCs/>
                <w:i w:val="false"/>
                <w:iCs w:val="false"/>
                <w:caps w:val="false"/>
                <w:color w:val="b91c1c"/>
                <w:sz w:val="15"/>
                <w:szCs w:val="15"/>
              </w:rPr>
              <w:t xml:space="preserve">Check for overlap with the patient council under Standard 1.10.  </w:t>
            </w:r>
            <w:r>
              <w:rPr>
                <w:rFonts w:ascii="Arial" w:cs="Arial" w:eastAsia="Arial" w:hAnsi="Arial"/>
                <w:b w:val="false"/>
                <w:bCs w:val="false"/>
                <w:i w:val="false"/>
                <w:iCs w:val="false"/>
                <w:caps w:val="false"/>
                <w:color w:val="374151"/>
                <w:sz w:val="16"/>
                <w:szCs w:val="16"/>
              </w:rPr>
              <w:t xml:space="preserve">The strongest hospitals connect routine experience data with the deeper qualitative insight a patient council provides.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pj84ptxbcu2oe9g0tmxpi">
              <w:r>
                <w:rPr>
                  <w:rFonts w:ascii="Arial" w:cs="Arial" w:eastAsia="Arial" w:hAnsi="Arial"/>
                  <w:b/>
                  <w:bCs/>
                  <w:color w:val="c9a227"/>
                  <w:sz w:val="13"/>
                  <w:szCs w:val="13"/>
                  <w:u w:val="single"/>
                </w:rPr>
                <w:t xml:space="preserve">academy.gmj.ge/ch2-9-patient-feedback-experience</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2.10</w:t>
            </w:r>
            <w:r>
              <w:rPr>
                <w:rFonts w:ascii="Arial" w:cs="Arial" w:eastAsia="Arial" w:hAnsi="Arial"/>
                <w:b w:val="false"/>
                <w:bCs w:val="false"/>
                <w:i/>
                <w:iCs/>
                <w:caps w:val="false"/>
                <w:color w:val="8fa8c8"/>
                <w:sz w:val="10"/>
                <w:szCs w:val="10"/>
              </w:rPr>
              <w:t xml:space="preserve">  ·  Level 3  ·  Chapter 2: Patient Rights &amp; Safety</w:t>
            </w:r>
          </w:p>
          <w:p>
            <w:pPr>
              <w:spacing w:after="36" w:before="0"/>
            </w:pPr>
            <w:r>
              <w:rPr>
                <w:rFonts w:ascii="Arial" w:cs="Arial" w:eastAsia="Arial" w:hAnsi="Arial"/>
                <w:b/>
                <w:bCs/>
                <w:i w:val="false"/>
                <w:iCs w:val="false"/>
                <w:caps w:val="false"/>
                <w:color w:val="dce8f5"/>
                <w:sz w:val="12"/>
                <w:szCs w:val="12"/>
              </w:rPr>
              <w:t xml:space="preserve">Dignity, Respect and Non-Discrimination</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21</w:t>
            </w:r>
          </w:p>
          <w:p>
            <w:pPr>
              <w:spacing w:after="36" w:before="0"/>
            </w:pPr>
            <w:r>
              <w:rPr>
                <w:rFonts w:ascii="Arial" w:cs="Arial" w:eastAsia="Arial" w:hAnsi="Arial"/>
                <w:b w:val="false"/>
                <w:bCs w:val="false"/>
                <w:i/>
                <w:iCs/>
                <w:caps w:val="false"/>
                <w:color w:val="8fa8c8"/>
                <w:sz w:val="9"/>
                <w:szCs w:val="9"/>
              </w:rPr>
              <w:t xml:space="preserve">ASF-CH2-PRS-v2.0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2.10</w:t>
            </w:r>
          </w:p>
          <w:p>
            <w:pPr>
              <w:spacing w:after="3" w:before="0"/>
            </w:pPr>
            <w:r>
              <w:rPr>
                <w:rFonts w:ascii="Helvetica" w:cs="Helvetica" w:eastAsia="Helvetica" w:hAnsi="Helvetica"/>
                <w:b/>
                <w:bCs/>
                <w:i w:val="false"/>
                <w:iCs w:val="false"/>
                <w:caps/>
                <w:color w:val="c9a227"/>
                <w:sz w:val="12"/>
                <w:szCs w:val="12"/>
              </w:rPr>
              <w:t xml:space="preserve"/>
            </w:r>
          </w:p>
          <w:p>
            <w:pPr>
              <w:spacing w:after="36" w:before="0"/>
            </w:pPr>
            <w:r>
              <w:rPr>
                <w:rFonts w:ascii="Helvetica" w:cs="Helvetica" w:eastAsia="Helvetica" w:hAnsi="Helvetica"/>
                <w:b w:val="false"/>
                <w:bCs w:val="false"/>
                <w:i w:val="false"/>
                <w:iCs w:val="false"/>
                <w:caps/>
                <w:color w:val="aaaaaa"/>
                <w:sz w:val="10"/>
                <w:szCs w:val="10"/>
              </w:rPr>
              <w:t xml:space="preserve">L3</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Dignity, Respect and Non-Discrimination</w:t>
            </w:r>
          </w:p>
          <w:p>
            <w:pPr>
              <w:spacing w:after="36" w:before="0"/>
            </w:pPr>
            <w:r>
              <w:rPr>
                <w:rFonts w:ascii="Arial" w:cs="Arial" w:eastAsia="Arial" w:hAnsi="Arial"/>
                <w:b w:val="false"/>
                <w:bCs w:val="false"/>
                <w:i w:val="false"/>
                <w:iCs w:val="false"/>
                <w:caps w:val="false"/>
                <w:color w:val="4b5563"/>
                <w:sz w:val="15"/>
                <w:szCs w:val="15"/>
              </w:rPr>
              <w:t xml:space="preserve">The hospital ensures all patients are treated with dignity and respect, and are free from discrimination on the basis of race, ethnicity, religion, gender, disability, age, sexual orientation, or ability to pay.</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written non-discrimination policy naming the specific protected grounds relevant to the population served?</w:t>
            </w:r>
          </w:p>
          <w:p>
            <w:pPr>
              <w:spacing w:after="7" w:before="0"/>
            </w:pPr>
            <w:r>
              <w:rPr>
                <w:rFonts w:ascii="Arial" w:cs="Arial" w:eastAsia="Arial" w:hAnsi="Arial"/>
                <w:b w:val="false"/>
                <w:bCs w:val="false"/>
                <w:i/>
                <w:iCs/>
                <w:caps w:val="false"/>
                <w:color w:val="4b5563"/>
                <w:sz w:val="15"/>
                <w:szCs w:val="15"/>
              </w:rPr>
              <w:t xml:space="preserve">Specific grounds named, not a vague statement.</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Non-discrimination policy</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care provided without regard to a patient’s ability to pay, at least for emergency and essential care?</w:t>
            </w:r>
          </w:p>
          <w:p>
            <w:pPr>
              <w:spacing w:after="7" w:before="0"/>
            </w:pPr>
            <w:r>
              <w:rPr>
                <w:rFonts w:ascii="Arial" w:cs="Arial" w:eastAsia="Arial" w:hAnsi="Arial"/>
                <w:b w:val="false"/>
                <w:bCs w:val="false"/>
                <w:i/>
                <w:iCs/>
                <w:caps w:val="false"/>
                <w:color w:val="4b5563"/>
                <w:sz w:val="15"/>
                <w:szCs w:val="15"/>
              </w:rPr>
              <w:t xml:space="preserve">Check for a documented position and, ideally, an example.</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Policy on care regardless of payment status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there mechanisms for patients to report discrimination or disrespectful treatment separately from general complaints?</w:t>
            </w:r>
          </w:p>
          <w:p>
            <w:pPr>
              <w:spacing w:after="36" w:before="0"/>
            </w:pPr>
            <w:r>
              <w:rPr>
                <w:rFonts w:ascii="Arial" w:cs="Arial" w:eastAsia="Arial" w:hAnsi="Arial"/>
                <w:b w:val="false"/>
                <w:bCs w:val="false"/>
                <w:i/>
                <w:iCs/>
                <w:caps w:val="false"/>
                <w:color w:val="4b5563"/>
                <w:sz w:val="15"/>
                <w:szCs w:val="15"/>
              </w:rPr>
              <w:t xml:space="preserve">Check whether this is trackable distinctly, if useful.</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Have staff received training on treating patients with dignity, including cultural competence relevant to the population served?</w:t>
            </w:r>
          </w:p>
          <w:p>
            <w:pPr>
              <w:spacing w:after="7" w:before="0"/>
            </w:pPr>
            <w:r>
              <w:rPr>
                <w:rFonts w:ascii="Arial" w:cs="Arial" w:eastAsia="Arial" w:hAnsi="Arial"/>
                <w:b w:val="false"/>
                <w:bCs w:val="false"/>
                <w:i/>
                <w:iCs/>
                <w:caps w:val="false"/>
                <w:color w:val="4b5563"/>
                <w:sz w:val="15"/>
                <w:szCs w:val="15"/>
              </w:rPr>
              <w:t xml:space="preserve">Check training records.</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Training records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Can the hospital show at least one instance where a discrimination or dignity concern was identified and addressed?</w:t>
            </w:r>
          </w:p>
          <w:p>
            <w:pPr>
              <w:spacing w:after="7" w:before="0"/>
            </w:pPr>
            <w:r>
              <w:rPr>
                <w:rFonts w:ascii="Arial" w:cs="Arial" w:eastAsia="Arial" w:hAnsi="Arial"/>
                <w:b w:val="false"/>
                <w:bCs w:val="false"/>
                <w:i/>
                <w:iCs/>
                <w:caps w:val="false"/>
                <w:color w:val="4b5563"/>
                <w:sz w:val="15"/>
                <w:szCs w:val="15"/>
              </w:rPr>
              <w:t xml:space="preserve">A specific example, not a general assurance.</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Documented example</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0"/>
        <w:gridCol w:w="434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Non-discrimination policy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policy for specific, named protected grounds relevant to the population served.</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Payment-status question</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Asks how the hospital ensures emergency and essential care is not withheld based on ability to pay.</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Training record check</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Confirms staff have received dignity and cultural competence training relevant to the population served.</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One real example</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Asks for a specific instance where a discrimination or dignity concern was raised and how it was addressed.</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lwrnyzp6n6fgrdzhp4-dx">
              <w:r>
                <w:rPr>
                  <w:rFonts w:ascii="Arial" w:cs="Arial" w:eastAsia="Arial" w:hAnsi="Arial"/>
                  <w:b/>
                  <w:bCs/>
                  <w:color w:val="c9a227"/>
                  <w:sz w:val="13"/>
                  <w:szCs w:val="13"/>
                  <w:u w:val="single"/>
                </w:rPr>
                <w:t xml:space="preserve">World Health Organization. Health and human rights. Geneva: WHO; 2017.</w:t>
              </w:r>
            </w:hyperlink>
            <w:r>
              <w:rPr>
                <w:rFonts w:ascii="Arial" w:cs="Arial" w:eastAsia="Arial" w:hAnsi="Arial"/>
                <w:b/>
                <w:bCs/>
                <w:i w:val="false"/>
                <w:iCs w:val="false"/>
                <w:caps w:val="false"/>
                <w:color w:val="6b778c"/>
                <w:sz w:val="13"/>
                <w:szCs w:val="13"/>
              </w:rPr>
              <w:t xml:space="preserve">   2. </w:t>
            </w:r>
            <w:hyperlink w:history="1" r:id="rId_8istimttvwgbmlrw2kfo">
              <w:r>
                <w:rPr>
                  <w:rFonts w:ascii="Arial" w:cs="Arial" w:eastAsia="Arial" w:hAnsi="Arial"/>
                  <w:b/>
                  <w:bCs/>
                  <w:color w:val="c9a227"/>
                  <w:sz w:val="13"/>
                  <w:szCs w:val="13"/>
                  <w:u w:val="single"/>
                </w:rPr>
                <w:t xml:space="preserve">United Nations. International Covenant on Economic, Social and Cultural Rights, Article 12. New York: UN; 1966.</w:t>
              </w:r>
            </w:hyperlink>
            <w:r>
              <w:rPr>
                <w:rFonts w:ascii="Arial" w:cs="Arial" w:eastAsia="Arial" w:hAnsi="Arial"/>
                <w:b/>
                <w:bCs/>
                <w:i w:val="false"/>
                <w:iCs w:val="false"/>
                <w:caps w:val="false"/>
                <w:color w:val="6b778c"/>
                <w:sz w:val="13"/>
                <w:szCs w:val="13"/>
              </w:rPr>
              <w:t xml:space="preserve">   3. </w:t>
            </w:r>
            <w:hyperlink w:history="1" r:id="rIdrqx0sumueizlzb1tafir5">
              <w:r>
                <w:rPr>
                  <w:rFonts w:ascii="Arial" w:cs="Arial" w:eastAsia="Arial" w:hAnsi="Arial"/>
                  <w:b/>
                  <w:bCs/>
                  <w:color w:val="c9a227"/>
                  <w:sz w:val="13"/>
                  <w:szCs w:val="13"/>
                  <w:u w:val="single"/>
                </w:rPr>
                <w:t xml:space="preserve">Betancourt JR, Green AR, Carrillo JE, Ananeh-Firempong O. Defining cultural competence: a practical framework for addressing racial/ethnic disparities in health and healthcare. Public Health Rep. 2003;118(4):293-302.</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2.10</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2.10</w:t>
            </w:r>
            <w:r>
              <w:rPr>
                <w:rFonts w:ascii="Arial" w:cs="Arial" w:eastAsia="Arial" w:hAnsi="Arial"/>
                <w:b w:val="false"/>
                <w:bCs w:val="false"/>
                <w:i/>
                <w:iCs/>
                <w:caps w:val="false"/>
                <w:color w:val="8fa8c8"/>
                <w:sz w:val="10"/>
                <w:szCs w:val="10"/>
              </w:rPr>
              <w:t xml:space="preserve">  ·  Level 3  ·  Chapter 2: Patient Rights &amp; Safety</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22</w:t>
            </w:r>
          </w:p>
          <w:p>
            <w:pPr>
              <w:spacing w:after="36" w:before="0"/>
            </w:pPr>
            <w:r>
              <w:rPr>
                <w:rFonts w:ascii="Arial" w:cs="Arial" w:eastAsia="Arial" w:hAnsi="Arial"/>
                <w:b w:val="false"/>
                <w:bCs w:val="false"/>
                <w:i/>
                <w:iCs/>
                <w:caps w:val="false"/>
                <w:color w:val="8fa8c8"/>
                <w:sz w:val="9"/>
                <w:szCs w:val="9"/>
              </w:rPr>
              <w:t xml:space="preserve">ASF-CH2-PRS-v2.0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Discrimination in healthcare is rarely a single dramatic refusal of care — far more often it is a pattern of smaller failures: being spoken over, examined without adequate privacy, treated with less warmth or explanation than other patients, or subtly deprioritised because of an inability to pay. A hospital serious about dignity names these patterns explicitly rather than relying on a general assumption that staff will simply behave well.</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Betancourt et al. 2003 — structured cultural competence training measurably reduces disparities in how patients from different backgrounds experience and receive care.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Non-discrimination policy names specific protected grounds relevant to the population served</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Emergency and essential care is provided regardless of a patient’s ability to pay</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Staff have received dignity and cultural competence training relevant to the population served</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Patients have a way to raise dignity or discrimination concerns specifically</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The hospital can show a real instance where such a concern was identified and addressed</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non-discrimination policy exists, or it is vague and generic</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Care or its quality visibly depends on a patient’s ability to pay</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staff training on dignity or cultural competence has ever been provided</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Patients have no route to raise a dignity or discrimination concern specifically</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example exists of a discrimination concern ever being identified or addressed</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The policy is broad but not specific to the population actually served.</w:t>
            </w:r>
          </w:p>
          <w:p>
            <w:pPr>
              <w:spacing w:after="20" w:before="0"/>
            </w:pPr>
            <w:r>
              <w:rPr>
                <w:rFonts w:ascii="Arial" w:cs="Arial" w:eastAsia="Arial" w:hAnsi="Arial"/>
                <w:b w:val="false"/>
                <w:bCs w:val="false"/>
                <w:i/>
                <w:iCs/>
                <w:caps w:val="false"/>
                <w:color w:val="4b5563"/>
                <w:sz w:val="15"/>
                <w:szCs w:val="15"/>
              </w:rPr>
              <w:t xml:space="preserve">A generic non-discrimination statement exists, but it does not reflect the specific groups and dynamics relevant to this hospital’s actual patient population.</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Emergency care is not withheld for payment, but subtler treatment differences persist.</w:t>
            </w:r>
          </w:p>
          <w:p>
            <w:pPr>
              <w:spacing w:after="20" w:before="0"/>
            </w:pPr>
            <w:r>
              <w:rPr>
                <w:rFonts w:ascii="Arial" w:cs="Arial" w:eastAsia="Arial" w:hAnsi="Arial"/>
                <w:b w:val="false"/>
                <w:bCs w:val="false"/>
                <w:i/>
                <w:iCs/>
                <w:caps w:val="false"/>
                <w:color w:val="4b5563"/>
                <w:sz w:val="15"/>
                <w:szCs w:val="15"/>
              </w:rPr>
              <w:t xml:space="preserve">No patient is turned away outright, but staff and patients alike can describe a pattern of less attentive care for patients known to be unable to pay.</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Training happened once and dignity is assumed rather than actively maintained.</w:t>
            </w:r>
          </w:p>
          <w:p>
            <w:pPr>
              <w:spacing w:after="36" w:before="0"/>
            </w:pPr>
            <w:r>
              <w:rPr>
                <w:rFonts w:ascii="Arial" w:cs="Arial" w:eastAsia="Arial" w:hAnsi="Arial"/>
                <w:b w:val="false"/>
                <w:bCs w:val="false"/>
                <w:i/>
                <w:iCs/>
                <w:caps w:val="false"/>
                <w:color w:val="4b5563"/>
                <w:sz w:val="15"/>
                <w:szCs w:val="15"/>
              </w:rPr>
              <w:t xml:space="preserve">A single training session on respectful care was delivered at some point, but there is no ongoing reinforcement or way to check it is reflected in daily practice.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Review or draft a non-discrimination policy naming the specific grounds relevant to the population served.</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Clarify and communicate the hospital’s position on providing emergency and essential care regardless of ability to pay.</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Introduce or refresh dignity and cultural competence training relevant to the patient population.</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Establish a way for patients to raise dignity or discrimination concerns, whether as a distinct channel or a flagged category within complaints.</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Review any raised concerns for patterns; refresh training periodically.</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Ask staff and patients the same question separately.  </w:t>
            </w:r>
            <w:r>
              <w:rPr>
                <w:rFonts w:ascii="Arial" w:cs="Arial" w:eastAsia="Arial" w:hAnsi="Arial"/>
                <w:b w:val="false"/>
                <w:bCs w:val="false"/>
                <w:i w:val="false"/>
                <w:iCs w:val="false"/>
                <w:caps w:val="false"/>
                <w:color w:val="374151"/>
                <w:sz w:val="16"/>
                <w:szCs w:val="16"/>
              </w:rPr>
              <w:t xml:space="preserve">Comparing how staff describe non-discrimination in principle against how patients describe their actual experience often reveals a gap worth investigating.</w:t>
            </w:r>
          </w:p>
          <w:p>
            <w:pPr>
              <w:spacing w:after="16" w:before="0"/>
            </w:pPr>
            <w:r>
              <w:rPr>
                <w:rFonts w:ascii="Arial" w:cs="Arial" w:eastAsia="Arial" w:hAnsi="Arial"/>
                <w:b/>
                <w:bCs/>
                <w:i w:val="false"/>
                <w:iCs w:val="false"/>
                <w:caps w:val="false"/>
                <w:color w:val="b91c1c"/>
                <w:sz w:val="15"/>
                <w:szCs w:val="15"/>
              </w:rPr>
              <w:t xml:space="preserve">Ask specifically about payment-based treatment differences.  </w:t>
            </w:r>
            <w:r>
              <w:rPr>
                <w:rFonts w:ascii="Arial" w:cs="Arial" w:eastAsia="Arial" w:hAnsi="Arial"/>
                <w:b w:val="false"/>
                <w:bCs w:val="false"/>
                <w:i w:val="false"/>
                <w:iCs w:val="false"/>
                <w:caps w:val="false"/>
                <w:color w:val="374151"/>
                <w:sz w:val="16"/>
                <w:szCs w:val="16"/>
              </w:rPr>
              <w:t xml:space="preserve">This is a sensitive area many hospitals have not examined directly — a specific, direct question surfaces more than a general policy review.</w:t>
            </w:r>
          </w:p>
          <w:p>
            <w:pPr>
              <w:spacing w:after="36" w:before="0"/>
            </w:pPr>
            <w:r>
              <w:rPr>
                <w:rFonts w:ascii="Arial" w:cs="Arial" w:eastAsia="Arial" w:hAnsi="Arial"/>
                <w:b/>
                <w:bCs/>
                <w:i w:val="false"/>
                <w:iCs w:val="false"/>
                <w:caps w:val="false"/>
                <w:color w:val="b91c1c"/>
                <w:sz w:val="15"/>
                <w:szCs w:val="15"/>
              </w:rPr>
              <w:t xml:space="preserve">Look for one real, specific example, not a general assurance.  </w:t>
            </w:r>
            <w:r>
              <w:rPr>
                <w:rFonts w:ascii="Arial" w:cs="Arial" w:eastAsia="Arial" w:hAnsi="Arial"/>
                <w:b w:val="false"/>
                <w:bCs w:val="false"/>
                <w:i w:val="false"/>
                <w:iCs w:val="false"/>
                <w:caps w:val="false"/>
                <w:color w:val="374151"/>
                <w:sz w:val="16"/>
                <w:szCs w:val="16"/>
              </w:rPr>
              <w:t xml:space="preserve">A hospital that can describe one actual instance where a concern was raised and addressed demonstrates a functioning process, not just good intentions.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k-111nz9uddzqkystk7xv">
              <w:r>
                <w:rPr>
                  <w:rFonts w:ascii="Arial" w:cs="Arial" w:eastAsia="Arial" w:hAnsi="Arial"/>
                  <w:b/>
                  <w:bCs/>
                  <w:color w:val="c9a227"/>
                  <w:sz w:val="13"/>
                  <w:szCs w:val="13"/>
                  <w:u w:val="single"/>
                </w:rPr>
                <w:t xml:space="preserve">academy.gmj.ge/ch2-10-dignity-respect-non-discrimination</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7700"/>
        <w:gridCol w:w="1660"/>
      </w:tblGrid>
      <w:tr>
        <w:tc>
          <w:tcPr>
            <w:tcW w:type="dxa" w:w="7700"/>
            <w:shd w:fill="0e2647" w:color="auto" w:val="clear"/>
            <w:tcMar>
              <w:top w:type="dxa" w:w="60"/>
              <w:left w:type="dxa" w:w="150"/>
              <w:bottom w:type="dxa" w:w="60"/>
              <w:right w:type="dxa" w:w="75"/>
            </w:tcMar>
            <w:vAlign w:val="top"/>
          </w:tcPr>
          <w:p>
            <w:pPr>
              <w:spacing w:after="36" w:before="0"/>
            </w:pPr>
            <w:r>
              <w:rPr>
                <w:rFonts w:ascii="Helvetica" w:cs="Helvetica" w:eastAsia="Helvetica" w:hAnsi="Helvetica"/>
                <w:b/>
                <w:bCs/>
                <w:i w:val="false"/>
                <w:iCs w:val="false"/>
                <w:caps/>
                <w:color w:val="c9a227"/>
                <w:spacing w:val="30"/>
                <w:sz w:val="13"/>
                <w:szCs w:val="13"/>
              </w:rPr>
              <w:t xml:space="preserve">CHAPTER 2: PRS  —  COMBINED REFERENCES</w:t>
            </w:r>
          </w:p>
        </w:tc>
        <w:tc>
          <w:tcPr>
            <w:tcW w:type="dxa" w:w="1660"/>
            <w:shd w:fill="0e2647" w:color="auto" w:val="clear"/>
            <w:tcMar>
              <w:top w:type="dxa" w:w="50"/>
              <w:left w:type="dxa" w:w="70"/>
              <w:bottom w:type="dxa" w:w="50"/>
              <w:right w:type="dxa" w:w="75"/>
            </w:tcMar>
            <w:vAlign w:val="top"/>
          </w:tcPr>
          <w:p>
            <w:pPr>
              <w:spacing w:after="3" w:before="0"/>
            </w:pPr>
            <w:r>
              <w:rPr>
                <w:rFonts w:ascii="Arial" w:cs="Arial" w:eastAsia="Arial" w:hAnsi="Arial"/>
                <w:b w:val="false"/>
                <w:bCs w:val="false"/>
                <w:i/>
                <w:iCs/>
                <w:caps w:val="false"/>
                <w:color w:val="6b778c"/>
                <w:sz w:val="11"/>
                <w:szCs w:val="11"/>
              </w:rPr>
              <w:t xml:space="preserve">Vancouver Style  |  30</w:t>
            </w:r>
          </w:p>
          <w:p>
            <w:pPr>
              <w:spacing w:after="36" w:before="0"/>
            </w:pPr>
            <w:r>
              <w:rPr>
                <w:rFonts w:ascii="Arial" w:cs="Arial" w:eastAsia="Arial" w:hAnsi="Arial"/>
                <w:b w:val="false"/>
                <w:bCs w:val="false"/>
                <w:i/>
                <w:iCs/>
                <w:caps w:val="false"/>
                <w:color w:val="6b778c"/>
                <w:sz w:val="11"/>
                <w:szCs w:val="11"/>
              </w:rPr>
              <w:t xml:space="preserve">citations  |  Version 2.0</w:t>
            </w:r>
          </w:p>
        </w:tc>
      </w:tr>
    </w:tbl>
    <w:p>
      <w:pPr>
        <w:spacing w:after="36" w:before="30"/>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REFERENCES</w:t>
            </w:r>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f3f4f6"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0e2647"/>
                <w:spacing w:val="30"/>
                <w:sz w:val="13"/>
                <w:szCs w:val="13"/>
              </w:rPr>
              <w:t xml:space="preserve">Standard 2.1 — Patient Rights Charter</w:t>
            </w:r>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Medical Association. WMA Declaration of Lisbon on the Rights of the Patient. Ferney-Voltaire: WMA; 2015.</w:t>
            </w:r>
          </w:p>
          <w:p>
            <w:pPr>
              <w:spacing w:after="36" w:before="0"/>
            </w:pPr>
            <w:r>
              <w:rPr>
                <w:rFonts w:ascii="Arial" w:cs="Arial" w:eastAsia="Arial" w:hAnsi="Arial"/>
                <w:b/>
                <w:bCs/>
                <w:i w:val="false"/>
                <w:iCs w:val="false"/>
                <w:caps w:val="false"/>
                <w:color w:val="6b778c"/>
                <w:sz w:val="12"/>
                <w:szCs w:val="12"/>
              </w:rPr>
              <w:t xml:space="preserve">URL: </w:t>
            </w:r>
            <w:hyperlink w:history="1" r:id="rIdvdjkwid05ztvuam1d9i-h">
              <w:r>
                <w:rPr>
                  <w:rFonts w:ascii="Arial" w:cs="Arial" w:eastAsia="Arial" w:hAnsi="Arial"/>
                  <w:b/>
                  <w:bCs/>
                  <w:color w:val="c9a227"/>
                  <w:sz w:val="12"/>
                  <w:szCs w:val="12"/>
                  <w:u w:val="single"/>
                </w:rPr>
                <w:t xml:space="preserve">https://www.wma.net/policies-post/wma-declaration-of-lisbon-on-the-rights-of-the-patient/</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WHO framework on integrated people-centred health services. Geneva: WHO; 2016.</w:t>
            </w:r>
          </w:p>
          <w:p>
            <w:pPr>
              <w:spacing w:after="36" w:before="0"/>
            </w:pPr>
            <w:r>
              <w:rPr>
                <w:rFonts w:ascii="Arial" w:cs="Arial" w:eastAsia="Arial" w:hAnsi="Arial"/>
                <w:b/>
                <w:bCs/>
                <w:i w:val="false"/>
                <w:iCs w:val="false"/>
                <w:caps w:val="false"/>
                <w:color w:val="6b778c"/>
                <w:sz w:val="12"/>
                <w:szCs w:val="12"/>
              </w:rPr>
              <w:t xml:space="preserve">URL: </w:t>
            </w:r>
            <w:hyperlink w:history="1" r:id="rIdrt-6mpeuruvbjpiikmnml">
              <w:r>
                <w:rPr>
                  <w:rFonts w:ascii="Arial" w:cs="Arial" w:eastAsia="Arial" w:hAnsi="Arial"/>
                  <w:b/>
                  <w:bCs/>
                  <w:color w:val="c9a227"/>
                  <w:sz w:val="12"/>
                  <w:szCs w:val="12"/>
                  <w:u w:val="single"/>
                </w:rPr>
                <w:t xml:space="preserve">https://iris.who.int/handle/10665/155002</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3.</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Council of Europe. Convention on Human Rights and Biomedicine (Oviedo Convention). Strasbourg: Council of Europe; 1997.</w:t>
            </w:r>
          </w:p>
          <w:p>
            <w:pPr>
              <w:spacing w:after="36" w:before="0"/>
            </w:pPr>
            <w:r>
              <w:rPr>
                <w:rFonts w:ascii="Arial" w:cs="Arial" w:eastAsia="Arial" w:hAnsi="Arial"/>
                <w:b/>
                <w:bCs/>
                <w:i w:val="false"/>
                <w:iCs w:val="false"/>
                <w:caps w:val="false"/>
                <w:color w:val="6b778c"/>
                <w:sz w:val="12"/>
                <w:szCs w:val="12"/>
              </w:rPr>
              <w:t xml:space="preserve">URL: </w:t>
            </w:r>
            <w:hyperlink w:history="1" r:id="rIdeeuma_pog5jwyi28ok8h6">
              <w:r>
                <w:rPr>
                  <w:rFonts w:ascii="Arial" w:cs="Arial" w:eastAsia="Arial" w:hAnsi="Arial"/>
                  <w:b/>
                  <w:bCs/>
                  <w:color w:val="c9a227"/>
                  <w:sz w:val="12"/>
                  <w:szCs w:val="12"/>
                  <w:u w:val="single"/>
                </w:rPr>
                <w:t xml:space="preserve">https://www.coe.int/en/web/bioethics/oviedo-convention</w:t>
              </w:r>
            </w:hyperlink>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f3f4f6"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0e2647"/>
                <w:spacing w:val="30"/>
                <w:sz w:val="13"/>
                <w:szCs w:val="13"/>
              </w:rPr>
              <w:t xml:space="preserve">Standard 2.2 — Informed Consent Process</w:t>
            </w:r>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4.</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Medical Association. WMA Declaration of Helsinki — Ethical Principles for Medical Research Involving Human Subjects. Ferney-Voltaire: WMA; 2013.</w:t>
            </w:r>
          </w:p>
          <w:p>
            <w:pPr>
              <w:spacing w:after="36" w:before="0"/>
            </w:pPr>
            <w:r>
              <w:rPr>
                <w:rFonts w:ascii="Arial" w:cs="Arial" w:eastAsia="Arial" w:hAnsi="Arial"/>
                <w:b/>
                <w:bCs/>
                <w:i w:val="false"/>
                <w:iCs w:val="false"/>
                <w:caps w:val="false"/>
                <w:color w:val="6b778c"/>
                <w:sz w:val="12"/>
                <w:szCs w:val="12"/>
              </w:rPr>
              <w:t xml:space="preserve">URL: </w:t>
            </w:r>
            <w:hyperlink w:history="1" r:id="rIdnqqezasavspmxrtr4snhg">
              <w:r>
                <w:rPr>
                  <w:rFonts w:ascii="Arial" w:cs="Arial" w:eastAsia="Arial" w:hAnsi="Arial"/>
                  <w:b/>
                  <w:bCs/>
                  <w:color w:val="c9a227"/>
                  <w:sz w:val="12"/>
                  <w:szCs w:val="12"/>
                  <w:u w:val="single"/>
                </w:rPr>
                <w:t xml:space="preserve">https://www.wma.net/policies-post/wma-declaration-of-helsinki-ethical-principles-for-medical-research-involving-human-subjects/</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5.</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Council of Europe. Convention on Human Rights and Biomedicine (Oviedo Convention), Article 5. Strasbourg: Council of Europe; 1997.</w:t>
            </w:r>
          </w:p>
          <w:p>
            <w:pPr>
              <w:spacing w:after="36" w:before="0"/>
            </w:pPr>
            <w:r>
              <w:rPr>
                <w:rFonts w:ascii="Arial" w:cs="Arial" w:eastAsia="Arial" w:hAnsi="Arial"/>
                <w:b/>
                <w:bCs/>
                <w:i w:val="false"/>
                <w:iCs w:val="false"/>
                <w:caps w:val="false"/>
                <w:color w:val="6b778c"/>
                <w:sz w:val="12"/>
                <w:szCs w:val="12"/>
              </w:rPr>
              <w:t xml:space="preserve">URL: </w:t>
            </w:r>
            <w:hyperlink w:history="1" r:id="rId_h4o4yvhqgcpla4aorhsm">
              <w:r>
                <w:rPr>
                  <w:rFonts w:ascii="Arial" w:cs="Arial" w:eastAsia="Arial" w:hAnsi="Arial"/>
                  <w:b/>
                  <w:bCs/>
                  <w:color w:val="c9a227"/>
                  <w:sz w:val="12"/>
                  <w:szCs w:val="12"/>
                  <w:u w:val="single"/>
                </w:rPr>
                <w:t xml:space="preserve">https://www.coe.int/en/web/bioethics/oviedo-convention</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6.</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Beauchamp TL, Childress JF. Principles of Biomedical Ethics. 8th ed. New York: Oxford University Press; 2019.</w:t>
            </w:r>
          </w:p>
          <w:p>
            <w:pPr>
              <w:spacing w:after="36" w:before="0"/>
            </w:pPr>
            <w:r>
              <w:rPr>
                <w:rFonts w:ascii="Arial" w:cs="Arial" w:eastAsia="Arial" w:hAnsi="Arial"/>
                <w:b/>
                <w:bCs/>
                <w:i w:val="false"/>
                <w:iCs w:val="false"/>
                <w:caps w:val="false"/>
                <w:color w:val="6b778c"/>
                <w:sz w:val="12"/>
                <w:szCs w:val="12"/>
              </w:rPr>
              <w:t xml:space="preserve">URL: </w:t>
            </w:r>
            <w:hyperlink w:history="1" r:id="rIddlevoe6q8azrj68yscp6n">
              <w:r>
                <w:rPr>
                  <w:rFonts w:ascii="Arial" w:cs="Arial" w:eastAsia="Arial" w:hAnsi="Arial"/>
                  <w:b/>
                  <w:bCs/>
                  <w:color w:val="c9a227"/>
                  <w:sz w:val="12"/>
                  <w:szCs w:val="12"/>
                  <w:u w:val="single"/>
                </w:rPr>
                <w:t xml:space="preserve">https://global.oup.com/academic/product/principles-of-biomedical-ethics-9780190640873</w:t>
              </w:r>
            </w:hyperlink>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f3f4f6"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0e2647"/>
                <w:spacing w:val="30"/>
                <w:sz w:val="13"/>
                <w:szCs w:val="13"/>
              </w:rPr>
              <w:t xml:space="preserve">Standard 2.3 — Confidentiality and Privacy of Patient Information</w:t>
            </w:r>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7.</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Medical Association. WMA International Code of Medical Ethics. Ferney-Voltaire: WMA; 2022.</w:t>
            </w:r>
          </w:p>
          <w:p>
            <w:pPr>
              <w:spacing w:after="36" w:before="0"/>
            </w:pPr>
            <w:r>
              <w:rPr>
                <w:rFonts w:ascii="Arial" w:cs="Arial" w:eastAsia="Arial" w:hAnsi="Arial"/>
                <w:b/>
                <w:bCs/>
                <w:i w:val="false"/>
                <w:iCs w:val="false"/>
                <w:caps w:val="false"/>
                <w:color w:val="6b778c"/>
                <w:sz w:val="12"/>
                <w:szCs w:val="12"/>
              </w:rPr>
              <w:t xml:space="preserve">URL: </w:t>
            </w:r>
            <w:hyperlink w:history="1" r:id="rIdxdjyemxyf12fxqm2he2wg">
              <w:r>
                <w:rPr>
                  <w:rFonts w:ascii="Arial" w:cs="Arial" w:eastAsia="Arial" w:hAnsi="Arial"/>
                  <w:b/>
                  <w:bCs/>
                  <w:color w:val="c9a227"/>
                  <w:sz w:val="12"/>
                  <w:szCs w:val="12"/>
                  <w:u w:val="single"/>
                </w:rPr>
                <w:t xml:space="preserve">https://www.wma.net/policies-post/wma-international-code-of-medical-ethics/</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8.</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Council of Europe. Convention 108+: Convention for the Protection of Individuals with regard to the Processing of Personal Data. Strasbourg: Council of Europe; 2018.</w:t>
            </w:r>
          </w:p>
          <w:p>
            <w:pPr>
              <w:spacing w:after="36" w:before="0"/>
            </w:pPr>
            <w:r>
              <w:rPr>
                <w:rFonts w:ascii="Arial" w:cs="Arial" w:eastAsia="Arial" w:hAnsi="Arial"/>
                <w:b/>
                <w:bCs/>
                <w:i w:val="false"/>
                <w:iCs w:val="false"/>
                <w:caps w:val="false"/>
                <w:color w:val="6b778c"/>
                <w:sz w:val="12"/>
                <w:szCs w:val="12"/>
              </w:rPr>
              <w:t xml:space="preserve">URL: </w:t>
            </w:r>
            <w:hyperlink w:history="1" r:id="rIdioumv35wgypr_fz716mmj">
              <w:r>
                <w:rPr>
                  <w:rFonts w:ascii="Arial" w:cs="Arial" w:eastAsia="Arial" w:hAnsi="Arial"/>
                  <w:b/>
                  <w:bCs/>
                  <w:color w:val="c9a227"/>
                  <w:sz w:val="12"/>
                  <w:szCs w:val="12"/>
                  <w:u w:val="single"/>
                </w:rPr>
                <w:t xml:space="preserve">https://www.coe.int/en/web/data-protection/convention108-and-protocol</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9.</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Ethical and safety recommendations for research on violence against women. Geneva: WHO; 2001.</w:t>
            </w:r>
          </w:p>
          <w:p>
            <w:pPr>
              <w:spacing w:after="36" w:before="0"/>
            </w:pPr>
            <w:r>
              <w:rPr>
                <w:rFonts w:ascii="Arial" w:cs="Arial" w:eastAsia="Arial" w:hAnsi="Arial"/>
                <w:b/>
                <w:bCs/>
                <w:i w:val="false"/>
                <w:iCs w:val="false"/>
                <w:caps w:val="false"/>
                <w:color w:val="6b778c"/>
                <w:sz w:val="12"/>
                <w:szCs w:val="12"/>
              </w:rPr>
              <w:t xml:space="preserve">URL: </w:t>
            </w:r>
            <w:hyperlink w:history="1" r:id="rIdeqla8lbrz4a60kqi2ocdi">
              <w:r>
                <w:rPr>
                  <w:rFonts w:ascii="Arial" w:cs="Arial" w:eastAsia="Arial" w:hAnsi="Arial"/>
                  <w:b/>
                  <w:bCs/>
                  <w:color w:val="c9a227"/>
                  <w:sz w:val="12"/>
                  <w:szCs w:val="12"/>
                  <w:u w:val="single"/>
                </w:rPr>
                <w:t xml:space="preserve">https://www.who.int/publications/i/item/9241546255</w:t>
              </w:r>
            </w:hyperlink>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f3f4f6"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0e2647"/>
                <w:spacing w:val="30"/>
                <w:sz w:val="13"/>
                <w:szCs w:val="13"/>
              </w:rPr>
              <w:t xml:space="preserve">Standard 2.4 — Patient Identification and Safe Procedures</w:t>
            </w:r>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10.</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Patient identification. Patient Safety Solutions, Volume 1, Solution 2. Geneva: WHO; 2007.</w:t>
            </w:r>
          </w:p>
          <w:p>
            <w:pPr>
              <w:spacing w:after="36" w:before="0"/>
            </w:pPr>
            <w:r>
              <w:rPr>
                <w:rFonts w:ascii="Arial" w:cs="Arial" w:eastAsia="Arial" w:hAnsi="Arial"/>
                <w:b/>
                <w:bCs/>
                <w:i w:val="false"/>
                <w:iCs w:val="false"/>
                <w:caps w:val="false"/>
                <w:color w:val="6b778c"/>
                <w:sz w:val="12"/>
                <w:szCs w:val="12"/>
              </w:rPr>
              <w:t xml:space="preserve">URL: </w:t>
            </w:r>
            <w:hyperlink w:history="1" r:id="rIdsmp6i_7svbgw8xwadcpj8">
              <w:r>
                <w:rPr>
                  <w:rFonts w:ascii="Arial" w:cs="Arial" w:eastAsia="Arial" w:hAnsi="Arial"/>
                  <w:b/>
                  <w:bCs/>
                  <w:color w:val="c9a227"/>
                  <w:sz w:val="12"/>
                  <w:szCs w:val="12"/>
                  <w:u w:val="single"/>
                </w:rPr>
                <w:t xml:space="preserve">https://www.who.int/publications/i/item/patient-safety-solutions</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11.</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Joint Commission International. International Patient Safety Goals. Oak Brook: JCI; 2020.</w:t>
            </w:r>
          </w:p>
          <w:p>
            <w:pPr>
              <w:spacing w:after="36" w:before="0"/>
            </w:pPr>
            <w:r>
              <w:rPr>
                <w:rFonts w:ascii="Arial" w:cs="Arial" w:eastAsia="Arial" w:hAnsi="Arial"/>
                <w:b/>
                <w:bCs/>
                <w:i w:val="false"/>
                <w:iCs w:val="false"/>
                <w:caps w:val="false"/>
                <w:color w:val="6b778c"/>
                <w:sz w:val="12"/>
                <w:szCs w:val="12"/>
              </w:rPr>
              <w:t xml:space="preserve">URL: </w:t>
            </w:r>
            <w:hyperlink w:history="1" r:id="rIdsjc0rjlrozbdgwdv81the">
              <w:r>
                <w:rPr>
                  <w:rFonts w:ascii="Arial" w:cs="Arial" w:eastAsia="Arial" w:hAnsi="Arial"/>
                  <w:b/>
                  <w:bCs/>
                  <w:color w:val="c9a227"/>
                  <w:sz w:val="12"/>
                  <w:szCs w:val="12"/>
                  <w:u w:val="single"/>
                </w:rPr>
                <w:t xml:space="preserve">https://www.jointcommissioninternational.org</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12.</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National Patient Safety Agency. Standardising wristbands improves patient safety. London: NPSA; 2007.</w:t>
            </w:r>
          </w:p>
          <w:p>
            <w:pPr>
              <w:spacing w:after="36" w:before="0"/>
            </w:pPr>
            <w:r>
              <w:rPr>
                <w:rFonts w:ascii="Arial" w:cs="Arial" w:eastAsia="Arial" w:hAnsi="Arial"/>
                <w:b/>
                <w:bCs/>
                <w:i w:val="false"/>
                <w:iCs w:val="false"/>
                <w:caps w:val="false"/>
                <w:color w:val="6b778c"/>
                <w:sz w:val="12"/>
                <w:szCs w:val="12"/>
              </w:rPr>
              <w:t xml:space="preserve">URL: </w:t>
            </w:r>
            <w:hyperlink w:history="1" r:id="rIdmt7qs_afupsidkltlgijn">
              <w:r>
                <w:rPr>
                  <w:rFonts w:ascii="Arial" w:cs="Arial" w:eastAsia="Arial" w:hAnsi="Arial"/>
                  <w:b/>
                  <w:bCs/>
                  <w:color w:val="c9a227"/>
                  <w:sz w:val="12"/>
                  <w:szCs w:val="12"/>
                  <w:u w:val="single"/>
                </w:rPr>
                <w:t xml:space="preserve">https://www.england.nhs.uk/patient-safety/</w:t>
              </w:r>
            </w:hyperlink>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f3f4f6"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0e2647"/>
                <w:spacing w:val="30"/>
                <w:sz w:val="13"/>
                <w:szCs w:val="13"/>
              </w:rPr>
              <w:t xml:space="preserve">Standard 2.5 — Complaints and Grievance Process</w:t>
            </w:r>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13.</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WHO framework on integrated people-centred health services. Geneva: WHO; 2016.</w:t>
            </w:r>
          </w:p>
          <w:p>
            <w:pPr>
              <w:spacing w:after="36" w:before="0"/>
            </w:pPr>
            <w:r>
              <w:rPr>
                <w:rFonts w:ascii="Arial" w:cs="Arial" w:eastAsia="Arial" w:hAnsi="Arial"/>
                <w:b/>
                <w:bCs/>
                <w:i w:val="false"/>
                <w:iCs w:val="false"/>
                <w:caps w:val="false"/>
                <w:color w:val="6b778c"/>
                <w:sz w:val="12"/>
                <w:szCs w:val="12"/>
              </w:rPr>
              <w:t xml:space="preserve">URL: </w:t>
            </w:r>
            <w:hyperlink w:history="1" r:id="rIdxz9bykxlwbqghuocr5eio">
              <w:r>
                <w:rPr>
                  <w:rFonts w:ascii="Arial" w:cs="Arial" w:eastAsia="Arial" w:hAnsi="Arial"/>
                  <w:b/>
                  <w:bCs/>
                  <w:color w:val="c9a227"/>
                  <w:sz w:val="12"/>
                  <w:szCs w:val="12"/>
                  <w:u w:val="single"/>
                </w:rPr>
                <w:t xml:space="preserve">https://iris.who.int/handle/10665/155002</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14.</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Reader TW, Gillespie A, Roberts J. Patient complaints in healthcare systems: a systematic review and coding taxonomy. BMJ Qual Saf. 2014;23(8):678-689.</w:t>
            </w:r>
          </w:p>
          <w:p>
            <w:pPr>
              <w:spacing w:after="36" w:before="0"/>
            </w:pPr>
            <w:r>
              <w:rPr>
                <w:rFonts w:ascii="Arial" w:cs="Arial" w:eastAsia="Arial" w:hAnsi="Arial"/>
                <w:b/>
                <w:bCs/>
                <w:i w:val="false"/>
                <w:iCs w:val="false"/>
                <w:caps w:val="false"/>
                <w:color w:val="6b778c"/>
                <w:sz w:val="12"/>
                <w:szCs w:val="12"/>
              </w:rPr>
              <w:t xml:space="preserve">URL: </w:t>
            </w:r>
            <w:hyperlink w:history="1" r:id="rId72lpt3mudyg7jcra_mp1-">
              <w:r>
                <w:rPr>
                  <w:rFonts w:ascii="Arial" w:cs="Arial" w:eastAsia="Arial" w:hAnsi="Arial"/>
                  <w:b/>
                  <w:bCs/>
                  <w:color w:val="c9a227"/>
                  <w:sz w:val="12"/>
                  <w:szCs w:val="12"/>
                  <w:u w:val="single"/>
                </w:rPr>
                <w:t xml:space="preserve">https://doi.org/10.1136/bmjqs-2013-002437</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15.</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Bismark MM, Dauer E, Paterson R, Studdert DM. Accountability sought by patients following adverse events from medical care. CMAJ. 2006;175(8):889-894.</w:t>
            </w:r>
          </w:p>
          <w:p>
            <w:pPr>
              <w:spacing w:after="36" w:before="0"/>
            </w:pPr>
            <w:r>
              <w:rPr>
                <w:rFonts w:ascii="Arial" w:cs="Arial" w:eastAsia="Arial" w:hAnsi="Arial"/>
                <w:b/>
                <w:bCs/>
                <w:i w:val="false"/>
                <w:iCs w:val="false"/>
                <w:caps w:val="false"/>
                <w:color w:val="6b778c"/>
                <w:sz w:val="12"/>
                <w:szCs w:val="12"/>
              </w:rPr>
              <w:t xml:space="preserve">URL: </w:t>
            </w:r>
            <w:hyperlink w:history="1" r:id="rId4pjbprqp6gnq-cf1od3zi">
              <w:r>
                <w:rPr>
                  <w:rFonts w:ascii="Arial" w:cs="Arial" w:eastAsia="Arial" w:hAnsi="Arial"/>
                  <w:b/>
                  <w:bCs/>
                  <w:color w:val="c9a227"/>
                  <w:sz w:val="12"/>
                  <w:szCs w:val="12"/>
                  <w:u w:val="single"/>
                </w:rPr>
                <w:t xml:space="preserve">https://doi.org/10.1503/cmaj.060429</w:t>
              </w:r>
            </w:hyperlink>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f3f4f6"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0e2647"/>
                <w:spacing w:val="30"/>
                <w:sz w:val="13"/>
                <w:szCs w:val="13"/>
              </w:rPr>
              <w:t xml:space="preserve">Standard 2.6 — Vulnerable Patient Protections</w:t>
            </w:r>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16.</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Responding to intimate partner violence and sexual violence against women: WHO clinical and policy guidelines. Geneva: WHO; 2013.</w:t>
            </w:r>
          </w:p>
          <w:p>
            <w:pPr>
              <w:spacing w:after="36" w:before="0"/>
            </w:pPr>
            <w:r>
              <w:rPr>
                <w:rFonts w:ascii="Arial" w:cs="Arial" w:eastAsia="Arial" w:hAnsi="Arial"/>
                <w:b/>
                <w:bCs/>
                <w:i w:val="false"/>
                <w:iCs w:val="false"/>
                <w:caps w:val="false"/>
                <w:color w:val="6b778c"/>
                <w:sz w:val="12"/>
                <w:szCs w:val="12"/>
              </w:rPr>
              <w:t xml:space="preserve">URL: </w:t>
            </w:r>
            <w:hyperlink w:history="1" r:id="rIda203qspf8mf23p4hdteaj">
              <w:r>
                <w:rPr>
                  <w:rFonts w:ascii="Arial" w:cs="Arial" w:eastAsia="Arial" w:hAnsi="Arial"/>
                  <w:b/>
                  <w:bCs/>
                  <w:color w:val="c9a227"/>
                  <w:sz w:val="12"/>
                  <w:szCs w:val="12"/>
                  <w:u w:val="single"/>
                </w:rPr>
                <w:t xml:space="preserve">https://iris.who.int/handle/10665/85240</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17.</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Toolkit for detection, management and prevention of child maltreatment. Geneva: WHO; 2022.</w:t>
            </w:r>
          </w:p>
          <w:p>
            <w:pPr>
              <w:spacing w:after="36" w:before="0"/>
            </w:pPr>
            <w:r>
              <w:rPr>
                <w:rFonts w:ascii="Arial" w:cs="Arial" w:eastAsia="Arial" w:hAnsi="Arial"/>
                <w:b/>
                <w:bCs/>
                <w:i w:val="false"/>
                <w:iCs w:val="false"/>
                <w:caps w:val="false"/>
                <w:color w:val="6b778c"/>
                <w:sz w:val="12"/>
                <w:szCs w:val="12"/>
              </w:rPr>
              <w:t xml:space="preserve">URL: </w:t>
            </w:r>
            <w:hyperlink w:history="1" r:id="rIdsuzryxatjzl1wm2voeykw">
              <w:r>
                <w:rPr>
                  <w:rFonts w:ascii="Arial" w:cs="Arial" w:eastAsia="Arial" w:hAnsi="Arial"/>
                  <w:b/>
                  <w:bCs/>
                  <w:color w:val="c9a227"/>
                  <w:sz w:val="12"/>
                  <w:szCs w:val="12"/>
                  <w:u w:val="single"/>
                </w:rPr>
                <w:t xml:space="preserve">https://www.who.int/publications/i/item/9789240058623</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18.</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United Nations. Convention on the Rights of Persons with Disabilities. New York: UN; 2006.</w:t>
            </w:r>
          </w:p>
          <w:p>
            <w:pPr>
              <w:spacing w:after="36" w:before="0"/>
            </w:pPr>
            <w:r>
              <w:rPr>
                <w:rFonts w:ascii="Arial" w:cs="Arial" w:eastAsia="Arial" w:hAnsi="Arial"/>
                <w:b/>
                <w:bCs/>
                <w:i w:val="false"/>
                <w:iCs w:val="false"/>
                <w:caps w:val="false"/>
                <w:color w:val="6b778c"/>
                <w:sz w:val="12"/>
                <w:szCs w:val="12"/>
              </w:rPr>
              <w:t xml:space="preserve">URL: </w:t>
            </w:r>
            <w:hyperlink w:history="1" r:id="rIds1p5pivdwekkyntgxpeqg">
              <w:r>
                <w:rPr>
                  <w:rFonts w:ascii="Arial" w:cs="Arial" w:eastAsia="Arial" w:hAnsi="Arial"/>
                  <w:b/>
                  <w:bCs/>
                  <w:color w:val="c9a227"/>
                  <w:sz w:val="12"/>
                  <w:szCs w:val="12"/>
                  <w:u w:val="single"/>
                </w:rPr>
                <w:t xml:space="preserve">https://www.un.org/development/desa/disabilities/convention-on-the-rights-of-persons-with-disabilities.html</w:t>
              </w:r>
            </w:hyperlink>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f3f4f6"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0e2647"/>
                <w:spacing w:val="30"/>
                <w:sz w:val="13"/>
                <w:szCs w:val="13"/>
              </w:rPr>
              <w:t xml:space="preserve">Standard 2.7 — Advance Directives and End-of-Life Decisions</w:t>
            </w:r>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19.</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WHO definition and guidance on palliative care. Geneva: WHO; 2020.</w:t>
            </w:r>
          </w:p>
          <w:p>
            <w:pPr>
              <w:spacing w:after="36" w:before="0"/>
            </w:pPr>
            <w:r>
              <w:rPr>
                <w:rFonts w:ascii="Arial" w:cs="Arial" w:eastAsia="Arial" w:hAnsi="Arial"/>
                <w:b/>
                <w:bCs/>
                <w:i w:val="false"/>
                <w:iCs w:val="false"/>
                <w:caps w:val="false"/>
                <w:color w:val="6b778c"/>
                <w:sz w:val="12"/>
                <w:szCs w:val="12"/>
              </w:rPr>
              <w:t xml:space="preserve">URL: </w:t>
            </w:r>
            <w:hyperlink w:history="1" r:id="rIdwwlwyaav-g_azgyz9renr">
              <w:r>
                <w:rPr>
                  <w:rFonts w:ascii="Arial" w:cs="Arial" w:eastAsia="Arial" w:hAnsi="Arial"/>
                  <w:b/>
                  <w:bCs/>
                  <w:color w:val="c9a227"/>
                  <w:sz w:val="12"/>
                  <w:szCs w:val="12"/>
                  <w:u w:val="single"/>
                </w:rPr>
                <w:t xml:space="preserve">https://www.who.int/news-room/fact-sheets/detail/palliative-care</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20.</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Council of Europe. Guide on the decision-making process regarding medical treatment in end-of-life situations. Strasbourg: Council of Europe; 2014.</w:t>
            </w:r>
          </w:p>
          <w:p>
            <w:pPr>
              <w:spacing w:after="36" w:before="0"/>
            </w:pPr>
            <w:r>
              <w:rPr>
                <w:rFonts w:ascii="Arial" w:cs="Arial" w:eastAsia="Arial" w:hAnsi="Arial"/>
                <w:b/>
                <w:bCs/>
                <w:i w:val="false"/>
                <w:iCs w:val="false"/>
                <w:caps w:val="false"/>
                <w:color w:val="6b778c"/>
                <w:sz w:val="12"/>
                <w:szCs w:val="12"/>
              </w:rPr>
              <w:t xml:space="preserve">URL: </w:t>
            </w:r>
            <w:hyperlink w:history="1" r:id="rIds6inh5std-7ou64m0uex9">
              <w:r>
                <w:rPr>
                  <w:rFonts w:ascii="Arial" w:cs="Arial" w:eastAsia="Arial" w:hAnsi="Arial"/>
                  <w:b/>
                  <w:bCs/>
                  <w:color w:val="c9a227"/>
                  <w:sz w:val="12"/>
                  <w:szCs w:val="12"/>
                  <w:u w:val="single"/>
                </w:rPr>
                <w:t xml:space="preserve">https://www.coe.int/en/web/bioethics/end-of-life</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21.</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Sudore RL, Lum HD, You JJ, et al. Defining advance care planning for adults: a consensus definition. J Pain Symptom Manage. 2017;53(5):821-832.</w:t>
            </w:r>
          </w:p>
          <w:p>
            <w:pPr>
              <w:spacing w:after="36" w:before="0"/>
            </w:pPr>
            <w:r>
              <w:rPr>
                <w:rFonts w:ascii="Arial" w:cs="Arial" w:eastAsia="Arial" w:hAnsi="Arial"/>
                <w:b/>
                <w:bCs/>
                <w:i w:val="false"/>
                <w:iCs w:val="false"/>
                <w:caps w:val="false"/>
                <w:color w:val="6b778c"/>
                <w:sz w:val="12"/>
                <w:szCs w:val="12"/>
              </w:rPr>
              <w:t xml:space="preserve">URL: </w:t>
            </w:r>
            <w:hyperlink w:history="1" r:id="rIdkq21uxjqgehg7jddtf8lt">
              <w:r>
                <w:rPr>
                  <w:rFonts w:ascii="Arial" w:cs="Arial" w:eastAsia="Arial" w:hAnsi="Arial"/>
                  <w:b/>
                  <w:bCs/>
                  <w:color w:val="c9a227"/>
                  <w:sz w:val="12"/>
                  <w:szCs w:val="12"/>
                  <w:u w:val="single"/>
                </w:rPr>
                <w:t xml:space="preserve">https://doi.org/10.1016/j.jpainsymman.2016.12.331</w:t>
              </w:r>
            </w:hyperlink>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f3f4f6"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0e2647"/>
                <w:spacing w:val="30"/>
                <w:sz w:val="13"/>
                <w:szCs w:val="13"/>
              </w:rPr>
              <w:t xml:space="preserve">Standard 2.8 — Interpreter and Language Access Services</w:t>
            </w:r>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22.</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WHO framework on integrated people-centred health services. Geneva: WHO; 2016.</w:t>
            </w:r>
          </w:p>
          <w:p>
            <w:pPr>
              <w:spacing w:after="36" w:before="0"/>
            </w:pPr>
            <w:r>
              <w:rPr>
                <w:rFonts w:ascii="Arial" w:cs="Arial" w:eastAsia="Arial" w:hAnsi="Arial"/>
                <w:b/>
                <w:bCs/>
                <w:i w:val="false"/>
                <w:iCs w:val="false"/>
                <w:caps w:val="false"/>
                <w:color w:val="6b778c"/>
                <w:sz w:val="12"/>
                <w:szCs w:val="12"/>
              </w:rPr>
              <w:t xml:space="preserve">URL: </w:t>
            </w:r>
            <w:hyperlink w:history="1" r:id="rIdzikdt41resm8n9sifitya">
              <w:r>
                <w:rPr>
                  <w:rFonts w:ascii="Arial" w:cs="Arial" w:eastAsia="Arial" w:hAnsi="Arial"/>
                  <w:b/>
                  <w:bCs/>
                  <w:color w:val="c9a227"/>
                  <w:sz w:val="12"/>
                  <w:szCs w:val="12"/>
                  <w:u w:val="single"/>
                </w:rPr>
                <w:t xml:space="preserve">https://iris.who.int/handle/10665/155002</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23.</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Flores G. The impact of medical interpreter services on the quality of health care: a systematic review. Med Care Res Rev. 2005;62(3):255-299.</w:t>
            </w:r>
          </w:p>
          <w:p>
            <w:pPr>
              <w:spacing w:after="36" w:before="0"/>
            </w:pPr>
            <w:r>
              <w:rPr>
                <w:rFonts w:ascii="Arial" w:cs="Arial" w:eastAsia="Arial" w:hAnsi="Arial"/>
                <w:b/>
                <w:bCs/>
                <w:i w:val="false"/>
                <w:iCs w:val="false"/>
                <w:caps w:val="false"/>
                <w:color w:val="6b778c"/>
                <w:sz w:val="12"/>
                <w:szCs w:val="12"/>
              </w:rPr>
              <w:t xml:space="preserve">URL: </w:t>
            </w:r>
            <w:hyperlink w:history="1" r:id="rIdcwwhg-yxnooavtjhbsu07">
              <w:r>
                <w:rPr>
                  <w:rFonts w:ascii="Arial" w:cs="Arial" w:eastAsia="Arial" w:hAnsi="Arial"/>
                  <w:b/>
                  <w:bCs/>
                  <w:color w:val="c9a227"/>
                  <w:sz w:val="12"/>
                  <w:szCs w:val="12"/>
                  <w:u w:val="single"/>
                </w:rPr>
                <w:t xml:space="preserve">https://doi.org/10.1177/1077558705275416</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24.</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Karliner LS, Jacobs EA, Chen AH, Mutha S. Do professional interpreters improve clinical care for patients with limited English proficiency? Health Serv Res. 2007;42(2):727-754.</w:t>
            </w:r>
          </w:p>
          <w:p>
            <w:pPr>
              <w:spacing w:after="36" w:before="0"/>
            </w:pPr>
            <w:r>
              <w:rPr>
                <w:rFonts w:ascii="Arial" w:cs="Arial" w:eastAsia="Arial" w:hAnsi="Arial"/>
                <w:b/>
                <w:bCs/>
                <w:i w:val="false"/>
                <w:iCs w:val="false"/>
                <w:caps w:val="false"/>
                <w:color w:val="6b778c"/>
                <w:sz w:val="12"/>
                <w:szCs w:val="12"/>
              </w:rPr>
              <w:t xml:space="preserve">URL: </w:t>
            </w:r>
            <w:hyperlink w:history="1" r:id="rIdh-7bqphh26lisomes_ntm">
              <w:r>
                <w:rPr>
                  <w:rFonts w:ascii="Arial" w:cs="Arial" w:eastAsia="Arial" w:hAnsi="Arial"/>
                  <w:b/>
                  <w:bCs/>
                  <w:color w:val="c9a227"/>
                  <w:sz w:val="12"/>
                  <w:szCs w:val="12"/>
                  <w:u w:val="single"/>
                </w:rPr>
                <w:t xml:space="preserve">https://doi.org/10.1111/j.1475-6773.2006.00629.x</w:t>
              </w:r>
            </w:hyperlink>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f3f4f6"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0e2647"/>
                <w:spacing w:val="30"/>
                <w:sz w:val="13"/>
                <w:szCs w:val="13"/>
              </w:rPr>
              <w:t xml:space="preserve">Standard 2.9 — Patient Feedback and Experience Monitoring</w:t>
            </w:r>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25.</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WHO framework on integrated people-centred health services. Geneva: WHO; 2016.</w:t>
            </w:r>
          </w:p>
          <w:p>
            <w:pPr>
              <w:spacing w:after="36" w:before="0"/>
            </w:pPr>
            <w:r>
              <w:rPr>
                <w:rFonts w:ascii="Arial" w:cs="Arial" w:eastAsia="Arial" w:hAnsi="Arial"/>
                <w:b/>
                <w:bCs/>
                <w:i w:val="false"/>
                <w:iCs w:val="false"/>
                <w:caps w:val="false"/>
                <w:color w:val="6b778c"/>
                <w:sz w:val="12"/>
                <w:szCs w:val="12"/>
              </w:rPr>
              <w:t xml:space="preserve">URL: </w:t>
            </w:r>
            <w:hyperlink w:history="1" r:id="rIdjwjizsq9pk4wfvbdnfajx">
              <w:r>
                <w:rPr>
                  <w:rFonts w:ascii="Arial" w:cs="Arial" w:eastAsia="Arial" w:hAnsi="Arial"/>
                  <w:b/>
                  <w:bCs/>
                  <w:color w:val="c9a227"/>
                  <w:sz w:val="12"/>
                  <w:szCs w:val="12"/>
                  <w:u w:val="single"/>
                </w:rPr>
                <w:t xml:space="preserve">https://iris.who.int/handle/10665/155002</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26.</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Doyle C, Lennox L, Bell D. A systematic review of evidence on the links between patient experience and clinical safety and effectiveness. BMJ Open. 2013;3(1):e001570.</w:t>
            </w:r>
          </w:p>
          <w:p>
            <w:pPr>
              <w:spacing w:after="36" w:before="0"/>
            </w:pPr>
            <w:r>
              <w:rPr>
                <w:rFonts w:ascii="Arial" w:cs="Arial" w:eastAsia="Arial" w:hAnsi="Arial"/>
                <w:b/>
                <w:bCs/>
                <w:i w:val="false"/>
                <w:iCs w:val="false"/>
                <w:caps w:val="false"/>
                <w:color w:val="6b778c"/>
                <w:sz w:val="12"/>
                <w:szCs w:val="12"/>
              </w:rPr>
              <w:t xml:space="preserve">URL: </w:t>
            </w:r>
            <w:hyperlink w:history="1" r:id="rIdxjp8pejzspsteytvltpgn">
              <w:r>
                <w:rPr>
                  <w:rFonts w:ascii="Arial" w:cs="Arial" w:eastAsia="Arial" w:hAnsi="Arial"/>
                  <w:b/>
                  <w:bCs/>
                  <w:color w:val="c9a227"/>
                  <w:sz w:val="12"/>
                  <w:szCs w:val="12"/>
                  <w:u w:val="single"/>
                </w:rPr>
                <w:t xml:space="preserve">https://doi.org/10.1136/bmjopen-2012-001570</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27.</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Coulter A, Locock L, Ziebland S, Calabrese J. Collecting data on patient experience is not enough: they must be used to improve care. BMJ. 2014;348:g2225.</w:t>
            </w:r>
          </w:p>
          <w:p>
            <w:pPr>
              <w:spacing w:after="36" w:before="0"/>
            </w:pPr>
            <w:r>
              <w:rPr>
                <w:rFonts w:ascii="Arial" w:cs="Arial" w:eastAsia="Arial" w:hAnsi="Arial"/>
                <w:b/>
                <w:bCs/>
                <w:i w:val="false"/>
                <w:iCs w:val="false"/>
                <w:caps w:val="false"/>
                <w:color w:val="6b778c"/>
                <w:sz w:val="12"/>
                <w:szCs w:val="12"/>
              </w:rPr>
              <w:t xml:space="preserve">URL: </w:t>
            </w:r>
            <w:hyperlink w:history="1" r:id="rId3miumuctjuhibuhzzagf5">
              <w:r>
                <w:rPr>
                  <w:rFonts w:ascii="Arial" w:cs="Arial" w:eastAsia="Arial" w:hAnsi="Arial"/>
                  <w:b/>
                  <w:bCs/>
                  <w:color w:val="c9a227"/>
                  <w:sz w:val="12"/>
                  <w:szCs w:val="12"/>
                  <w:u w:val="single"/>
                </w:rPr>
                <w:t xml:space="preserve">https://doi.org/10.1136/bmj.g2225</w:t>
              </w:r>
            </w:hyperlink>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f3f4f6"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0e2647"/>
                <w:spacing w:val="30"/>
                <w:sz w:val="13"/>
                <w:szCs w:val="13"/>
              </w:rPr>
              <w:t xml:space="preserve">Standard 2.10 — Dignity, Respect and Non-Discrimination</w:t>
            </w:r>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28.</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Health and human rights. Geneva: WHO; 2017.</w:t>
            </w:r>
          </w:p>
          <w:p>
            <w:pPr>
              <w:spacing w:after="36" w:before="0"/>
            </w:pPr>
            <w:r>
              <w:rPr>
                <w:rFonts w:ascii="Arial" w:cs="Arial" w:eastAsia="Arial" w:hAnsi="Arial"/>
                <w:b/>
                <w:bCs/>
                <w:i w:val="false"/>
                <w:iCs w:val="false"/>
                <w:caps w:val="false"/>
                <w:color w:val="6b778c"/>
                <w:sz w:val="12"/>
                <w:szCs w:val="12"/>
              </w:rPr>
              <w:t xml:space="preserve">URL: </w:t>
            </w:r>
            <w:hyperlink w:history="1" r:id="rIdswlbnmz6gsdiownfnh0gp">
              <w:r>
                <w:rPr>
                  <w:rFonts w:ascii="Arial" w:cs="Arial" w:eastAsia="Arial" w:hAnsi="Arial"/>
                  <w:b/>
                  <w:bCs/>
                  <w:color w:val="c9a227"/>
                  <w:sz w:val="12"/>
                  <w:szCs w:val="12"/>
                  <w:u w:val="single"/>
                </w:rPr>
                <w:t xml:space="preserve">https://www.who.int/news-room/fact-sheets/detail/human-rights-and-health</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29.</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United Nations. International Covenant on Economic, Social and Cultural Rights, Article 12. New York: UN; 1966.</w:t>
            </w:r>
          </w:p>
          <w:p>
            <w:pPr>
              <w:spacing w:after="36" w:before="0"/>
            </w:pPr>
            <w:r>
              <w:rPr>
                <w:rFonts w:ascii="Arial" w:cs="Arial" w:eastAsia="Arial" w:hAnsi="Arial"/>
                <w:b/>
                <w:bCs/>
                <w:i w:val="false"/>
                <w:iCs w:val="false"/>
                <w:caps w:val="false"/>
                <w:color w:val="6b778c"/>
                <w:sz w:val="12"/>
                <w:szCs w:val="12"/>
              </w:rPr>
              <w:t xml:space="preserve">URL: </w:t>
            </w:r>
            <w:hyperlink w:history="1" r:id="rId_z2poexx1bqrj1dsj5q9g">
              <w:r>
                <w:rPr>
                  <w:rFonts w:ascii="Arial" w:cs="Arial" w:eastAsia="Arial" w:hAnsi="Arial"/>
                  <w:b/>
                  <w:bCs/>
                  <w:color w:val="c9a227"/>
                  <w:sz w:val="12"/>
                  <w:szCs w:val="12"/>
                  <w:u w:val="single"/>
                </w:rPr>
                <w:t xml:space="preserve">https://www.ohchr.org/en/instruments-mechanisms/instruments/international-covenant-economic-social-and-cultural-rights</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30.</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Betancourt JR, Green AR, Carrillo JE, Ananeh-Firempong O. Defining cultural competence: a practical framework for addressing racial/ethnic disparities in health and healthcare. Public Health Rep. 2003;118(4):293-302.</w:t>
            </w:r>
          </w:p>
          <w:p>
            <w:pPr>
              <w:spacing w:after="36" w:before="0"/>
            </w:pPr>
            <w:r>
              <w:rPr>
                <w:rFonts w:ascii="Arial" w:cs="Arial" w:eastAsia="Arial" w:hAnsi="Arial"/>
                <w:b/>
                <w:bCs/>
                <w:i w:val="false"/>
                <w:iCs w:val="false"/>
                <w:caps w:val="false"/>
                <w:color w:val="6b778c"/>
                <w:sz w:val="12"/>
                <w:szCs w:val="12"/>
              </w:rPr>
              <w:t xml:space="preserve">URL: </w:t>
            </w:r>
            <w:hyperlink w:history="1" r:id="rIddrnrkdzy6yxdfltkqghrn">
              <w:r>
                <w:rPr>
                  <w:rFonts w:ascii="Arial" w:cs="Arial" w:eastAsia="Arial" w:hAnsi="Arial"/>
                  <w:b/>
                  <w:bCs/>
                  <w:color w:val="c9a227"/>
                  <w:sz w:val="12"/>
                  <w:szCs w:val="12"/>
                  <w:u w:val="single"/>
                </w:rPr>
                <w:t xml:space="preserve">https://doi.org/10.1093/phr/118.4.293</w:t>
              </w:r>
            </w:hyperlink>
          </w:p>
        </w:tc>
      </w:tr>
    </w:tbl>
    <w:p>
      <w:pPr>
        <w:spacing w:after="36" w:before="16"/>
      </w:pPr>
      <w:r>
        <w:rPr>
          <w:rFonts w:ascii="Arial" w:cs="Arial" w:eastAsia="Arial" w:hAnsi="Arial"/>
          <w:b w:val="false"/>
          <w:bCs w:val="false"/>
          <w:i w:val="false"/>
          <w:iCs w:val="false"/>
          <w:caps w:val="false"/>
          <w:color w:val="374151"/>
          <w:sz w:val="18"/>
          <w:szCs w:val="18"/>
        </w:rPr>
        <w:t xml:space="preserve"/>
      </w:r>
    </w:p>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7700"/>
        <w:gridCol w:w="1660"/>
      </w:tblGrid>
      <w:tr>
        <w:tc>
          <w:tcPr>
            <w:tcW w:type="dxa" w:w="7700"/>
            <w:shd w:fill="0e2647" w:color="auto" w:val="clear"/>
            <w:tcMar>
              <w:top w:type="dxa" w:w="60"/>
              <w:left w:type="dxa" w:w="150"/>
              <w:bottom w:type="dxa" w:w="60"/>
              <w:right w:type="dxa" w:w="75"/>
            </w:tcMar>
            <w:vAlign w:val="top"/>
          </w:tcPr>
          <w:p>
            <w:pPr>
              <w:spacing w:after="36" w:before="0"/>
            </w:pPr>
            <w:r>
              <w:rPr>
                <w:rFonts w:ascii="Helvetica" w:cs="Helvetica" w:eastAsia="Helvetica" w:hAnsi="Helvetica"/>
                <w:b/>
                <w:bCs/>
                <w:i w:val="false"/>
                <w:iCs w:val="false"/>
                <w:caps/>
                <w:color w:val="c9a227"/>
                <w:spacing w:val="30"/>
                <w:sz w:val="13"/>
                <w:szCs w:val="13"/>
              </w:rPr>
              <w:t xml:space="preserve">CHAPTER 2: PRS  —  KEYWORD INDEX</w:t>
            </w:r>
          </w:p>
        </w:tc>
        <w:tc>
          <w:tcPr>
            <w:tcW w:type="dxa" w:w="1660"/>
            <w:shd w:fill="0e2647" w:color="auto" w:val="clear"/>
            <w:tcMar>
              <w:top w:type="dxa" w:w="50"/>
              <w:left w:type="dxa" w:w="70"/>
              <w:bottom w:type="dxa" w:w="50"/>
              <w:right w:type="dxa" w:w="75"/>
            </w:tcMar>
            <w:vAlign w:val="top"/>
          </w:tcPr>
          <w:p>
            <w:pPr>
              <w:spacing w:after="3" w:before="0"/>
            </w:pPr>
            <w:r>
              <w:rPr>
                <w:rFonts w:ascii="Arial" w:cs="Arial" w:eastAsia="Arial" w:hAnsi="Arial"/>
                <w:b w:val="false"/>
                <w:bCs w:val="false"/>
                <w:i/>
                <w:iCs/>
                <w:caps w:val="false"/>
                <w:color w:val="6b778c"/>
                <w:sz w:val="11"/>
                <w:szCs w:val="11"/>
              </w:rPr>
              <w:t xml:space="preserve">Alphabetical  |  38</w:t>
            </w:r>
          </w:p>
          <w:p>
            <w:pPr>
              <w:spacing w:after="36" w:before="0"/>
            </w:pPr>
            <w:r>
              <w:rPr>
                <w:rFonts w:ascii="Arial" w:cs="Arial" w:eastAsia="Arial" w:hAnsi="Arial"/>
                <w:b w:val="false"/>
                <w:bCs w:val="false"/>
                <w:i/>
                <w:iCs/>
                <w:caps w:val="false"/>
                <w:color w:val="6b778c"/>
                <w:sz w:val="11"/>
                <w:szCs w:val="11"/>
              </w:rPr>
              <w:t xml:space="preserve">terms  |  with page numbers</w:t>
            </w:r>
          </w:p>
        </w:tc>
      </w:tr>
    </w:tbl>
    <w:p>
      <w:pPr>
        <w:spacing w:after="36" w:before="30"/>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KEYWORD INDEX — STANDARD NUMBER AND PAGE NUMBER SHOWN FOR EACH TERM</w:t>
            </w:r>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single" w:color="dce3ee" w:sz="4"/>
          <w:bottom w:val="none"/>
          <w:right w:val="single" w:color="dce3ee" w:sz="4"/>
          <w:insideH w:val="single" w:color="auto" w:sz="4"/>
          <w:insideV w:val="single" w:color="auto" w:sz="4"/>
        </w:tblBorders>
      </w:tblPr>
      <w:tblGrid>
        <w:gridCol w:w="4680"/>
        <w:gridCol w:w="4680"/>
      </w:tblGrid>
      <w:tr>
        <w:tc>
          <w:tcPr>
            <w:tcW w:type="dxa" w:w="4680"/>
            <w:tcMar>
              <w:top w:type="dxa" w:w="40"/>
              <w:left w:type="dxa" w:w="60"/>
              <w:bottom w:type="dxa" w:w="40"/>
              <w:right w:type="dxa" w:w="40"/>
            </w:tcMar>
            <w:vAlign w:val="top"/>
          </w:tcPr>
          <w:p>
            <w:pPr>
              <w:spacing w:after="10" w:before="0"/>
            </w:pPr>
            <w:r>
              <w:rPr>
                <w:rFonts w:ascii="Arial" w:cs="Arial" w:eastAsia="Arial" w:hAnsi="Arial"/>
                <w:b/>
                <w:bCs/>
                <w:i w:val="false"/>
                <w:iCs w:val="false"/>
                <w:caps w:val="false"/>
                <w:color w:val="14335c"/>
                <w:sz w:val="13"/>
                <w:szCs w:val="13"/>
              </w:rPr>
              <w:t xml:space="preserve">Abuse screening — vulnerable patients  </w:t>
            </w:r>
            <w:r>
              <w:rPr>
                <w:rFonts w:ascii="Arial" w:cs="Arial" w:eastAsia="Arial" w:hAnsi="Arial"/>
                <w:b w:val="false"/>
                <w:bCs w:val="false"/>
                <w:i w:val="false"/>
                <w:iCs w:val="false"/>
                <w:caps w:val="false"/>
                <w:color w:val="6b778c"/>
                <w:sz w:val="12"/>
                <w:szCs w:val="12"/>
              </w:rPr>
              <w:t xml:space="preserve">2.6 (p.13)</w:t>
            </w:r>
          </w:p>
          <w:p>
            <w:pPr>
              <w:spacing w:after="10" w:before="0"/>
            </w:pPr>
            <w:r>
              <w:rPr>
                <w:rFonts w:ascii="Arial" w:cs="Arial" w:eastAsia="Arial" w:hAnsi="Arial"/>
                <w:b/>
                <w:bCs/>
                <w:i w:val="false"/>
                <w:iCs w:val="false"/>
                <w:caps w:val="false"/>
                <w:color w:val="14335c"/>
                <w:sz w:val="13"/>
                <w:szCs w:val="13"/>
              </w:rPr>
              <w:t xml:space="preserve">Accessibility — physical, disability  </w:t>
            </w:r>
            <w:r>
              <w:rPr>
                <w:rFonts w:ascii="Arial" w:cs="Arial" w:eastAsia="Arial" w:hAnsi="Arial"/>
                <w:b w:val="false"/>
                <w:bCs w:val="false"/>
                <w:i w:val="false"/>
                <w:iCs w:val="false"/>
                <w:caps w:val="false"/>
                <w:color w:val="6b778c"/>
                <w:sz w:val="12"/>
                <w:szCs w:val="12"/>
              </w:rPr>
              <w:t xml:space="preserve">2.6 (p.13)</w:t>
            </w:r>
          </w:p>
          <w:p>
            <w:pPr>
              <w:spacing w:after="10" w:before="0"/>
            </w:pPr>
            <w:r>
              <w:rPr>
                <w:rFonts w:ascii="Arial" w:cs="Arial" w:eastAsia="Arial" w:hAnsi="Arial"/>
                <w:b/>
                <w:bCs/>
                <w:i w:val="false"/>
                <w:iCs w:val="false"/>
                <w:caps w:val="false"/>
                <w:color w:val="14335c"/>
                <w:sz w:val="13"/>
                <w:szCs w:val="13"/>
              </w:rPr>
              <w:t xml:space="preserve">Advance directive  </w:t>
            </w:r>
            <w:r>
              <w:rPr>
                <w:rFonts w:ascii="Arial" w:cs="Arial" w:eastAsia="Arial" w:hAnsi="Arial"/>
                <w:b w:val="false"/>
                <w:bCs w:val="false"/>
                <w:i w:val="false"/>
                <w:iCs w:val="false"/>
                <w:caps w:val="false"/>
                <w:color w:val="6b778c"/>
                <w:sz w:val="12"/>
                <w:szCs w:val="12"/>
              </w:rPr>
              <w:t xml:space="preserve">2.7 (p.15)</w:t>
            </w:r>
          </w:p>
          <w:p>
            <w:pPr>
              <w:spacing w:after="10" w:before="0"/>
            </w:pPr>
            <w:r>
              <w:rPr>
                <w:rFonts w:ascii="Arial" w:cs="Arial" w:eastAsia="Arial" w:hAnsi="Arial"/>
                <w:b/>
                <w:bCs/>
                <w:i w:val="false"/>
                <w:iCs w:val="false"/>
                <w:caps w:val="false"/>
                <w:color w:val="14335c"/>
                <w:sz w:val="13"/>
                <w:szCs w:val="13"/>
              </w:rPr>
              <w:t xml:space="preserve">Advisory support  </w:t>
            </w:r>
            <w:r>
              <w:rPr>
                <w:rFonts w:ascii="Arial" w:cs="Arial" w:eastAsia="Arial" w:hAnsi="Arial"/>
                <w:b w:val="false"/>
                <w:bCs w:val="false"/>
                <w:i w:val="false"/>
                <w:iCs w:val="false"/>
                <w:caps w:val="false"/>
                <w:color w:val="6b778c"/>
                <w:sz w:val="12"/>
                <w:szCs w:val="12"/>
              </w:rPr>
              <w:t xml:space="preserve">Cover (p.1)</w:t>
            </w:r>
          </w:p>
          <w:p>
            <w:pPr>
              <w:spacing w:after="10" w:before="0"/>
            </w:pPr>
            <w:r>
              <w:rPr>
                <w:rFonts w:ascii="Arial" w:cs="Arial" w:eastAsia="Arial" w:hAnsi="Arial"/>
                <w:b/>
                <w:bCs/>
                <w:i w:val="false"/>
                <w:iCs w:val="false"/>
                <w:caps w:val="false"/>
                <w:color w:val="14335c"/>
                <w:sz w:val="13"/>
                <w:szCs w:val="13"/>
              </w:rPr>
              <w:t xml:space="preserve">Ban on child interpreters  </w:t>
            </w:r>
            <w:r>
              <w:rPr>
                <w:rFonts w:ascii="Arial" w:cs="Arial" w:eastAsia="Arial" w:hAnsi="Arial"/>
                <w:b w:val="false"/>
                <w:bCs w:val="false"/>
                <w:i w:val="false"/>
                <w:iCs w:val="false"/>
                <w:caps w:val="false"/>
                <w:color w:val="6b778c"/>
                <w:sz w:val="12"/>
                <w:szCs w:val="12"/>
              </w:rPr>
              <w:t xml:space="preserve">2.8 (p.17)</w:t>
            </w:r>
          </w:p>
          <w:p>
            <w:pPr>
              <w:spacing w:after="10" w:before="0"/>
            </w:pPr>
            <w:r>
              <w:rPr>
                <w:rFonts w:ascii="Arial" w:cs="Arial" w:eastAsia="Arial" w:hAnsi="Arial"/>
                <w:b/>
                <w:bCs/>
                <w:i w:val="false"/>
                <w:iCs w:val="false"/>
                <w:caps w:val="false"/>
                <w:color w:val="14335c"/>
                <w:sz w:val="13"/>
                <w:szCs w:val="13"/>
              </w:rPr>
              <w:t xml:space="preserve">Complaints log  </w:t>
            </w:r>
            <w:r>
              <w:rPr>
                <w:rFonts w:ascii="Arial" w:cs="Arial" w:eastAsia="Arial" w:hAnsi="Arial"/>
                <w:b w:val="false"/>
                <w:bCs w:val="false"/>
                <w:i w:val="false"/>
                <w:iCs w:val="false"/>
                <w:caps w:val="false"/>
                <w:color w:val="6b778c"/>
                <w:sz w:val="12"/>
                <w:szCs w:val="12"/>
              </w:rPr>
              <w:t xml:space="preserve">2.5 (p.11)</w:t>
            </w:r>
          </w:p>
          <w:p>
            <w:pPr>
              <w:spacing w:after="10" w:before="0"/>
            </w:pPr>
            <w:r>
              <w:rPr>
                <w:rFonts w:ascii="Arial" w:cs="Arial" w:eastAsia="Arial" w:hAnsi="Arial"/>
                <w:b/>
                <w:bCs/>
                <w:i w:val="false"/>
                <w:iCs w:val="false"/>
                <w:caps w:val="false"/>
                <w:color w:val="14335c"/>
                <w:sz w:val="13"/>
                <w:szCs w:val="13"/>
              </w:rPr>
              <w:t xml:space="preserve">Confidentiality policy  </w:t>
            </w:r>
            <w:r>
              <w:rPr>
                <w:rFonts w:ascii="Arial" w:cs="Arial" w:eastAsia="Arial" w:hAnsi="Arial"/>
                <w:b w:val="false"/>
                <w:bCs w:val="false"/>
                <w:i w:val="false"/>
                <w:iCs w:val="false"/>
                <w:caps w:val="false"/>
                <w:color w:val="6b778c"/>
                <w:sz w:val="12"/>
                <w:szCs w:val="12"/>
              </w:rPr>
              <w:t xml:space="preserve">2.3 (p.7)</w:t>
            </w:r>
          </w:p>
          <w:p>
            <w:pPr>
              <w:spacing w:after="10" w:before="0"/>
            </w:pPr>
            <w:r>
              <w:rPr>
                <w:rFonts w:ascii="Arial" w:cs="Arial" w:eastAsia="Arial" w:hAnsi="Arial"/>
                <w:b/>
                <w:bCs/>
                <w:i w:val="false"/>
                <w:iCs w:val="false"/>
                <w:caps w:val="false"/>
                <w:color w:val="14335c"/>
                <w:sz w:val="13"/>
                <w:szCs w:val="13"/>
              </w:rPr>
              <w:t xml:space="preserve">CORE standard (definition)  </w:t>
            </w:r>
            <w:r>
              <w:rPr>
                <w:rFonts w:ascii="Arial" w:cs="Arial" w:eastAsia="Arial" w:hAnsi="Arial"/>
                <w:b w:val="false"/>
                <w:bCs w:val="false"/>
                <w:i w:val="false"/>
                <w:iCs w:val="false"/>
                <w:caps w:val="false"/>
                <w:color w:val="6b778c"/>
                <w:sz w:val="12"/>
                <w:szCs w:val="12"/>
              </w:rPr>
              <w:t xml:space="preserve">Introduction (p.1)</w:t>
            </w:r>
          </w:p>
          <w:p>
            <w:pPr>
              <w:spacing w:after="10" w:before="0"/>
            </w:pPr>
            <w:r>
              <w:rPr>
                <w:rFonts w:ascii="Arial" w:cs="Arial" w:eastAsia="Arial" w:hAnsi="Arial"/>
                <w:b/>
                <w:bCs/>
                <w:i w:val="false"/>
                <w:iCs w:val="false"/>
                <w:caps w:val="false"/>
                <w:color w:val="14335c"/>
                <w:sz w:val="13"/>
                <w:szCs w:val="13"/>
              </w:rPr>
              <w:t xml:space="preserve">Consent form — procedure-specific  </w:t>
            </w:r>
            <w:r>
              <w:rPr>
                <w:rFonts w:ascii="Arial" w:cs="Arial" w:eastAsia="Arial" w:hAnsi="Arial"/>
                <w:b w:val="false"/>
                <w:bCs w:val="false"/>
                <w:i w:val="false"/>
                <w:iCs w:val="false"/>
                <w:caps w:val="false"/>
                <w:color w:val="6b778c"/>
                <w:sz w:val="12"/>
                <w:szCs w:val="12"/>
              </w:rPr>
              <w:t xml:space="preserve">2.2 (p.5)</w:t>
            </w:r>
          </w:p>
          <w:p>
            <w:pPr>
              <w:spacing w:after="10" w:before="0"/>
            </w:pPr>
            <w:r>
              <w:rPr>
                <w:rFonts w:ascii="Arial" w:cs="Arial" w:eastAsia="Arial" w:hAnsi="Arial"/>
                <w:b/>
                <w:bCs/>
                <w:i w:val="false"/>
                <w:iCs w:val="false"/>
                <w:caps w:val="false"/>
                <w:color w:val="14335c"/>
                <w:sz w:val="13"/>
                <w:szCs w:val="13"/>
              </w:rPr>
              <w:t xml:space="preserve">Dignity — non-discrimination  </w:t>
            </w:r>
            <w:r>
              <w:rPr>
                <w:rFonts w:ascii="Arial" w:cs="Arial" w:eastAsia="Arial" w:hAnsi="Arial"/>
                <w:b w:val="false"/>
                <w:bCs w:val="false"/>
                <w:i w:val="false"/>
                <w:iCs w:val="false"/>
                <w:caps w:val="false"/>
                <w:color w:val="6b778c"/>
                <w:sz w:val="12"/>
                <w:szCs w:val="12"/>
              </w:rPr>
              <w:t xml:space="preserve">2.10 (p.21)</w:t>
            </w:r>
          </w:p>
          <w:p>
            <w:pPr>
              <w:spacing w:after="10" w:before="0"/>
            </w:pPr>
            <w:r>
              <w:rPr>
                <w:rFonts w:ascii="Arial" w:cs="Arial" w:eastAsia="Arial" w:hAnsi="Arial"/>
                <w:b/>
                <w:bCs/>
                <w:i w:val="false"/>
                <w:iCs w:val="false"/>
                <w:caps w:val="false"/>
                <w:color w:val="14335c"/>
                <w:sz w:val="13"/>
                <w:szCs w:val="13"/>
              </w:rPr>
              <w:t xml:space="preserve">End-of-life decisions  </w:t>
            </w:r>
            <w:r>
              <w:rPr>
                <w:rFonts w:ascii="Arial" w:cs="Arial" w:eastAsia="Arial" w:hAnsi="Arial"/>
                <w:b w:val="false"/>
                <w:bCs w:val="false"/>
                <w:i w:val="false"/>
                <w:iCs w:val="false"/>
                <w:caps w:val="false"/>
                <w:color w:val="6b778c"/>
                <w:sz w:val="12"/>
                <w:szCs w:val="12"/>
              </w:rPr>
              <w:t xml:space="preserve">2.7 (p.15)</w:t>
            </w:r>
          </w:p>
          <w:p>
            <w:pPr>
              <w:spacing w:after="10" w:before="0"/>
            </w:pPr>
            <w:r>
              <w:rPr>
                <w:rFonts w:ascii="Arial" w:cs="Arial" w:eastAsia="Arial" w:hAnsi="Arial"/>
                <w:b/>
                <w:bCs/>
                <w:i w:val="false"/>
                <w:iCs w:val="false"/>
                <w:caps w:val="false"/>
                <w:color w:val="14335c"/>
                <w:sz w:val="13"/>
                <w:szCs w:val="13"/>
              </w:rPr>
              <w:t xml:space="preserve">Grievance process  </w:t>
            </w:r>
            <w:r>
              <w:rPr>
                <w:rFonts w:ascii="Arial" w:cs="Arial" w:eastAsia="Arial" w:hAnsi="Arial"/>
                <w:b w:val="false"/>
                <w:bCs w:val="false"/>
                <w:i w:val="false"/>
                <w:iCs w:val="false"/>
                <w:caps w:val="false"/>
                <w:color w:val="6b778c"/>
                <w:sz w:val="12"/>
                <w:szCs w:val="12"/>
              </w:rPr>
              <w:t xml:space="preserve">2.5 (p.11)</w:t>
            </w:r>
          </w:p>
          <w:p>
            <w:pPr>
              <w:spacing w:after="10" w:before="0"/>
            </w:pPr>
            <w:r>
              <w:rPr>
                <w:rFonts w:ascii="Arial" w:cs="Arial" w:eastAsia="Arial" w:hAnsi="Arial"/>
                <w:b/>
                <w:bCs/>
                <w:i w:val="false"/>
                <w:iCs w:val="false"/>
                <w:caps w:val="false"/>
                <w:color w:val="14335c"/>
                <w:sz w:val="13"/>
                <w:szCs w:val="13"/>
              </w:rPr>
              <w:t xml:space="preserve">Interpreter access  </w:t>
            </w:r>
            <w:r>
              <w:rPr>
                <w:rFonts w:ascii="Arial" w:cs="Arial" w:eastAsia="Arial" w:hAnsi="Arial"/>
                <w:b w:val="false"/>
                <w:bCs w:val="false"/>
                <w:i w:val="false"/>
                <w:iCs w:val="false"/>
                <w:caps w:val="false"/>
                <w:color w:val="6b778c"/>
                <w:sz w:val="12"/>
                <w:szCs w:val="12"/>
              </w:rPr>
              <w:t xml:space="preserve">2.8 (p.17)</w:t>
            </w:r>
          </w:p>
          <w:p>
            <w:pPr>
              <w:spacing w:after="10" w:before="0"/>
            </w:pPr>
            <w:r>
              <w:rPr>
                <w:rFonts w:ascii="Arial" w:cs="Arial" w:eastAsia="Arial" w:hAnsi="Arial"/>
                <w:b/>
                <w:bCs/>
                <w:i w:val="false"/>
                <w:iCs w:val="false"/>
                <w:caps w:val="false"/>
                <w:color w:val="14335c"/>
                <w:sz w:val="13"/>
                <w:szCs w:val="13"/>
              </w:rPr>
              <w:t xml:space="preserve">Language access services  </w:t>
            </w:r>
            <w:r>
              <w:rPr>
                <w:rFonts w:ascii="Arial" w:cs="Arial" w:eastAsia="Arial" w:hAnsi="Arial"/>
                <w:b w:val="false"/>
                <w:bCs w:val="false"/>
                <w:i w:val="false"/>
                <w:iCs w:val="false"/>
                <w:caps w:val="false"/>
                <w:color w:val="6b778c"/>
                <w:sz w:val="12"/>
                <w:szCs w:val="12"/>
              </w:rPr>
              <w:t xml:space="preserve">2.8 (p.17)</w:t>
            </w:r>
          </w:p>
          <w:p>
            <w:pPr>
              <w:spacing w:after="10" w:before="0"/>
            </w:pPr>
            <w:r>
              <w:rPr>
                <w:rFonts w:ascii="Arial" w:cs="Arial" w:eastAsia="Arial" w:hAnsi="Arial"/>
                <w:b/>
                <w:bCs/>
                <w:i w:val="false"/>
                <w:iCs w:val="false"/>
                <w:caps w:val="false"/>
                <w:color w:val="14335c"/>
                <w:sz w:val="13"/>
                <w:szCs w:val="13"/>
              </w:rPr>
              <w:t xml:space="preserve">Level 1 — Foundation  </w:t>
            </w:r>
            <w:r>
              <w:rPr>
                <w:rFonts w:ascii="Arial" w:cs="Arial" w:eastAsia="Arial" w:hAnsi="Arial"/>
                <w:b w:val="false"/>
                <w:bCs w:val="false"/>
                <w:i w:val="false"/>
                <w:iCs w:val="false"/>
                <w:caps w:val="false"/>
                <w:color w:val="6b778c"/>
                <w:sz w:val="12"/>
                <w:szCs w:val="12"/>
              </w:rPr>
              <w:t xml:space="preserve">2.1–2.5 (p.3–12)</w:t>
            </w:r>
          </w:p>
          <w:p>
            <w:pPr>
              <w:spacing w:after="10" w:before="0"/>
            </w:pPr>
            <w:r>
              <w:rPr>
                <w:rFonts w:ascii="Arial" w:cs="Arial" w:eastAsia="Arial" w:hAnsi="Arial"/>
                <w:b/>
                <w:bCs/>
                <w:i w:val="false"/>
                <w:iCs w:val="false"/>
                <w:caps w:val="false"/>
                <w:color w:val="14335c"/>
                <w:sz w:val="13"/>
                <w:szCs w:val="13"/>
              </w:rPr>
              <w:t xml:space="preserve">Level 2 — Accredited  </w:t>
            </w:r>
            <w:r>
              <w:rPr>
                <w:rFonts w:ascii="Arial" w:cs="Arial" w:eastAsia="Arial" w:hAnsi="Arial"/>
                <w:b w:val="false"/>
                <w:bCs w:val="false"/>
                <w:i w:val="false"/>
                <w:iCs w:val="false"/>
                <w:caps w:val="false"/>
                <w:color w:val="6b778c"/>
                <w:sz w:val="12"/>
                <w:szCs w:val="12"/>
              </w:rPr>
              <w:t xml:space="preserve">2.6–2.8 (p.13–18)</w:t>
            </w:r>
          </w:p>
          <w:p>
            <w:pPr>
              <w:spacing w:after="10" w:before="0"/>
            </w:pPr>
            <w:r>
              <w:rPr>
                <w:rFonts w:ascii="Arial" w:cs="Arial" w:eastAsia="Arial" w:hAnsi="Arial"/>
                <w:b/>
                <w:bCs/>
                <w:i w:val="false"/>
                <w:iCs w:val="false"/>
                <w:caps w:val="false"/>
                <w:color w:val="14335c"/>
                <w:sz w:val="13"/>
                <w:szCs w:val="13"/>
              </w:rPr>
              <w:t xml:space="preserve">Level 3 — Advanced  </w:t>
            </w:r>
            <w:r>
              <w:rPr>
                <w:rFonts w:ascii="Arial" w:cs="Arial" w:eastAsia="Arial" w:hAnsi="Arial"/>
                <w:b w:val="false"/>
                <w:bCs w:val="false"/>
                <w:i w:val="false"/>
                <w:iCs w:val="false"/>
                <w:caps w:val="false"/>
                <w:color w:val="6b778c"/>
                <w:sz w:val="12"/>
                <w:szCs w:val="12"/>
              </w:rPr>
              <w:t xml:space="preserve">2.9–2.10 (p.19–22)</w:t>
            </w:r>
          </w:p>
          <w:p>
            <w:pPr>
              <w:spacing w:after="10" w:before="0"/>
            </w:pPr>
            <w:r>
              <w:rPr>
                <w:rFonts w:ascii="Arial" w:cs="Arial" w:eastAsia="Arial" w:hAnsi="Arial"/>
                <w:b/>
                <w:bCs/>
                <w:i w:val="false"/>
                <w:iCs w:val="false"/>
                <w:caps w:val="false"/>
                <w:color w:val="14335c"/>
                <w:sz w:val="13"/>
                <w:szCs w:val="13"/>
              </w:rPr>
              <w:t xml:space="preserve">NO status (RED) — definition  </w:t>
            </w:r>
            <w:r>
              <w:rPr>
                <w:rFonts w:ascii="Arial" w:cs="Arial" w:eastAsia="Arial" w:hAnsi="Arial"/>
                <w:b w:val="false"/>
                <w:bCs w:val="false"/>
                <w:i w:val="false"/>
                <w:iCs w:val="false"/>
                <w:caps w:val="false"/>
                <w:color w:val="6b778c"/>
                <w:sz w:val="12"/>
                <w:szCs w:val="12"/>
              </w:rPr>
              <w:t xml:space="preserve">Introduction (p.1)</w:t>
            </w:r>
          </w:p>
          <w:p>
            <w:pPr>
              <w:spacing w:after="10" w:before="0"/>
            </w:pPr>
            <w:r>
              <w:rPr>
                <w:rFonts w:ascii="Arial" w:cs="Arial" w:eastAsia="Arial" w:hAnsi="Arial"/>
                <w:b/>
                <w:bCs/>
                <w:i w:val="false"/>
                <w:iCs w:val="false"/>
                <w:caps w:val="false"/>
                <w:color w:val="14335c"/>
                <w:sz w:val="13"/>
                <w:szCs w:val="13"/>
              </w:rPr>
              <w:t xml:space="preserve">Non-discrimination policy  </w:t>
            </w:r>
            <w:r>
              <w:rPr>
                <w:rFonts w:ascii="Arial" w:cs="Arial" w:eastAsia="Arial" w:hAnsi="Arial"/>
                <w:b w:val="false"/>
                <w:bCs w:val="false"/>
                <w:i w:val="false"/>
                <w:iCs w:val="false"/>
                <w:caps w:val="false"/>
                <w:color w:val="6b778c"/>
                <w:sz w:val="12"/>
                <w:szCs w:val="12"/>
              </w:rPr>
              <w:t xml:space="preserve">2.10 (p.21)</w:t>
            </w:r>
          </w:p>
        </w:tc>
        <w:tc>
          <w:tcPr>
            <w:tcW w:type="dxa" w:w="4680"/>
            <w:tcMar>
              <w:top w:type="dxa" w:w="40"/>
              <w:left w:type="dxa" w:w="60"/>
              <w:bottom w:type="dxa" w:w="40"/>
              <w:right w:type="dxa" w:w="40"/>
            </w:tcMar>
            <w:vAlign w:val="top"/>
          </w:tcPr>
          <w:p>
            <w:pPr>
              <w:spacing w:after="10" w:before="0"/>
            </w:pPr>
            <w:r>
              <w:rPr>
                <w:rFonts w:ascii="Arial" w:cs="Arial" w:eastAsia="Arial" w:hAnsi="Arial"/>
                <w:b/>
                <w:bCs/>
                <w:i w:val="false"/>
                <w:iCs w:val="false"/>
                <w:caps w:val="false"/>
                <w:color w:val="14335c"/>
                <w:sz w:val="13"/>
                <w:szCs w:val="13"/>
              </w:rPr>
              <w:t xml:space="preserve">Palliative care access  </w:t>
            </w:r>
            <w:r>
              <w:rPr>
                <w:rFonts w:ascii="Arial" w:cs="Arial" w:eastAsia="Arial" w:hAnsi="Arial"/>
                <w:b w:val="false"/>
                <w:bCs w:val="false"/>
                <w:i w:val="false"/>
                <w:iCs w:val="false"/>
                <w:caps w:val="false"/>
                <w:color w:val="6b778c"/>
                <w:sz w:val="12"/>
                <w:szCs w:val="12"/>
              </w:rPr>
              <w:t xml:space="preserve">2.7 (p.15)</w:t>
            </w:r>
          </w:p>
          <w:p>
            <w:pPr>
              <w:spacing w:after="10" w:before="0"/>
            </w:pPr>
            <w:r>
              <w:rPr>
                <w:rFonts w:ascii="Arial" w:cs="Arial" w:eastAsia="Arial" w:hAnsi="Arial"/>
                <w:b/>
                <w:bCs/>
                <w:i w:val="false"/>
                <w:iCs w:val="false"/>
                <w:caps w:val="false"/>
                <w:color w:val="14335c"/>
                <w:sz w:val="13"/>
                <w:szCs w:val="13"/>
              </w:rPr>
              <w:t xml:space="preserve">PARTIAL status (AMBER) — definition  </w:t>
            </w:r>
            <w:r>
              <w:rPr>
                <w:rFonts w:ascii="Arial" w:cs="Arial" w:eastAsia="Arial" w:hAnsi="Arial"/>
                <w:b w:val="false"/>
                <w:bCs w:val="false"/>
                <w:i w:val="false"/>
                <w:iCs w:val="false"/>
                <w:caps w:val="false"/>
                <w:color w:val="6b778c"/>
                <w:sz w:val="12"/>
                <w:szCs w:val="12"/>
              </w:rPr>
              <w:t xml:space="preserve">Introduction (p.1)</w:t>
            </w:r>
          </w:p>
          <w:p>
            <w:pPr>
              <w:spacing w:after="10" w:before="0"/>
            </w:pPr>
            <w:r>
              <w:rPr>
                <w:rFonts w:ascii="Arial" w:cs="Arial" w:eastAsia="Arial" w:hAnsi="Arial"/>
                <w:b/>
                <w:bCs/>
                <w:i w:val="false"/>
                <w:iCs w:val="false"/>
                <w:caps w:val="false"/>
                <w:color w:val="14335c"/>
                <w:sz w:val="13"/>
                <w:szCs w:val="13"/>
              </w:rPr>
              <w:t xml:space="preserve">Patient council (link to Std 1.10)  </w:t>
            </w:r>
            <w:r>
              <w:rPr>
                <w:rFonts w:ascii="Arial" w:cs="Arial" w:eastAsia="Arial" w:hAnsi="Arial"/>
                <w:b w:val="false"/>
                <w:bCs w:val="false"/>
                <w:i w:val="false"/>
                <w:iCs w:val="false"/>
                <w:caps w:val="false"/>
                <w:color w:val="6b778c"/>
                <w:sz w:val="12"/>
                <w:szCs w:val="12"/>
              </w:rPr>
              <w:t xml:space="preserve">2.9 (p.19)</w:t>
            </w:r>
          </w:p>
          <w:p>
            <w:pPr>
              <w:spacing w:after="10" w:before="0"/>
            </w:pPr>
            <w:r>
              <w:rPr>
                <w:rFonts w:ascii="Arial" w:cs="Arial" w:eastAsia="Arial" w:hAnsi="Arial"/>
                <w:b/>
                <w:bCs/>
                <w:i w:val="false"/>
                <w:iCs w:val="false"/>
                <w:caps w:val="false"/>
                <w:color w:val="14335c"/>
                <w:sz w:val="13"/>
                <w:szCs w:val="13"/>
              </w:rPr>
              <w:t xml:space="preserve">Patient experience monitoring  </w:t>
            </w:r>
            <w:r>
              <w:rPr>
                <w:rFonts w:ascii="Arial" w:cs="Arial" w:eastAsia="Arial" w:hAnsi="Arial"/>
                <w:b w:val="false"/>
                <w:bCs w:val="false"/>
                <w:i w:val="false"/>
                <w:iCs w:val="false"/>
                <w:caps w:val="false"/>
                <w:color w:val="6b778c"/>
                <w:sz w:val="12"/>
                <w:szCs w:val="12"/>
              </w:rPr>
              <w:t xml:space="preserve">2.9 (p.19)</w:t>
            </w:r>
          </w:p>
          <w:p>
            <w:pPr>
              <w:spacing w:after="10" w:before="0"/>
            </w:pPr>
            <w:r>
              <w:rPr>
                <w:rFonts w:ascii="Arial" w:cs="Arial" w:eastAsia="Arial" w:hAnsi="Arial"/>
                <w:b/>
                <w:bCs/>
                <w:i w:val="false"/>
                <w:iCs w:val="false"/>
                <w:caps w:val="false"/>
                <w:color w:val="14335c"/>
                <w:sz w:val="13"/>
                <w:szCs w:val="13"/>
              </w:rPr>
              <w:t xml:space="preserve">Patient identification — two identifiers  </w:t>
            </w:r>
            <w:r>
              <w:rPr>
                <w:rFonts w:ascii="Arial" w:cs="Arial" w:eastAsia="Arial" w:hAnsi="Arial"/>
                <w:b w:val="false"/>
                <w:bCs w:val="false"/>
                <w:i w:val="false"/>
                <w:iCs w:val="false"/>
                <w:caps w:val="false"/>
                <w:color w:val="6b778c"/>
                <w:sz w:val="12"/>
                <w:szCs w:val="12"/>
              </w:rPr>
              <w:t xml:space="preserve">2.4 (p.9)</w:t>
            </w:r>
          </w:p>
          <w:p>
            <w:pPr>
              <w:spacing w:after="10" w:before="0"/>
            </w:pPr>
            <w:r>
              <w:rPr>
                <w:rFonts w:ascii="Arial" w:cs="Arial" w:eastAsia="Arial" w:hAnsi="Arial"/>
                <w:b/>
                <w:bCs/>
                <w:i w:val="false"/>
                <w:iCs w:val="false"/>
                <w:caps w:val="false"/>
                <w:color w:val="14335c"/>
                <w:sz w:val="13"/>
                <w:szCs w:val="13"/>
              </w:rPr>
              <w:t xml:space="preserve">Patient rights charter  </w:t>
            </w:r>
            <w:r>
              <w:rPr>
                <w:rFonts w:ascii="Arial" w:cs="Arial" w:eastAsia="Arial" w:hAnsi="Arial"/>
                <w:b w:val="false"/>
                <w:bCs w:val="false"/>
                <w:i w:val="false"/>
                <w:iCs w:val="false"/>
                <w:caps w:val="false"/>
                <w:color w:val="6b778c"/>
                <w:sz w:val="12"/>
                <w:szCs w:val="12"/>
              </w:rPr>
              <w:t xml:space="preserve">2.1 (p.3)</w:t>
            </w:r>
          </w:p>
          <w:p>
            <w:pPr>
              <w:spacing w:after="10" w:before="0"/>
            </w:pPr>
            <w:r>
              <w:rPr>
                <w:rFonts w:ascii="Arial" w:cs="Arial" w:eastAsia="Arial" w:hAnsi="Arial"/>
                <w:b/>
                <w:bCs/>
                <w:i w:val="false"/>
                <w:iCs w:val="false"/>
                <w:caps w:val="false"/>
                <w:color w:val="14335c"/>
                <w:sz w:val="13"/>
                <w:szCs w:val="13"/>
              </w:rPr>
              <w:t xml:space="preserve">Payment status — non-discrimination  </w:t>
            </w:r>
            <w:r>
              <w:rPr>
                <w:rFonts w:ascii="Arial" w:cs="Arial" w:eastAsia="Arial" w:hAnsi="Arial"/>
                <w:b w:val="false"/>
                <w:bCs w:val="false"/>
                <w:i w:val="false"/>
                <w:iCs w:val="false"/>
                <w:caps w:val="false"/>
                <w:color w:val="6b778c"/>
                <w:sz w:val="12"/>
                <w:szCs w:val="12"/>
              </w:rPr>
              <w:t xml:space="preserve">2.10 (p.21)</w:t>
            </w:r>
          </w:p>
          <w:p>
            <w:pPr>
              <w:spacing w:after="10" w:before="0"/>
            </w:pPr>
            <w:r>
              <w:rPr>
                <w:rFonts w:ascii="Arial" w:cs="Arial" w:eastAsia="Arial" w:hAnsi="Arial"/>
                <w:b/>
                <w:bCs/>
                <w:i w:val="false"/>
                <w:iCs w:val="false"/>
                <w:caps w:val="false"/>
                <w:color w:val="14335c"/>
                <w:sz w:val="13"/>
                <w:szCs w:val="13"/>
              </w:rPr>
              <w:t xml:space="preserve">Record access control  </w:t>
            </w:r>
            <w:r>
              <w:rPr>
                <w:rFonts w:ascii="Arial" w:cs="Arial" w:eastAsia="Arial" w:hAnsi="Arial"/>
                <w:b w:val="false"/>
                <w:bCs w:val="false"/>
                <w:i w:val="false"/>
                <w:iCs w:val="false"/>
                <w:caps w:val="false"/>
                <w:color w:val="6b778c"/>
                <w:sz w:val="12"/>
                <w:szCs w:val="12"/>
              </w:rPr>
              <w:t xml:space="preserve">2.3 (p.7)</w:t>
            </w:r>
          </w:p>
          <w:p>
            <w:pPr>
              <w:spacing w:after="10" w:before="0"/>
            </w:pPr>
            <w:r>
              <w:rPr>
                <w:rFonts w:ascii="Arial" w:cs="Arial" w:eastAsia="Arial" w:hAnsi="Arial"/>
                <w:b/>
                <w:bCs/>
                <w:i w:val="false"/>
                <w:iCs w:val="false"/>
                <w:caps w:val="false"/>
                <w:color w:val="14335c"/>
                <w:sz w:val="13"/>
                <w:szCs w:val="13"/>
              </w:rPr>
              <w:t xml:space="preserve">Referral pathway — protection services  </w:t>
            </w:r>
            <w:r>
              <w:rPr>
                <w:rFonts w:ascii="Arial" w:cs="Arial" w:eastAsia="Arial" w:hAnsi="Arial"/>
                <w:b w:val="false"/>
                <w:bCs w:val="false"/>
                <w:i w:val="false"/>
                <w:iCs w:val="false"/>
                <w:caps w:val="false"/>
                <w:color w:val="6b778c"/>
                <w:sz w:val="12"/>
                <w:szCs w:val="12"/>
              </w:rPr>
              <w:t xml:space="preserve">2.6 (p.13)</w:t>
            </w:r>
          </w:p>
          <w:p>
            <w:pPr>
              <w:spacing w:after="10" w:before="0"/>
            </w:pPr>
            <w:r>
              <w:rPr>
                <w:rFonts w:ascii="Arial" w:cs="Arial" w:eastAsia="Arial" w:hAnsi="Arial"/>
                <w:b/>
                <w:bCs/>
                <w:i w:val="false"/>
                <w:iCs w:val="false"/>
                <w:caps w:val="false"/>
                <w:color w:val="14335c"/>
                <w:sz w:val="13"/>
                <w:szCs w:val="13"/>
              </w:rPr>
              <w:t xml:space="preserve">Resuscitation status discussion  </w:t>
            </w:r>
            <w:r>
              <w:rPr>
                <w:rFonts w:ascii="Arial" w:cs="Arial" w:eastAsia="Arial" w:hAnsi="Arial"/>
                <w:b w:val="false"/>
                <w:bCs w:val="false"/>
                <w:i w:val="false"/>
                <w:iCs w:val="false"/>
                <w:caps w:val="false"/>
                <w:color w:val="6b778c"/>
                <w:sz w:val="12"/>
                <w:szCs w:val="12"/>
              </w:rPr>
              <w:t xml:space="preserve">2.7 (p.15)</w:t>
            </w:r>
          </w:p>
          <w:p>
            <w:pPr>
              <w:spacing w:after="10" w:before="0"/>
            </w:pPr>
            <w:r>
              <w:rPr>
                <w:rFonts w:ascii="Arial" w:cs="Arial" w:eastAsia="Arial" w:hAnsi="Arial"/>
                <w:b/>
                <w:bCs/>
                <w:i w:val="false"/>
                <w:iCs w:val="false"/>
                <w:caps w:val="false"/>
                <w:color w:val="14335c"/>
                <w:sz w:val="13"/>
                <w:szCs w:val="13"/>
              </w:rPr>
              <w:t xml:space="preserve">Retaliation safeguard  </w:t>
            </w:r>
            <w:r>
              <w:rPr>
                <w:rFonts w:ascii="Arial" w:cs="Arial" w:eastAsia="Arial" w:hAnsi="Arial"/>
                <w:b w:val="false"/>
                <w:bCs w:val="false"/>
                <w:i w:val="false"/>
                <w:iCs w:val="false"/>
                <w:caps w:val="false"/>
                <w:color w:val="6b778c"/>
                <w:sz w:val="12"/>
                <w:szCs w:val="12"/>
              </w:rPr>
              <w:t xml:space="preserve">2.5 (p.11)</w:t>
            </w:r>
          </w:p>
          <w:p>
            <w:pPr>
              <w:spacing w:after="10" w:before="0"/>
            </w:pPr>
            <w:r>
              <w:rPr>
                <w:rFonts w:ascii="Arial" w:cs="Arial" w:eastAsia="Arial" w:hAnsi="Arial"/>
                <w:b/>
                <w:bCs/>
                <w:i w:val="false"/>
                <w:iCs w:val="false"/>
                <w:caps w:val="false"/>
                <w:color w:val="14335c"/>
                <w:sz w:val="13"/>
                <w:szCs w:val="13"/>
              </w:rPr>
              <w:t xml:space="preserve">Safeguarding policy  </w:t>
            </w:r>
            <w:r>
              <w:rPr>
                <w:rFonts w:ascii="Arial" w:cs="Arial" w:eastAsia="Arial" w:hAnsi="Arial"/>
                <w:b w:val="false"/>
                <w:bCs w:val="false"/>
                <w:i w:val="false"/>
                <w:iCs w:val="false"/>
                <w:caps w:val="false"/>
                <w:color w:val="6b778c"/>
                <w:sz w:val="12"/>
                <w:szCs w:val="12"/>
              </w:rPr>
              <w:t xml:space="preserve">2.6 (p.13)</w:t>
            </w:r>
          </w:p>
          <w:p>
            <w:pPr>
              <w:spacing w:after="10" w:before="0"/>
            </w:pPr>
            <w:r>
              <w:rPr>
                <w:rFonts w:ascii="Arial" w:cs="Arial" w:eastAsia="Arial" w:hAnsi="Arial"/>
                <w:b/>
                <w:bCs/>
                <w:i w:val="false"/>
                <w:iCs w:val="false"/>
                <w:caps w:val="false"/>
                <w:color w:val="14335c"/>
                <w:sz w:val="13"/>
                <w:szCs w:val="13"/>
              </w:rPr>
              <w:t xml:space="preserve">Surrogate consent  </w:t>
            </w:r>
            <w:r>
              <w:rPr>
                <w:rFonts w:ascii="Arial" w:cs="Arial" w:eastAsia="Arial" w:hAnsi="Arial"/>
                <w:b w:val="false"/>
                <w:bCs w:val="false"/>
                <w:i w:val="false"/>
                <w:iCs w:val="false"/>
                <w:caps w:val="false"/>
                <w:color w:val="6b778c"/>
                <w:sz w:val="12"/>
                <w:szCs w:val="12"/>
              </w:rPr>
              <w:t xml:space="preserve">2.2 (p.5)</w:t>
            </w:r>
          </w:p>
          <w:p>
            <w:pPr>
              <w:spacing w:after="10" w:before="0"/>
            </w:pPr>
            <w:r>
              <w:rPr>
                <w:rFonts w:ascii="Arial" w:cs="Arial" w:eastAsia="Arial" w:hAnsi="Arial"/>
                <w:b/>
                <w:bCs/>
                <w:i w:val="false"/>
                <w:iCs w:val="false"/>
                <w:caps w:val="false"/>
                <w:color w:val="14335c"/>
                <w:sz w:val="13"/>
                <w:szCs w:val="13"/>
              </w:rPr>
              <w:t xml:space="preserve">Surveyor methods: OBSERVE/DOCUMENT/ASK  </w:t>
            </w:r>
            <w:r>
              <w:rPr>
                <w:rFonts w:ascii="Arial" w:cs="Arial" w:eastAsia="Arial" w:hAnsi="Arial"/>
                <w:b w:val="false"/>
                <w:bCs w:val="false"/>
                <w:i w:val="false"/>
                <w:iCs w:val="false"/>
                <w:caps w:val="false"/>
                <w:color w:val="6b778c"/>
                <w:sz w:val="12"/>
                <w:szCs w:val="12"/>
              </w:rPr>
              <w:t xml:space="preserve">All standards (p.3–22)</w:t>
            </w:r>
          </w:p>
          <w:p>
            <w:pPr>
              <w:spacing w:after="10" w:before="0"/>
            </w:pPr>
            <w:r>
              <w:rPr>
                <w:rFonts w:ascii="Arial" w:cs="Arial" w:eastAsia="Arial" w:hAnsi="Arial"/>
                <w:b/>
                <w:bCs/>
                <w:i w:val="false"/>
                <w:iCs w:val="false"/>
                <w:caps w:val="false"/>
                <w:color w:val="14335c"/>
                <w:sz w:val="13"/>
                <w:szCs w:val="13"/>
              </w:rPr>
              <w:t xml:space="preserve">Teach-back / understanding check  </w:t>
            </w:r>
            <w:r>
              <w:rPr>
                <w:rFonts w:ascii="Arial" w:cs="Arial" w:eastAsia="Arial" w:hAnsi="Arial"/>
                <w:b w:val="false"/>
                <w:bCs w:val="false"/>
                <w:i w:val="false"/>
                <w:iCs w:val="false"/>
                <w:caps w:val="false"/>
                <w:color w:val="6b778c"/>
                <w:sz w:val="12"/>
                <w:szCs w:val="12"/>
              </w:rPr>
              <w:t xml:space="preserve">2.2 (p.5)</w:t>
            </w:r>
          </w:p>
          <w:p>
            <w:pPr>
              <w:spacing w:after="10" w:before="0"/>
            </w:pPr>
            <w:r>
              <w:rPr>
                <w:rFonts w:ascii="Arial" w:cs="Arial" w:eastAsia="Arial" w:hAnsi="Arial"/>
                <w:b/>
                <w:bCs/>
                <w:i w:val="false"/>
                <w:iCs w:val="false"/>
                <w:caps w:val="false"/>
                <w:color w:val="14335c"/>
                <w:sz w:val="13"/>
                <w:szCs w:val="13"/>
              </w:rPr>
              <w:t xml:space="preserve">Vancouver reference style  </w:t>
            </w:r>
            <w:r>
              <w:rPr>
                <w:rFonts w:ascii="Arial" w:cs="Arial" w:eastAsia="Arial" w:hAnsi="Arial"/>
                <w:b w:val="false"/>
                <w:bCs w:val="false"/>
                <w:i w:val="false"/>
                <w:iCs w:val="false"/>
                <w:caps w:val="false"/>
                <w:color w:val="6b778c"/>
                <w:sz w:val="12"/>
                <w:szCs w:val="12"/>
              </w:rPr>
              <w:t xml:space="preserve">References (p.23)</w:t>
            </w:r>
          </w:p>
          <w:p>
            <w:pPr>
              <w:spacing w:after="10" w:before="0"/>
            </w:pPr>
            <w:r>
              <w:rPr>
                <w:rFonts w:ascii="Arial" w:cs="Arial" w:eastAsia="Arial" w:hAnsi="Arial"/>
                <w:b/>
                <w:bCs/>
                <w:i w:val="false"/>
                <w:iCs w:val="false"/>
                <w:caps w:val="false"/>
                <w:color w:val="14335c"/>
                <w:sz w:val="13"/>
                <w:szCs w:val="13"/>
              </w:rPr>
              <w:t xml:space="preserve">Vulnerable patient protections  </w:t>
            </w:r>
            <w:r>
              <w:rPr>
                <w:rFonts w:ascii="Arial" w:cs="Arial" w:eastAsia="Arial" w:hAnsi="Arial"/>
                <w:b w:val="false"/>
                <w:bCs w:val="false"/>
                <w:i w:val="false"/>
                <w:iCs w:val="false"/>
                <w:caps w:val="false"/>
                <w:color w:val="6b778c"/>
                <w:sz w:val="12"/>
                <w:szCs w:val="12"/>
              </w:rPr>
              <w:t xml:space="preserve">2.6 (p.13)</w:t>
            </w:r>
          </w:p>
          <w:p>
            <w:pPr>
              <w:spacing w:after="10" w:before="0"/>
            </w:pPr>
            <w:r>
              <w:rPr>
                <w:rFonts w:ascii="Arial" w:cs="Arial" w:eastAsia="Arial" w:hAnsi="Arial"/>
                <w:b/>
                <w:bCs/>
                <w:i w:val="false"/>
                <w:iCs w:val="false"/>
                <w:caps w:val="false"/>
                <w:color w:val="14335c"/>
                <w:sz w:val="13"/>
                <w:szCs w:val="13"/>
              </w:rPr>
              <w:t xml:space="preserve">Wristband accuracy  </w:t>
            </w:r>
            <w:r>
              <w:rPr>
                <w:rFonts w:ascii="Arial" w:cs="Arial" w:eastAsia="Arial" w:hAnsi="Arial"/>
                <w:b w:val="false"/>
                <w:bCs w:val="false"/>
                <w:i w:val="false"/>
                <w:iCs w:val="false"/>
                <w:caps w:val="false"/>
                <w:color w:val="6b778c"/>
                <w:sz w:val="12"/>
                <w:szCs w:val="12"/>
              </w:rPr>
              <w:t xml:space="preserve">2.4 (p.9)</w:t>
            </w:r>
          </w:p>
          <w:p>
            <w:pPr>
              <w:spacing w:after="10" w:before="0"/>
            </w:pPr>
            <w:r>
              <w:rPr>
                <w:rFonts w:ascii="Arial" w:cs="Arial" w:eastAsia="Arial" w:hAnsi="Arial"/>
                <w:b/>
                <w:bCs/>
                <w:i w:val="false"/>
                <w:iCs w:val="false"/>
                <w:caps w:val="false"/>
                <w:color w:val="14335c"/>
                <w:sz w:val="13"/>
                <w:szCs w:val="13"/>
              </w:rPr>
              <w:t xml:space="preserve">YES status (GREEN) — definition  </w:t>
            </w:r>
            <w:r>
              <w:rPr>
                <w:rFonts w:ascii="Arial" w:cs="Arial" w:eastAsia="Arial" w:hAnsi="Arial"/>
                <w:b w:val="false"/>
                <w:bCs w:val="false"/>
                <w:i w:val="false"/>
                <w:iCs w:val="false"/>
                <w:caps w:val="false"/>
                <w:color w:val="6b778c"/>
                <w:sz w:val="12"/>
                <w:szCs w:val="12"/>
              </w:rPr>
              <w:t xml:space="preserve">Introduction (p.1)</w:t>
            </w:r>
          </w:p>
        </w:tc>
      </w:tr>
    </w:tbl>
    <w:sectPr>
      <w:footerReference w:type="default" r:id="rId7"/>
      <w:pgSz w:w="11908" w:h="16833" w:orient="portrait"/>
      <w:pgMar w:top="691" w:right="1036" w:bottom="1036" w:left="1036" w:header="708" w:footer="259"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3ee" w:sz="2"/>
      </w:pBdr>
      <w:spacing w:after="0" w:before="80"/>
    </w:pPr>
    <w:r>
      <w:rPr>
        <w:rFonts w:ascii="Arial" w:cs="Arial" w:eastAsia="Arial" w:hAnsi="Arial"/>
        <w:i/>
        <w:iCs/>
        <w:color w:val="aaaaaa"/>
        <w:sz w:val="16"/>
        <w:szCs w:val="16"/>
      </w:rPr>
      <w:t xml:space="preserve">© 2025 Accréditation Sans Frontières. Open standards licence. Free non-commercial reproduction with attribution. Commercial use requires written ASF permission.   </w:t>
    </w:r>
    <w:r>
      <w:rPr>
        <w:rFonts w:ascii="Arial" w:cs="Arial" w:eastAsia="Arial" w:hAnsi="Arial"/>
        <w:b/>
        <w:bCs/>
        <w:i/>
        <w:iCs/>
        <w:color w:val="aaaaaa"/>
        <w:sz w:val="16"/>
        <w:szCs w:val="16"/>
      </w:rPr>
      <w:t xml:space="preserve">Citation: </w:t>
    </w:r>
    <w:r>
      <w:rPr>
        <w:rFonts w:ascii="Arial" w:cs="Arial" w:eastAsia="Arial" w:hAnsi="Arial"/>
        <w:i/>
        <w:iCs/>
        <w:color w:val="aaaaaa"/>
        <w:sz w:val="16"/>
        <w:szCs w:val="16"/>
      </w:rPr>
      <w:t xml:space="preserve">Accreditation Sans Frontieres. ASF Hospital Standards: Chapter 2 — Patient Rights &amp; Safety. Version 2.0. Paris: ASF; 2025.   </w:t>
    </w:r>
    <w:r>
      <w:rPr>
        <w:rFonts w:ascii="Arial" w:cs="Arial" w:eastAsia="Arial" w:hAnsi="Arial"/>
        <w:i/>
        <w:iCs/>
        <w:color w:val="aaaaaa"/>
        <w:sz w:val="16"/>
        <w:szCs w:val="16"/>
      </w:rPr>
      <w:t xml:space="preserve">Ref: ASF-CH2-PRS-v2.0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dqtfu5ia_a4korvccwvw" Type="http://schemas.openxmlformats.org/officeDocument/2006/relationships/hyperlink" Target="https://france-asf.fr" TargetMode="External"/><Relationship Id="rIdgf8_vtpqjvcefknqcs4br" Type="http://schemas.openxmlformats.org/officeDocument/2006/relationships/hyperlink" Target="mailto:info@france-asf.fr" TargetMode="External"/><Relationship Id="rId5p3fm0gfzj2hah6bhsqcq" Type="http://schemas.openxmlformats.org/officeDocument/2006/relationships/hyperlink" Target="https://academy.gmj.ge" TargetMode="External"/><Relationship Id="rId9xe_sjinjwcp4vtncmhzq" Type="http://schemas.openxmlformats.org/officeDocument/2006/relationships/hyperlink" Target="mailto:info@france-asf.fr" TargetMode="External"/><Relationship Id="rIdbnpoyqnuhd2th2c9ilfgb" Type="http://schemas.openxmlformats.org/officeDocument/2006/relationships/hyperlink" Target="https://france-asf.fr" TargetMode="External"/><Relationship Id="rIdro7-6pcp0odx8en1ymbvv" Type="http://schemas.openxmlformats.org/officeDocument/2006/relationships/hyperlink" Target="https://academy.gmj.ge" TargetMode="External"/><Relationship Id="rIdsdosjatmq531rflddlife" Type="http://schemas.openxmlformats.org/officeDocument/2006/relationships/hyperlink" Target="mailto:info@france-asf.fr" TargetMode="External"/><Relationship Id="rIdbvnz10im0lg5wnc_bnpro" Type="http://schemas.openxmlformats.org/officeDocument/2006/relationships/hyperlink" Target="https://www.wma.net/policies-post/wma-declaration-of-lisbon-on-the-rights-of-the-patient/" TargetMode="External"/><Relationship Id="rIdhbok6maii5y_saig8k5c1" Type="http://schemas.openxmlformats.org/officeDocument/2006/relationships/hyperlink" Target="https://iris.who.int/handle/10665/155002" TargetMode="External"/><Relationship Id="rIdpt7dh70q3znqkmm7y0k7s" Type="http://schemas.openxmlformats.org/officeDocument/2006/relationships/hyperlink" Target="https://www.coe.int/en/web/bioethics/oviedo-convention" TargetMode="External"/><Relationship Id="rIdnc5y6hngxqw4_gwg7qda4" Type="http://schemas.openxmlformats.org/officeDocument/2006/relationships/hyperlink" Target="https://academy.gmj.ge/ch2-1-patient-rights-charter" TargetMode="External"/><Relationship Id="rIdxdpnkcqnzxpfrv6z5ukcn" Type="http://schemas.openxmlformats.org/officeDocument/2006/relationships/hyperlink" Target="https://www.wma.net/policies-post/wma-declaration-of-helsinki-ethical-principles-for-medical-research-involving-human-subjects/" TargetMode="External"/><Relationship Id="rIdtn6rwst9m4qj-kodcn4ub" Type="http://schemas.openxmlformats.org/officeDocument/2006/relationships/hyperlink" Target="https://www.coe.int/en/web/bioethics/oviedo-convention" TargetMode="External"/><Relationship Id="rIdccf3e52y1bmcg7trvpgn9" Type="http://schemas.openxmlformats.org/officeDocument/2006/relationships/hyperlink" Target="https://global.oup.com/academic/product/principles-of-biomedical-ethics-9780190640873" TargetMode="External"/><Relationship Id="rId-ndi65y-u1pj9hsoa4y9a" Type="http://schemas.openxmlformats.org/officeDocument/2006/relationships/hyperlink" Target="https://academy.gmj.ge/ch2-2-informed-consent" TargetMode="External"/><Relationship Id="rId8ihxwkyxjvwujrhzxxktk" Type="http://schemas.openxmlformats.org/officeDocument/2006/relationships/hyperlink" Target="https://www.wma.net/policies-post/wma-international-code-of-medical-ethics/" TargetMode="External"/><Relationship Id="rIdjltxkosl9ep5lsz919rxt" Type="http://schemas.openxmlformats.org/officeDocument/2006/relationships/hyperlink" Target="https://www.coe.int/en/web/data-protection/convention108-and-protocol" TargetMode="External"/><Relationship Id="rIdbomru0wt9znhswrf27pyg" Type="http://schemas.openxmlformats.org/officeDocument/2006/relationships/hyperlink" Target="https://www.who.int/publications/i/item/9241546255" TargetMode="External"/><Relationship Id="rId4iapok1xn4jz6wzequ8ig" Type="http://schemas.openxmlformats.org/officeDocument/2006/relationships/hyperlink" Target="https://academy.gmj.ge/ch2-3-confidentiality-privacy" TargetMode="External"/><Relationship Id="rIdejd2h3xgig9w6gkqjzpqg" Type="http://schemas.openxmlformats.org/officeDocument/2006/relationships/hyperlink" Target="https://www.who.int/publications/i/item/patient-safety-solutions" TargetMode="External"/><Relationship Id="rIdbsmae2r8jt95byyqmidbc" Type="http://schemas.openxmlformats.org/officeDocument/2006/relationships/hyperlink" Target="https://www.jointcommissioninternational.org" TargetMode="External"/><Relationship Id="rId9yasfyvh__cqa3kf2ahsq" Type="http://schemas.openxmlformats.org/officeDocument/2006/relationships/hyperlink" Target="https://www.england.nhs.uk/patient-safety/" TargetMode="External"/><Relationship Id="rId4ybgwimnle6fuor1zqudh" Type="http://schemas.openxmlformats.org/officeDocument/2006/relationships/hyperlink" Target="https://academy.gmj.ge/ch2-4-patient-identification" TargetMode="External"/><Relationship Id="rIdtzoj0rk2j73swoif_lc8k" Type="http://schemas.openxmlformats.org/officeDocument/2006/relationships/hyperlink" Target="https://iris.who.int/handle/10665/155002" TargetMode="External"/><Relationship Id="rIdvz7o8j_vn3arkywjf0saj" Type="http://schemas.openxmlformats.org/officeDocument/2006/relationships/hyperlink" Target="https://doi.org/10.1136/bmjqs-2013-002437" TargetMode="External"/><Relationship Id="rIdtpi2_cmmz_feocm3a31vz" Type="http://schemas.openxmlformats.org/officeDocument/2006/relationships/hyperlink" Target="https://doi.org/10.1503/cmaj.060429" TargetMode="External"/><Relationship Id="rIdxbmxltw_t4pukzq3xwtv1" Type="http://schemas.openxmlformats.org/officeDocument/2006/relationships/hyperlink" Target="https://academy.gmj.ge/ch2-5-complaints-grievance-process" TargetMode="External"/><Relationship Id="rIdgim-fk6425tw9gt0yytwl" Type="http://schemas.openxmlformats.org/officeDocument/2006/relationships/hyperlink" Target="https://iris.who.int/handle/10665/85240" TargetMode="External"/><Relationship Id="rIdfx_3lplqeoxmspjbqpjz_" Type="http://schemas.openxmlformats.org/officeDocument/2006/relationships/hyperlink" Target="https://www.who.int/publications/i/item/9789240058623" TargetMode="External"/><Relationship Id="rIdc-v7bhp7ya-xrfn1ywrwh" Type="http://schemas.openxmlformats.org/officeDocument/2006/relationships/hyperlink" Target="https://www.un.org/development/desa/disabilities/convention-on-the-rights-of-persons-with-disabilities.html" TargetMode="External"/><Relationship Id="rIdxr7pbdtxp8t5ktefj2ew1" Type="http://schemas.openxmlformats.org/officeDocument/2006/relationships/hyperlink" Target="https://academy.gmj.ge/ch2-6-vulnerable-patient-protections" TargetMode="External"/><Relationship Id="rIdf0pp1zq0oagwqowhwzgm9" Type="http://schemas.openxmlformats.org/officeDocument/2006/relationships/hyperlink" Target="https://www.who.int/news-room/fact-sheets/detail/palliative-care" TargetMode="External"/><Relationship Id="rIdcresqvqmzvcpttdtoulk0" Type="http://schemas.openxmlformats.org/officeDocument/2006/relationships/hyperlink" Target="https://www.coe.int/en/web/bioethics/end-of-life" TargetMode="External"/><Relationship Id="rIdxfhyiidjo8wjtvyqnoihz" Type="http://schemas.openxmlformats.org/officeDocument/2006/relationships/hyperlink" Target="https://doi.org/10.1016/j.jpainsymman.2016.12.331" TargetMode="External"/><Relationship Id="rIdkrjr9quainzmzote2nlay" Type="http://schemas.openxmlformats.org/officeDocument/2006/relationships/hyperlink" Target="https://academy.gmj.ge/ch2-7-advance-directives-end-of-life" TargetMode="External"/><Relationship Id="rIdcjgtch2qp_w5uedefeoq7" Type="http://schemas.openxmlformats.org/officeDocument/2006/relationships/hyperlink" Target="https://iris.who.int/handle/10665/155002" TargetMode="External"/><Relationship Id="rIde5n_m1pe8wz418v9vvoa4" Type="http://schemas.openxmlformats.org/officeDocument/2006/relationships/hyperlink" Target="https://doi.org/10.1177/1077558705275416" TargetMode="External"/><Relationship Id="rIdqe9mr1yvs3n4-k7grpouk" Type="http://schemas.openxmlformats.org/officeDocument/2006/relationships/hyperlink" Target="https://doi.org/10.1111/j.1475-6773.2006.00629.x" TargetMode="External"/><Relationship Id="rIdsqkkb1npmizk2pmmuro58" Type="http://schemas.openxmlformats.org/officeDocument/2006/relationships/hyperlink" Target="https://academy.gmj.ge/ch2-8-interpreter-language-access" TargetMode="External"/><Relationship Id="rIdqe5oebutz4rk-hyzl9uki" Type="http://schemas.openxmlformats.org/officeDocument/2006/relationships/hyperlink" Target="https://iris.who.int/handle/10665/155002" TargetMode="External"/><Relationship Id="rIdsqx4grn07uzygxqyykwbd" Type="http://schemas.openxmlformats.org/officeDocument/2006/relationships/hyperlink" Target="https://doi.org/10.1136/bmjopen-2012-001570" TargetMode="External"/><Relationship Id="rIdfmwlveuawbprus_491qjo" Type="http://schemas.openxmlformats.org/officeDocument/2006/relationships/hyperlink" Target="https://doi.org/10.1136/bmj.g2225" TargetMode="External"/><Relationship Id="rIdpj84ptxbcu2oe9g0tmxpi" Type="http://schemas.openxmlformats.org/officeDocument/2006/relationships/hyperlink" Target="https://academy.gmj.ge/ch2-9-patient-feedback-experience" TargetMode="External"/><Relationship Id="rIdlwrnyzp6n6fgrdzhp4-dx" Type="http://schemas.openxmlformats.org/officeDocument/2006/relationships/hyperlink" Target="https://www.who.int/news-room/fact-sheets/detail/human-rights-and-health" TargetMode="External"/><Relationship Id="rId_8istimttvwgbmlrw2kfo" Type="http://schemas.openxmlformats.org/officeDocument/2006/relationships/hyperlink" Target="https://www.ohchr.org/en/instruments-mechanisms/instruments/international-covenant-economic-social-and-cultural-rights" TargetMode="External"/><Relationship Id="rIdrqx0sumueizlzb1tafir5" Type="http://schemas.openxmlformats.org/officeDocument/2006/relationships/hyperlink" Target="https://doi.org/10.1093/phr/118.4.293" TargetMode="External"/><Relationship Id="rIdk-111nz9uddzqkystk7xv" Type="http://schemas.openxmlformats.org/officeDocument/2006/relationships/hyperlink" Target="https://academy.gmj.ge/ch2-10-dignity-respect-non-discrimination" TargetMode="External"/><Relationship Id="rIdvdjkwid05ztvuam1d9i-h" Type="http://schemas.openxmlformats.org/officeDocument/2006/relationships/hyperlink" Target="https://www.wma.net/policies-post/wma-declaration-of-lisbon-on-the-rights-of-the-patient/" TargetMode="External"/><Relationship Id="rIdrt-6mpeuruvbjpiikmnml" Type="http://schemas.openxmlformats.org/officeDocument/2006/relationships/hyperlink" Target="https://iris.who.int/handle/10665/155002" TargetMode="External"/><Relationship Id="rIdeeuma_pog5jwyi28ok8h6" Type="http://schemas.openxmlformats.org/officeDocument/2006/relationships/hyperlink" Target="https://www.coe.int/en/web/bioethics/oviedo-convention" TargetMode="External"/><Relationship Id="rIdnqqezasavspmxrtr4snhg" Type="http://schemas.openxmlformats.org/officeDocument/2006/relationships/hyperlink" Target="https://www.wma.net/policies-post/wma-declaration-of-helsinki-ethical-principles-for-medical-research-involving-human-subjects/" TargetMode="External"/><Relationship Id="rId_h4o4yvhqgcpla4aorhsm" Type="http://schemas.openxmlformats.org/officeDocument/2006/relationships/hyperlink" Target="https://www.coe.int/en/web/bioethics/oviedo-convention" TargetMode="External"/><Relationship Id="rIddlevoe6q8azrj68yscp6n" Type="http://schemas.openxmlformats.org/officeDocument/2006/relationships/hyperlink" Target="https://global.oup.com/academic/product/principles-of-biomedical-ethics-9780190640873" TargetMode="External"/><Relationship Id="rIdxdjyemxyf12fxqm2he2wg" Type="http://schemas.openxmlformats.org/officeDocument/2006/relationships/hyperlink" Target="https://www.wma.net/policies-post/wma-international-code-of-medical-ethics/" TargetMode="External"/><Relationship Id="rIdioumv35wgypr_fz716mmj" Type="http://schemas.openxmlformats.org/officeDocument/2006/relationships/hyperlink" Target="https://www.coe.int/en/web/data-protection/convention108-and-protocol" TargetMode="External"/><Relationship Id="rIdeqla8lbrz4a60kqi2ocdi" Type="http://schemas.openxmlformats.org/officeDocument/2006/relationships/hyperlink" Target="https://www.who.int/publications/i/item/9241546255" TargetMode="External"/><Relationship Id="rIdsmp6i_7svbgw8xwadcpj8" Type="http://schemas.openxmlformats.org/officeDocument/2006/relationships/hyperlink" Target="https://www.who.int/publications/i/item/patient-safety-solutions" TargetMode="External"/><Relationship Id="rIdsjc0rjlrozbdgwdv81the" Type="http://schemas.openxmlformats.org/officeDocument/2006/relationships/hyperlink" Target="https://www.jointcommissioninternational.org" TargetMode="External"/><Relationship Id="rIdmt7qs_afupsidkltlgijn" Type="http://schemas.openxmlformats.org/officeDocument/2006/relationships/hyperlink" Target="https://www.england.nhs.uk/patient-safety/" TargetMode="External"/><Relationship Id="rIdxz9bykxlwbqghuocr5eio" Type="http://schemas.openxmlformats.org/officeDocument/2006/relationships/hyperlink" Target="https://iris.who.int/handle/10665/155002" TargetMode="External"/><Relationship Id="rId72lpt3mudyg7jcra_mp1-" Type="http://schemas.openxmlformats.org/officeDocument/2006/relationships/hyperlink" Target="https://doi.org/10.1136/bmjqs-2013-002437" TargetMode="External"/><Relationship Id="rId4pjbprqp6gnq-cf1od3zi" Type="http://schemas.openxmlformats.org/officeDocument/2006/relationships/hyperlink" Target="https://doi.org/10.1503/cmaj.060429" TargetMode="External"/><Relationship Id="rIda203qspf8mf23p4hdteaj" Type="http://schemas.openxmlformats.org/officeDocument/2006/relationships/hyperlink" Target="https://iris.who.int/handle/10665/85240" TargetMode="External"/><Relationship Id="rIdsuzryxatjzl1wm2voeykw" Type="http://schemas.openxmlformats.org/officeDocument/2006/relationships/hyperlink" Target="https://www.who.int/publications/i/item/9789240058623" TargetMode="External"/><Relationship Id="rIds1p5pivdwekkyntgxpeqg" Type="http://schemas.openxmlformats.org/officeDocument/2006/relationships/hyperlink" Target="https://www.un.org/development/desa/disabilities/convention-on-the-rights-of-persons-with-disabilities.html" TargetMode="External"/><Relationship Id="rIdwwlwyaav-g_azgyz9renr" Type="http://schemas.openxmlformats.org/officeDocument/2006/relationships/hyperlink" Target="https://www.who.int/news-room/fact-sheets/detail/palliative-care" TargetMode="External"/><Relationship Id="rIds6inh5std-7ou64m0uex9" Type="http://schemas.openxmlformats.org/officeDocument/2006/relationships/hyperlink" Target="https://www.coe.int/en/web/bioethics/end-of-life" TargetMode="External"/><Relationship Id="rIdkq21uxjqgehg7jddtf8lt" Type="http://schemas.openxmlformats.org/officeDocument/2006/relationships/hyperlink" Target="https://doi.org/10.1016/j.jpainsymman.2016.12.331" TargetMode="External"/><Relationship Id="rIdzikdt41resm8n9sifitya" Type="http://schemas.openxmlformats.org/officeDocument/2006/relationships/hyperlink" Target="https://iris.who.int/handle/10665/155002" TargetMode="External"/><Relationship Id="rIdcwwhg-yxnooavtjhbsu07" Type="http://schemas.openxmlformats.org/officeDocument/2006/relationships/hyperlink" Target="https://doi.org/10.1177/1077558705275416" TargetMode="External"/><Relationship Id="rIdh-7bqphh26lisomes_ntm" Type="http://schemas.openxmlformats.org/officeDocument/2006/relationships/hyperlink" Target="https://doi.org/10.1111/j.1475-6773.2006.00629.x" TargetMode="External"/><Relationship Id="rIdjwjizsq9pk4wfvbdnfajx" Type="http://schemas.openxmlformats.org/officeDocument/2006/relationships/hyperlink" Target="https://iris.who.int/handle/10665/155002" TargetMode="External"/><Relationship Id="rIdxjp8pejzspsteytvltpgn" Type="http://schemas.openxmlformats.org/officeDocument/2006/relationships/hyperlink" Target="https://doi.org/10.1136/bmjopen-2012-001570" TargetMode="External"/><Relationship Id="rId3miumuctjuhibuhzzagf5" Type="http://schemas.openxmlformats.org/officeDocument/2006/relationships/hyperlink" Target="https://doi.org/10.1136/bmj.g2225" TargetMode="External"/><Relationship Id="rIdswlbnmz6gsdiownfnh0gp" Type="http://schemas.openxmlformats.org/officeDocument/2006/relationships/hyperlink" Target="https://www.who.int/news-room/fact-sheets/detail/human-rights-and-health" TargetMode="External"/><Relationship Id="rId_z2poexx1bqrj1dsj5q9g" Type="http://schemas.openxmlformats.org/officeDocument/2006/relationships/hyperlink" Target="https://www.ohchr.org/en/instruments-mechanisms/instruments/international-covenant-economic-social-and-cultural-rights" TargetMode="External"/><Relationship Id="rIddrnrkdzy6yxdfltkqghrn" Type="http://schemas.openxmlformats.org/officeDocument/2006/relationships/hyperlink" Target="https://doi.org/10.1093/phr/118.4.293" TargetMode="External"/><Relationship Id="rId8" Type="http://schemas.openxmlformats.org/officeDocument/2006/relationships/image" Target="media/d139395916e07bb04734db2f45792b16c08ff223.png"/><Relationship Id="rId8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2026-08-29T19:26:45.812Z</dcterms:created>
  <dcterms:modified xsi:type="dcterms:W3CDTF">2026-08-29T19:26:45.812Z</dcterms:modified>
</cp:coreProperties>
</file>

<file path=docProps/custom.xml><?xml version="1.0" encoding="utf-8"?>
<Properties xmlns="http://schemas.openxmlformats.org/officeDocument/2006/custom-properties" xmlns:vt="http://schemas.openxmlformats.org/officeDocument/2006/docPropsVTypes"/>
</file>