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HUMAN RESOURCES &amp; WORKFORCE</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ASF-CH3-HRW-v2.0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fnaxuzyj5ljiwu3o4sbq-">
              <w:r>
                <w:rPr>
                  <w:rFonts w:ascii="Arial" w:cs="Arial" w:eastAsia="Arial" w:hAnsi="Arial"/>
                  <w:b/>
                  <w:bCs/>
                  <w:color w:val="c9a227"/>
                  <w:sz w:val="13"/>
                  <w:szCs w:val="13"/>
                  <w:u w:val="single"/>
                </w:rPr>
                <w:t xml:space="preserve">france-asf.fr</w:t>
              </w:r>
            </w:hyperlink>
          </w:p>
          <w:p>
            <w:pPr>
              <w:spacing w:after="36" w:before="0"/>
            </w:pPr>
            <w:hyperlink w:history="1" r:id="rIdcrfpnzuxg06617i4mzjik">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ASF-CH3-HRW-v2.0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32twnljmijvjezutp04x1">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3 — Human Resources &amp; Workforce.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human resources and workforce management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underpins every clinical chapter that follows. Standard 3.1 (Credentialing) is required before Standard 6.1 (Surgical Safety) or any clinical privilege can be granted. Standard 3.2 (Induction) feeds directly into Standard 4.8 (IPC Training). Standard 3.5 (CPD) connects to Standard 4.8 and Standard 8.1 (Laboratory Quality).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okpu0ngiz2e5hzmtprzoa">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3: HUMAN RESOURCES &amp; WORKFORCE</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3.1 to 3.5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seeking accreditation must fully meet all five. Standards 3.1, 3.2, and 3.3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Staff Credentialing and Scope of Practice Verification</w:t>
            </w:r>
          </w:p>
          <w:p>
            <w:pPr>
              <w:spacing w:after="36" w:before="0"/>
            </w:pPr>
            <w:r>
              <w:rPr>
                <w:rFonts w:ascii="Arial" w:cs="Arial" w:eastAsia="Arial" w:hAnsi="Arial"/>
                <w:b w:val="false"/>
                <w:bCs w:val="false"/>
                <w:i/>
                <w:iCs/>
                <w:caps w:val="false"/>
                <w:color w:val="4b5563"/>
                <w:sz w:val="12"/>
                <w:szCs w:val="12"/>
              </w:rPr>
              <w:t xml:space="preserve">The hospital verifies the qualifications, licensure, and defined scope of practice of every clinical staff member before they treat patients, and re-verifies on a defined schedule.</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Mandatory Induction Training for All Staff</w:t>
            </w:r>
          </w:p>
          <w:p>
            <w:pPr>
              <w:spacing w:after="36" w:before="0"/>
            </w:pPr>
            <w:r>
              <w:rPr>
                <w:rFonts w:ascii="Arial" w:cs="Arial" w:eastAsia="Arial" w:hAnsi="Arial"/>
                <w:b w:val="false"/>
                <w:bCs w:val="false"/>
                <w:i/>
                <w:iCs/>
                <w:caps w:val="false"/>
                <w:color w:val="4b5563"/>
                <w:sz w:val="12"/>
                <w:szCs w:val="12"/>
              </w:rPr>
              <w:t xml:space="preserve">Every new staff member, clinical and non-clinical, completes a documented induction programme covering safety, infection prevention, patient rights, and their specific role before working unsupervised.</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Staffing Levels and Skill Mix</w:t>
            </w:r>
          </w:p>
          <w:p>
            <w:pPr>
              <w:spacing w:after="36" w:before="0"/>
            </w:pPr>
            <w:r>
              <w:rPr>
                <w:rFonts w:ascii="Arial" w:cs="Arial" w:eastAsia="Arial" w:hAnsi="Arial"/>
                <w:b w:val="false"/>
                <w:bCs w:val="false"/>
                <w:i/>
                <w:iCs/>
                <w:caps w:val="false"/>
                <w:color w:val="4b5563"/>
                <w:sz w:val="12"/>
                <w:szCs w:val="12"/>
              </w:rPr>
              <w:t xml:space="preserve">The hospital maintains minimum staffing levels and an appropriate skill mix for each clinical area, based on patient acuity and volume, with a documented method for determining adequacy.</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Performance Appraisal System</w:t>
            </w:r>
          </w:p>
          <w:p>
            <w:pPr>
              <w:spacing w:after="36" w:before="0"/>
            </w:pPr>
            <w:r>
              <w:rPr>
                <w:rFonts w:ascii="Arial" w:cs="Arial" w:eastAsia="Arial" w:hAnsi="Arial"/>
                <w:b w:val="false"/>
                <w:bCs w:val="false"/>
                <w:i/>
                <w:iCs/>
                <w:caps w:val="false"/>
                <w:color w:val="4b5563"/>
                <w:sz w:val="12"/>
                <w:szCs w:val="12"/>
              </w:rPr>
              <w:t xml:space="preserve">Every staff member receives a documented performance appraisal at least annually, covering both competence and conduct, with a defined process for addressing underperformance.</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Continuing Professional Development</w:t>
            </w:r>
          </w:p>
          <w:p>
            <w:pPr>
              <w:spacing w:after="36" w:before="0"/>
            </w:pPr>
            <w:r>
              <w:rPr>
                <w:rFonts w:ascii="Arial" w:cs="Arial" w:eastAsia="Arial" w:hAnsi="Arial"/>
                <w:b w:val="false"/>
                <w:bCs w:val="false"/>
                <w:i/>
                <w:iCs/>
                <w:caps w:val="false"/>
                <w:color w:val="4b5563"/>
                <w:sz w:val="12"/>
                <w:szCs w:val="12"/>
              </w:rPr>
              <w:t xml:space="preserve">The hospital supports and tracks ongoing professional development for clinical and non-clinical staff, with a defined minimum requirement and a record of completion for each individual.</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3.6 to 3.8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has a verified, trained, adequately staffed workforce. An Accredited facility actively protects staff health and safety, plans its workforce ahead of need, and supports staff wellbeing as a matter of policy, not goodwill. These are the marks of a facility that treats its workforce as an asset to be sustained, not simply used.</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Occupational Health and Staff Safety</w:t>
            </w:r>
          </w:p>
          <w:p>
            <w:pPr>
              <w:spacing w:after="36" w:before="0"/>
            </w:pPr>
            <w:r>
              <w:rPr>
                <w:rFonts w:ascii="Arial" w:cs="Arial" w:eastAsia="Arial" w:hAnsi="Arial"/>
                <w:b w:val="false"/>
                <w:bCs w:val="false"/>
                <w:i/>
                <w:iCs/>
                <w:caps w:val="false"/>
                <w:color w:val="4b5563"/>
                <w:sz w:val="12"/>
                <w:szCs w:val="12"/>
              </w:rPr>
              <w:t xml:space="preserve">The hospital operates an occupational health programme protecting staff from workplace hazards, including bloodborne pathogen exposure, violence, and musculoskeletal injury, with an incident reporting and response process.</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Workforce Planning and Succession</w:t>
            </w:r>
          </w:p>
          <w:p>
            <w:pPr>
              <w:spacing w:after="36" w:before="0"/>
            </w:pPr>
            <w:r>
              <w:rPr>
                <w:rFonts w:ascii="Arial" w:cs="Arial" w:eastAsia="Arial" w:hAnsi="Arial"/>
                <w:b w:val="false"/>
                <w:bCs w:val="false"/>
                <w:i/>
                <w:iCs/>
                <w:caps w:val="false"/>
                <w:color w:val="4b5563"/>
                <w:sz w:val="12"/>
                <w:szCs w:val="12"/>
              </w:rPr>
              <w:t xml:space="preserve">The hospital maintains a workforce plan projecting staffing needs over at least a two-year horizon, and a succession plan for key leadership and clinical roles.</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Staff Wellbeing and Mental Health Support</w:t>
            </w:r>
          </w:p>
          <w:p>
            <w:pPr>
              <w:spacing w:after="36" w:before="0"/>
            </w:pPr>
            <w:r>
              <w:rPr>
                <w:rFonts w:ascii="Arial" w:cs="Arial" w:eastAsia="Arial" w:hAnsi="Arial"/>
                <w:b w:val="false"/>
                <w:bCs w:val="false"/>
                <w:i/>
                <w:iCs/>
                <w:caps w:val="false"/>
                <w:color w:val="4b5563"/>
                <w:sz w:val="12"/>
                <w:szCs w:val="12"/>
              </w:rPr>
              <w:t xml:space="preserve">The hospital provides accessible mental health and wellbeing support for staff, recognises signs of burnout, and has a defined process for staff to seek help confidentially.</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3.9 to 3.10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commitment to its workforce goes beyond day-to-day management. It protects staff who raise serious concerns, and it extends the same rigour of supervision and safety to volunteers and students as it does to employees.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Whistleblowing and Staff Reporting Mechanisms</w:t>
            </w:r>
          </w:p>
          <w:p>
            <w:pPr>
              <w:spacing w:after="36" w:before="0"/>
            </w:pPr>
            <w:r>
              <w:rPr>
                <w:rFonts w:ascii="Arial" w:cs="Arial" w:eastAsia="Arial" w:hAnsi="Arial"/>
                <w:b w:val="false"/>
                <w:bCs w:val="false"/>
                <w:i/>
                <w:iCs/>
                <w:caps w:val="false"/>
                <w:color w:val="4b5563"/>
                <w:sz w:val="12"/>
                <w:szCs w:val="12"/>
              </w:rPr>
              <w:t xml:space="preserve">The hospital has a protected, confidential channel for staff to report safety concerns, misconduct, or wrongdoing, with an explicit non-retaliation guarantee.</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3.10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Volunteer and Student Supervision Framework</w:t>
            </w:r>
          </w:p>
          <w:p>
            <w:pPr>
              <w:spacing w:after="36" w:before="0"/>
            </w:pPr>
            <w:r>
              <w:rPr>
                <w:rFonts w:ascii="Arial" w:cs="Arial" w:eastAsia="Arial" w:hAnsi="Arial"/>
                <w:b w:val="false"/>
                <w:bCs w:val="false"/>
                <w:i/>
                <w:iCs/>
                <w:caps w:val="false"/>
                <w:color w:val="4b5563"/>
                <w:sz w:val="12"/>
                <w:szCs w:val="12"/>
              </w:rPr>
              <w:t xml:space="preserve">The hospital has a documented framework for supervising volunteers and students, including background checks, defined scope of activity, and named supervisory responsibility.</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5hl1wttnttcyawqckxe91">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asodirvmalhckuaewcpwb">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utub63puruy8hvvo62uga">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ASF-CH3-HRW-v2.0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Staff Credentialing and Scope of Practice Verification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Staff Credentialing and Scope of Practice Verification</w:t>
            </w:r>
          </w:p>
          <w:p>
            <w:pPr>
              <w:spacing w:after="36" w:before="0"/>
            </w:pPr>
            <w:r>
              <w:rPr>
                <w:rFonts w:ascii="Arial" w:cs="Arial" w:eastAsia="Arial" w:hAnsi="Arial"/>
                <w:b w:val="false"/>
                <w:bCs w:val="false"/>
                <w:i w:val="false"/>
                <w:iCs w:val="false"/>
                <w:caps w:val="false"/>
                <w:color w:val="4b5563"/>
                <w:sz w:val="15"/>
                <w:szCs w:val="15"/>
              </w:rPr>
              <w:t xml:space="preserve">The hospital verifies the qualifications, licensure, and defined scope of practice of every clinical staff member before they treat patients, and re-verifies on a defined schedule.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credentialing policy requiring primary-source verification of qualifications and licensure before a clinician treats patients?</w:t>
            </w:r>
          </w:p>
          <w:p>
            <w:pPr>
              <w:spacing w:after="7" w:before="0"/>
            </w:pPr>
            <w:r>
              <w:rPr>
                <w:rFonts w:ascii="Arial" w:cs="Arial" w:eastAsia="Arial" w:hAnsi="Arial"/>
                <w:b w:val="false"/>
                <w:bCs w:val="false"/>
                <w:i/>
                <w:iCs/>
                <w:caps w:val="false"/>
                <w:color w:val="4b5563"/>
                <w:sz w:val="15"/>
                <w:szCs w:val="15"/>
              </w:rPr>
              <w:t xml:space="preserve">Primary-source means checking with the issuing body directly, not accepting a copied certificate at face value.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Credentialing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every current clinical staff member have a complete, verified credentialing file?</w:t>
            </w:r>
          </w:p>
          <w:p>
            <w:pPr>
              <w:spacing w:after="7" w:before="0"/>
            </w:pPr>
            <w:r>
              <w:rPr>
                <w:rFonts w:ascii="Arial" w:cs="Arial" w:eastAsia="Arial" w:hAnsi="Arial"/>
                <w:b w:val="false"/>
                <w:bCs w:val="false"/>
                <w:i/>
                <w:iCs/>
                <w:caps w:val="false"/>
                <w:color w:val="4b5563"/>
                <w:sz w:val="15"/>
                <w:szCs w:val="15"/>
              </w:rPr>
              <w:t xml:space="preserve">Spot-check five files across different professions for completeness.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credentialing files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each clinician’s scope of practice explicitly defined and limited to their verified competence?</w:t>
            </w:r>
          </w:p>
          <w:p>
            <w:pPr>
              <w:spacing w:after="7" w:before="0"/>
            </w:pPr>
            <w:r>
              <w:rPr>
                <w:rFonts w:ascii="Arial" w:cs="Arial" w:eastAsia="Arial" w:hAnsi="Arial"/>
                <w:b w:val="false"/>
                <w:bCs w:val="false"/>
                <w:i/>
                <w:iCs/>
                <w:caps w:val="false"/>
                <w:color w:val="4b5563"/>
                <w:sz w:val="15"/>
                <w:szCs w:val="15"/>
              </w:rPr>
              <w:t xml:space="preserve">Check that a scope-of-practice document exists, not just a job title.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Scope of practice documents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licensure re-verified on a defined schedule, not only at hiring?</w:t>
            </w:r>
          </w:p>
          <w:p>
            <w:pPr>
              <w:spacing w:after="7" w:before="0"/>
            </w:pPr>
            <w:r>
              <w:rPr>
                <w:rFonts w:ascii="Arial" w:cs="Arial" w:eastAsia="Arial" w:hAnsi="Arial"/>
                <w:b w:val="false"/>
                <w:bCs w:val="false"/>
                <w:i/>
                <w:iCs/>
                <w:caps w:val="false"/>
                <w:color w:val="4b5563"/>
                <w:sz w:val="15"/>
                <w:szCs w:val="15"/>
              </w:rPr>
              <w:t xml:space="preserve">Check the re-verification interval and evidence it is followed.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Re-verification schedule /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to immediately suspend clinical privileges if a licence lapses or a serious concern arises?</w:t>
            </w:r>
          </w:p>
          <w:p>
            <w:pPr>
              <w:spacing w:after="7" w:before="0"/>
            </w:pPr>
            <w:r>
              <w:rPr>
                <w:rFonts w:ascii="Arial" w:cs="Arial" w:eastAsia="Arial" w:hAnsi="Arial"/>
                <w:b w:val="false"/>
                <w:bCs w:val="false"/>
                <w:i/>
                <w:iCs/>
                <w:caps w:val="false"/>
                <w:color w:val="4b5563"/>
                <w:sz w:val="15"/>
                <w:szCs w:val="15"/>
              </w:rPr>
              <w:t xml:space="preserve">Ask for the actual mechanism, not an assumption that it would happen.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Privilege suspension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Primary-source verification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credentialing files for evidence of primary-source verification, not just copied documents.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Scope of practice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that a defined scope of practice exists for a sample of clinicians across different professions.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Re-verification schedule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the credentialing office how often licensure is re-verified and for evidence of the last cycle.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Suspension mechanism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quickly clinical privileges would be suspended if a licence lapsed today.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bc4kvhohnfo5cgjn_ztw4">
              <w:r>
                <w:rPr>
                  <w:rFonts w:ascii="Arial" w:cs="Arial" w:eastAsia="Arial" w:hAnsi="Arial"/>
                  <w:b/>
                  <w:bCs/>
                  <w:color w:val="c9a227"/>
                  <w:sz w:val="13"/>
                  <w:szCs w:val="13"/>
                  <w:u w:val="single"/>
                </w:rPr>
                <w:t xml:space="preserve">World Health Organization. WHO guideline: recommendations on health workforce credentialing. Geneva: WHO; 2020.</w:t>
              </w:r>
            </w:hyperlink>
            <w:r>
              <w:rPr>
                <w:rFonts w:ascii="Arial" w:cs="Arial" w:eastAsia="Arial" w:hAnsi="Arial"/>
                <w:b/>
                <w:bCs/>
                <w:i w:val="false"/>
                <w:iCs w:val="false"/>
                <w:caps w:val="false"/>
                <w:color w:val="6b778c"/>
                <w:sz w:val="13"/>
                <w:szCs w:val="13"/>
              </w:rPr>
              <w:t xml:space="preserve">   2. </w:t>
            </w:r>
            <w:hyperlink w:history="1" r:id="rIddv90n-rkecdargrvvi85w">
              <w:r>
                <w:rPr>
                  <w:rFonts w:ascii="Arial" w:cs="Arial" w:eastAsia="Arial" w:hAnsi="Arial"/>
                  <w:b/>
                  <w:bCs/>
                  <w:color w:val="c9a227"/>
                  <w:sz w:val="13"/>
                  <w:szCs w:val="13"/>
                  <w:u w:val="single"/>
                </w:rPr>
                <w:t xml:space="preserve">Joint Commission International. International Patient Safety Goals — Standards for Hospitals. Oak Brook: JCI; 2020.</w:t>
              </w:r>
            </w:hyperlink>
            <w:r>
              <w:rPr>
                <w:rFonts w:ascii="Arial" w:cs="Arial" w:eastAsia="Arial" w:hAnsi="Arial"/>
                <w:b/>
                <w:bCs/>
                <w:i w:val="false"/>
                <w:iCs w:val="false"/>
                <w:caps w:val="false"/>
                <w:color w:val="6b778c"/>
                <w:sz w:val="13"/>
                <w:szCs w:val="13"/>
              </w:rPr>
              <w:t xml:space="preserve">   3. </w:t>
            </w:r>
            <w:hyperlink w:history="1" r:id="rIdedufvfw0kldmupfsecjgd">
              <w:r>
                <w:rPr>
                  <w:rFonts w:ascii="Arial" w:cs="Arial" w:eastAsia="Arial" w:hAnsi="Arial"/>
                  <w:b/>
                  <w:bCs/>
                  <w:color w:val="c9a227"/>
                  <w:sz w:val="13"/>
                  <w:szCs w:val="13"/>
                  <w:u w:val="single"/>
                </w:rPr>
                <w:t xml:space="preserve">World Federation for Medical Education. Basic Medical Education: WFME Global Standards for Quality Improvement. Copenhagen: WFME; 2015.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3.1</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copied diploma or an unverified claim of licensure is trivially easy to falsify, and the consequence of trusting it uncritically is a clinician practising beyond their real competence with no one aware until harm occurs. Primary-source verification — checking directly with the licensing body — is the only check that cannot be forged by the applicant.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JCI International Patient Safety Goals — credential verification failures are a recurring, preventable contributor to serious clinical incidents involving unqualified or improperly scoped practitioners.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clinical staff member has a complete file with primary-source verified credentials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Scope of practice is explicitly defined and matched to verified competence, not assumed from title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Licensure is re-verified on a defined schedule, not only checked once at hiring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fast mechanism exists to suspend privileges if a licence lapses or a concern arises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Credentialing files are complete across all professions, not only physicians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Credentials are accepted on the strength of a copied certificate with no primary-source check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Some staff have no credentialing file at all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Scope of practice is undefined; staff practise based on informal expectation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Licences are checked once at hiring and never again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mechanism exists to act quickly if a licensing concern arises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Verification happened at hiring but was never repeated.</w:t>
            </w:r>
          </w:p>
          <w:p>
            <w:pPr>
              <w:spacing w:after="20" w:before="0"/>
            </w:pPr>
            <w:r>
              <w:rPr>
                <w:rFonts w:ascii="Arial" w:cs="Arial" w:eastAsia="Arial" w:hAnsi="Arial"/>
                <w:b w:val="false"/>
                <w:bCs w:val="false"/>
                <w:i/>
                <w:iCs/>
                <w:caps w:val="false"/>
                <w:color w:val="4b5563"/>
                <w:sz w:val="15"/>
                <w:szCs w:val="15"/>
              </w:rPr>
              <w:t xml:space="preserve">New staff are properly verified when they join, but there is no process to catch a licence that lapses or is suspended years into employment.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Physicians are credentialed rigorously; other professions are not.</w:t>
            </w:r>
          </w:p>
          <w:p>
            <w:pPr>
              <w:spacing w:after="20" w:before="0"/>
            </w:pPr>
            <w:r>
              <w:rPr>
                <w:rFonts w:ascii="Arial" w:cs="Arial" w:eastAsia="Arial" w:hAnsi="Arial"/>
                <w:b w:val="false"/>
                <w:bCs w:val="false"/>
                <w:i/>
                <w:iCs/>
                <w:caps w:val="false"/>
                <w:color w:val="4b5563"/>
                <w:sz w:val="15"/>
                <w:szCs w:val="15"/>
              </w:rPr>
              <w:t xml:space="preserve">Nursing, allied health, and technical staff files are much thinner than physician files, despite carrying similarly significant clinical responsibility.</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Scope of practice exists as a job title, not a defined document.</w:t>
            </w:r>
          </w:p>
          <w:p>
            <w:pPr>
              <w:spacing w:after="36" w:before="0"/>
            </w:pPr>
            <w:r>
              <w:rPr>
                <w:rFonts w:ascii="Arial" w:cs="Arial" w:eastAsia="Arial" w:hAnsi="Arial"/>
                <w:b w:val="false"/>
                <w:bCs w:val="false"/>
                <w:i/>
                <w:iCs/>
                <w:caps w:val="false"/>
                <w:color w:val="4b5563"/>
                <w:sz w:val="15"/>
                <w:szCs w:val="15"/>
              </w:rPr>
              <w:t xml:space="preserve">Staff are assumed to work "within their role," but no document actually specifies what that role permits and excludes.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Audit current credentialing files for completeness and primary-source verification across all clinical professions.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Close any gaps identified, prioritising active clinical staff with no verified file.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Define or confirm scope-of-practice documents for each clinical role.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re-verification schedule and a fast-track suspension procedure for lapsed licences.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Re-verify licensure on the defined schedule; update scope of practice as roles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to see the primary-source confirmation, not the certificate.  </w:t>
            </w:r>
            <w:r>
              <w:rPr>
                <w:rFonts w:ascii="Arial" w:cs="Arial" w:eastAsia="Arial" w:hAnsi="Arial"/>
                <w:b w:val="false"/>
                <w:bCs w:val="false"/>
                <w:i w:val="false"/>
                <w:iCs w:val="false"/>
                <w:caps w:val="false"/>
                <w:color w:val="374151"/>
                <w:sz w:val="16"/>
                <w:szCs w:val="16"/>
              </w:rPr>
              <w:t xml:space="preserve">A hospital showing only the applicant’s copied diploma has not actually verified anything — ask for the licensing body’s confirmation.</w:t>
            </w:r>
          </w:p>
          <w:p>
            <w:pPr>
              <w:spacing w:after="16" w:before="0"/>
            </w:pPr>
            <w:r>
              <w:rPr>
                <w:rFonts w:ascii="Arial" w:cs="Arial" w:eastAsia="Arial" w:hAnsi="Arial"/>
                <w:b/>
                <w:bCs/>
                <w:i w:val="false"/>
                <w:iCs w:val="false"/>
                <w:caps w:val="false"/>
                <w:color w:val="b91c1c"/>
                <w:sz w:val="15"/>
                <w:szCs w:val="15"/>
              </w:rPr>
              <w:t xml:space="preserve">Check a non-physician file, not just a doctor’s.  </w:t>
            </w:r>
            <w:r>
              <w:rPr>
                <w:rFonts w:ascii="Arial" w:cs="Arial" w:eastAsia="Arial" w:hAnsi="Arial"/>
                <w:b w:val="false"/>
                <w:bCs w:val="false"/>
                <w:i w:val="false"/>
                <w:iCs w:val="false"/>
                <w:caps w:val="false"/>
                <w:color w:val="374151"/>
                <w:sz w:val="16"/>
                <w:szCs w:val="16"/>
              </w:rPr>
              <w:t xml:space="preserve">Credentialing rigour is often uneven across professions; nursing and allied health files reveal the true baseline.</w:t>
            </w:r>
          </w:p>
          <w:p>
            <w:pPr>
              <w:spacing w:after="36" w:before="0"/>
            </w:pPr>
            <w:r>
              <w:rPr>
                <w:rFonts w:ascii="Arial" w:cs="Arial" w:eastAsia="Arial" w:hAnsi="Arial"/>
                <w:b/>
                <w:bCs/>
                <w:i w:val="false"/>
                <w:iCs w:val="false"/>
                <w:caps w:val="false"/>
                <w:color w:val="b91c1c"/>
                <w:sz w:val="15"/>
                <w:szCs w:val="15"/>
              </w:rPr>
              <w:t xml:space="preserve">Ask what would happen this week if a licence lapsed.  </w:t>
            </w:r>
            <w:r>
              <w:rPr>
                <w:rFonts w:ascii="Arial" w:cs="Arial" w:eastAsia="Arial" w:hAnsi="Arial"/>
                <w:b w:val="false"/>
                <w:bCs w:val="false"/>
                <w:i w:val="false"/>
                <w:iCs w:val="false"/>
                <w:caps w:val="false"/>
                <w:color w:val="374151"/>
                <w:sz w:val="16"/>
                <w:szCs w:val="16"/>
              </w:rPr>
              <w:t xml:space="preserve">A concrete, fast answer indicates a working suspension mechanism; a vague one suggests the policy has never actually been tested.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e8fm9nsannlao0icvpmz">
              <w:r>
                <w:rPr>
                  <w:rFonts w:ascii="Arial" w:cs="Arial" w:eastAsia="Arial" w:hAnsi="Arial"/>
                  <w:b/>
                  <w:bCs/>
                  <w:color w:val="c9a227"/>
                  <w:sz w:val="13"/>
                  <w:szCs w:val="13"/>
                  <w:u w:val="single"/>
                </w:rPr>
                <w:t xml:space="preserve">academy.gmj.ge/ch3-1-staff-credentialing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Mandatory Induction Training for All Staff</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Mandatory Induction Training for All Staff</w:t>
            </w:r>
          </w:p>
          <w:p>
            <w:pPr>
              <w:spacing w:after="36" w:before="0"/>
            </w:pPr>
            <w:r>
              <w:rPr>
                <w:rFonts w:ascii="Arial" w:cs="Arial" w:eastAsia="Arial" w:hAnsi="Arial"/>
                <w:b w:val="false"/>
                <w:bCs w:val="false"/>
                <w:i w:val="false"/>
                <w:iCs w:val="false"/>
                <w:caps w:val="false"/>
                <w:color w:val="4b5563"/>
                <w:sz w:val="15"/>
                <w:szCs w:val="15"/>
              </w:rPr>
              <w:t xml:space="preserve">Every new staff member, clinical and non-clinical, completes a documented induction programme covering safety, infection prevention, patient rights, and their specific role before working unsupervised.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mandatory induction programme covering safety, IPC, patient rights, and role-specific content?</w:t>
            </w:r>
          </w:p>
          <w:p>
            <w:pPr>
              <w:spacing w:after="7" w:before="0"/>
            </w:pPr>
            <w:r>
              <w:rPr>
                <w:rFonts w:ascii="Arial" w:cs="Arial" w:eastAsia="Arial" w:hAnsi="Arial"/>
                <w:b w:val="false"/>
                <w:bCs w:val="false"/>
                <w:i/>
                <w:iCs/>
                <w:caps w:val="false"/>
                <w:color w:val="4b5563"/>
                <w:sz w:val="15"/>
                <w:szCs w:val="15"/>
              </w:rPr>
              <w:t xml:space="preserve">Check the induction curriculum covers all four elements, not only role-specific tasks.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Induction programme curriculum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induction apply to all staff, including non-clinical and support staff?</w:t>
            </w:r>
          </w:p>
          <w:p>
            <w:pPr>
              <w:spacing w:after="7" w:before="0"/>
            </w:pPr>
            <w:r>
              <w:rPr>
                <w:rFonts w:ascii="Arial" w:cs="Arial" w:eastAsia="Arial" w:hAnsi="Arial"/>
                <w:b w:val="false"/>
                <w:bCs w:val="false"/>
                <w:i/>
                <w:iCs/>
                <w:caps w:val="false"/>
                <w:color w:val="4b5563"/>
                <w:sz w:val="15"/>
                <w:szCs w:val="15"/>
              </w:rPr>
              <w:t xml:space="preserve">Check induction records for a sample of non-clinical roles.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Induction records (non-clinical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completion documented individually, with named records, before unsupervised work begins?</w:t>
            </w:r>
          </w:p>
          <w:p>
            <w:pPr>
              <w:spacing w:after="7" w:before="0"/>
            </w:pPr>
            <w:r>
              <w:rPr>
                <w:rFonts w:ascii="Arial" w:cs="Arial" w:eastAsia="Arial" w:hAnsi="Arial"/>
                <w:b w:val="false"/>
                <w:bCs w:val="false"/>
                <w:i/>
                <w:iCs/>
                <w:caps w:val="false"/>
                <w:color w:val="4b5563"/>
                <w:sz w:val="15"/>
                <w:szCs w:val="15"/>
              </w:rPr>
              <w:t xml:space="preserve">Check the sequencing — was induction completed before or after the person started working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Individual completion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timeframe within which induction must be completed after start date?</w:t>
            </w:r>
          </w:p>
          <w:p>
            <w:pPr>
              <w:spacing w:after="36" w:before="0"/>
            </w:pPr>
            <w:r>
              <w:rPr>
                <w:rFonts w:ascii="Arial" w:cs="Arial" w:eastAsia="Arial" w:hAnsi="Arial"/>
                <w:b w:val="false"/>
                <w:bCs w:val="false"/>
                <w:i/>
                <w:iCs/>
                <w:caps w:val="false"/>
                <w:color w:val="4b5563"/>
                <w:sz w:val="15"/>
                <w:szCs w:val="15"/>
              </w:rPr>
              <w:t xml:space="preserve">Check the policy states a specific number of days, not "as soon as possible".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new staff assessed for understanding, not only attendance, at the end of induction?</w:t>
            </w:r>
          </w:p>
          <w:p>
            <w:pPr>
              <w:spacing w:after="7" w:before="0"/>
            </w:pPr>
            <w:r>
              <w:rPr>
                <w:rFonts w:ascii="Arial" w:cs="Arial" w:eastAsia="Arial" w:hAnsi="Arial"/>
                <w:b w:val="false"/>
                <w:bCs w:val="false"/>
                <w:i/>
                <w:iCs/>
                <w:caps w:val="false"/>
                <w:color w:val="4b5563"/>
                <w:sz w:val="15"/>
                <w:szCs w:val="15"/>
              </w:rPr>
              <w:t xml:space="preserve">Ask for the assessment method used.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Induction assessment method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Induction curriculum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induction programme content for coverage of safety, IPC, patient rights, and role-specific elements.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Completion record sample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individual, named completion records for a sample of recently hired staff, clinical and non-clinical.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Sequencing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recently hired staff member when they completed induction relative to starting unsupervised work.</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Assessment method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how understanding, not just attendance, is confirmed at the end of induction.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fhp7dio04qqh1do9k-nzy">
              <w:r>
                <w:rPr>
                  <w:rFonts w:ascii="Arial" w:cs="Arial" w:eastAsia="Arial" w:hAnsi="Arial"/>
                  <w:b/>
                  <w:bCs/>
                  <w:color w:val="c9a227"/>
                  <w:sz w:val="13"/>
                  <w:szCs w:val="13"/>
                  <w:u w:val="single"/>
                </w:rPr>
                <w:t xml:space="preserve">World Health Organization. Human resources for health: overview. Geneva: WHO; 2016.</w:t>
              </w:r>
            </w:hyperlink>
            <w:r>
              <w:rPr>
                <w:rFonts w:ascii="Arial" w:cs="Arial" w:eastAsia="Arial" w:hAnsi="Arial"/>
                <w:b/>
                <w:bCs/>
                <w:i w:val="false"/>
                <w:iCs w:val="false"/>
                <w:caps w:val="false"/>
                <w:color w:val="6b778c"/>
                <w:sz w:val="13"/>
                <w:szCs w:val="13"/>
              </w:rPr>
              <w:t xml:space="preserve">   2. </w:t>
            </w:r>
            <w:hyperlink w:history="1" r:id="rIdxzu0sqesjrtz3hlqcuguw">
              <w:r>
                <w:rPr>
                  <w:rFonts w:ascii="Arial" w:cs="Arial" w:eastAsia="Arial" w:hAnsi="Arial"/>
                  <w:b/>
                  <w:bCs/>
                  <w:color w:val="c9a227"/>
                  <w:sz w:val="13"/>
                  <w:szCs w:val="13"/>
                  <w:u w:val="single"/>
                </w:rPr>
                <w:t xml:space="preserve">World Health Organization. Guidelines on core components of infection prevention and control programmes. Geneva: WHO; 2016.</w:t>
              </w:r>
            </w:hyperlink>
            <w:r>
              <w:rPr>
                <w:rFonts w:ascii="Arial" w:cs="Arial" w:eastAsia="Arial" w:hAnsi="Arial"/>
                <w:b/>
                <w:bCs/>
                <w:i w:val="false"/>
                <w:iCs w:val="false"/>
                <w:caps w:val="false"/>
                <w:color w:val="6b778c"/>
                <w:sz w:val="13"/>
                <w:szCs w:val="13"/>
              </w:rPr>
              <w:t xml:space="preserve">   3. </w:t>
            </w:r>
            <w:hyperlink w:history="1" r:id="rIdojlsv8scxws7tcb_7g1we">
              <w:r>
                <w:rPr>
                  <w:rFonts w:ascii="Arial" w:cs="Arial" w:eastAsia="Arial" w:hAnsi="Arial"/>
                  <w:b/>
                  <w:bCs/>
                  <w:color w:val="c9a227"/>
                  <w:sz w:val="13"/>
                  <w:szCs w:val="13"/>
                  <w:u w:val="single"/>
                </w:rPr>
                <w:t xml:space="preserve">Institute for Healthcare Improvement. Onboarding for patient safety: essentials toolkit. Boston: IHI;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3.2</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staff member who starts working before understanding basic safety, infection prevention, and patient rights expectations is a foreseeable source of harm — not because they are careless, but because no one has yet told them what the hospital actually requires. Induction completed and verified before unsupervised work closes that gap at the one point where it is cheapest to close: before, not after, a mistake.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2016 core components guidelines — structured staff induction covering infection prevention is one of eight core components consistently linked to reduced healthcare-associated infection rates.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Induction covers safety, IPC, patient rights, and role-specific content for every new hire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Non-clinical and support staff complete induction, not only clinical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Completion is documented individually and verified before unsupervised work begins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specific, enforced timeframe exists for completing induction after start date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Understanding is assessed, not just attendance recorded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Induction covers role-specific tasks only, omitting safety, IPC, or patient rights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Non-clinical staff are exempted from induction entirely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begin unsupervised work before induction is complete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timeframe exists; induction happens "eventually"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Attendance is recorded but no one checks whether the content was understood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Induction happens but sequencing is backwards in practice.</w:t>
            </w:r>
          </w:p>
          <w:p>
            <w:pPr>
              <w:spacing w:after="20" w:before="0"/>
            </w:pPr>
            <w:r>
              <w:rPr>
                <w:rFonts w:ascii="Arial" w:cs="Arial" w:eastAsia="Arial" w:hAnsi="Arial"/>
                <w:b w:val="false"/>
                <w:bCs w:val="false"/>
                <w:i/>
                <w:iCs/>
                <w:caps w:val="false"/>
                <w:color w:val="4b5563"/>
                <w:sz w:val="15"/>
                <w:szCs w:val="15"/>
              </w:rPr>
              <w:t xml:space="preserve">The programme exists and is generally completed, but under staffing pressure new hires are sometimes put to work before it is finished.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Clinical staff are inducted properly; support staff are an afterthought.</w:t>
            </w:r>
          </w:p>
          <w:p>
            <w:pPr>
              <w:spacing w:after="20" w:before="0"/>
            </w:pPr>
            <w:r>
              <w:rPr>
                <w:rFonts w:ascii="Arial" w:cs="Arial" w:eastAsia="Arial" w:hAnsi="Arial"/>
                <w:b w:val="false"/>
                <w:bCs w:val="false"/>
                <w:i/>
                <w:iCs/>
                <w:caps w:val="false"/>
                <w:color w:val="4b5563"/>
                <w:sz w:val="15"/>
                <w:szCs w:val="15"/>
              </w:rPr>
              <w:t xml:space="preserve">Cleaning, catering, and administrative staff receive a much lighter, sometimes informal, orientation despite working throughout patient care areas.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Attendance is tracked meticulously but understanding is never checked.</w:t>
            </w:r>
          </w:p>
          <w:p>
            <w:pPr>
              <w:spacing w:after="36" w:before="0"/>
            </w:pPr>
            <w:r>
              <w:rPr>
                <w:rFonts w:ascii="Arial" w:cs="Arial" w:eastAsia="Arial" w:hAnsi="Arial"/>
                <w:b w:val="false"/>
                <w:bCs w:val="false"/>
                <w:i/>
                <w:iCs/>
                <w:caps w:val="false"/>
                <w:color w:val="4b5563"/>
                <w:sz w:val="15"/>
                <w:szCs w:val="15"/>
              </w:rPr>
              <w:t xml:space="preserve">Sign-in sheets prove people were in the room; nothing confirms they absorbed the safety and IPC content.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the induction curriculum for coverage of all four required elements.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Extend or confirm induction requirements apply to non-clinical and support staff.</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Set a specific completion timeframe and build a hold on unsupervised scheduling until induction is verified.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Introduce a brief understanding check at the end of induction, beyond attendance.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completion for every new hire; audit a sample of records against actual start-of-work dates.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recently hired non-clinical staff member directly.  </w:t>
            </w:r>
            <w:r>
              <w:rPr>
                <w:rFonts w:ascii="Arial" w:cs="Arial" w:eastAsia="Arial" w:hAnsi="Arial"/>
                <w:b w:val="false"/>
                <w:bCs w:val="false"/>
                <w:i w:val="false"/>
                <w:iCs w:val="false"/>
                <w:caps w:val="false"/>
                <w:color w:val="374151"/>
                <w:sz w:val="16"/>
                <w:szCs w:val="16"/>
              </w:rPr>
              <w:t xml:space="preserve">Cleaning or catering staff describing their own induction experience is often the fastest way to find where the programme actually stops.</w:t>
            </w:r>
          </w:p>
          <w:p>
            <w:pPr>
              <w:spacing w:after="16" w:before="0"/>
            </w:pPr>
            <w:r>
              <w:rPr>
                <w:rFonts w:ascii="Arial" w:cs="Arial" w:eastAsia="Arial" w:hAnsi="Arial"/>
                <w:b/>
                <w:bCs/>
                <w:i w:val="false"/>
                <w:iCs w:val="false"/>
                <w:caps w:val="false"/>
                <w:color w:val="b91c1c"/>
                <w:sz w:val="15"/>
                <w:szCs w:val="15"/>
              </w:rPr>
              <w:t xml:space="preserve">Compare the induction completion date to the first shift date.  </w:t>
            </w:r>
            <w:r>
              <w:rPr>
                <w:rFonts w:ascii="Arial" w:cs="Arial" w:eastAsia="Arial" w:hAnsi="Arial"/>
                <w:b w:val="false"/>
                <w:bCs w:val="false"/>
                <w:i w:val="false"/>
                <w:iCs w:val="false"/>
                <w:caps w:val="false"/>
                <w:color w:val="374151"/>
                <w:sz w:val="16"/>
                <w:szCs w:val="16"/>
              </w:rPr>
              <w:t xml:space="preserve">A hospital with strong policy language can still show a gap between the two in practice — check the actual dates.</w:t>
            </w:r>
          </w:p>
          <w:p>
            <w:pPr>
              <w:spacing w:after="36" w:before="0"/>
            </w:pPr>
            <w:r>
              <w:rPr>
                <w:rFonts w:ascii="Arial" w:cs="Arial" w:eastAsia="Arial" w:hAnsi="Arial"/>
                <w:b/>
                <w:bCs/>
                <w:i w:val="false"/>
                <w:iCs w:val="false"/>
                <w:caps w:val="false"/>
                <w:color w:val="b91c1c"/>
                <w:sz w:val="15"/>
                <w:szCs w:val="15"/>
              </w:rPr>
              <w:t xml:space="preserve">Ask how understanding is checked, not just attendance.  </w:t>
            </w:r>
            <w:r>
              <w:rPr>
                <w:rFonts w:ascii="Arial" w:cs="Arial" w:eastAsia="Arial" w:hAnsi="Arial"/>
                <w:b w:val="false"/>
                <w:bCs w:val="false"/>
                <w:i w:val="false"/>
                <w:iCs w:val="false"/>
                <w:caps w:val="false"/>
                <w:color w:val="374151"/>
                <w:sz w:val="16"/>
                <w:szCs w:val="16"/>
              </w:rPr>
              <w:t xml:space="preserve">A quiz, teach-back, or supervised first shift are meaningfully different from a signed attendance sheet.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z7dmqbeardftbin8zqd-w">
              <w:r>
                <w:rPr>
                  <w:rFonts w:ascii="Arial" w:cs="Arial" w:eastAsia="Arial" w:hAnsi="Arial"/>
                  <w:b/>
                  <w:bCs/>
                  <w:color w:val="c9a227"/>
                  <w:sz w:val="13"/>
                  <w:szCs w:val="13"/>
                  <w:u w:val="single"/>
                </w:rPr>
                <w:t xml:space="preserve">academy.gmj.ge/ch3-2-mandatory-induction-training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Staffing Levels and Skill Mix</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Staffing Levels and Skill Mix</w:t>
            </w:r>
          </w:p>
          <w:p>
            <w:pPr>
              <w:spacing w:after="36" w:before="0"/>
            </w:pPr>
            <w:r>
              <w:rPr>
                <w:rFonts w:ascii="Arial" w:cs="Arial" w:eastAsia="Arial" w:hAnsi="Arial"/>
                <w:b w:val="false"/>
                <w:bCs w:val="false"/>
                <w:i w:val="false"/>
                <w:iCs w:val="false"/>
                <w:caps w:val="false"/>
                <w:color w:val="4b5563"/>
                <w:sz w:val="15"/>
                <w:szCs w:val="15"/>
              </w:rPr>
              <w:t xml:space="preserve">The hospital maintains minimum staffing levels and an appropriate skill mix for each clinical area, based on patient acuity and volume, with a documented method for determining adequacy.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method for determining minimum staffing levels by clinical area?</w:t>
            </w:r>
          </w:p>
          <w:p>
            <w:pPr>
              <w:spacing w:after="7" w:before="0"/>
            </w:pPr>
            <w:r>
              <w:rPr>
                <w:rFonts w:ascii="Arial" w:cs="Arial" w:eastAsia="Arial" w:hAnsi="Arial"/>
                <w:b w:val="false"/>
                <w:bCs w:val="false"/>
                <w:i/>
                <w:iCs/>
                <w:caps w:val="false"/>
                <w:color w:val="4b5563"/>
                <w:sz w:val="15"/>
                <w:szCs w:val="15"/>
              </w:rPr>
              <w:t xml:space="preserve">Based on patient volume and acuity, not an arbitrary historical number.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Staffing methodology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actual staffing levels tracked against the minimum on each shift?</w:t>
            </w:r>
          </w:p>
          <w:p>
            <w:pPr>
              <w:spacing w:after="7" w:before="0"/>
            </w:pPr>
            <w:r>
              <w:rPr>
                <w:rFonts w:ascii="Arial" w:cs="Arial" w:eastAsia="Arial" w:hAnsi="Arial"/>
                <w:b w:val="false"/>
                <w:bCs w:val="false"/>
                <w:i/>
                <w:iCs/>
                <w:caps w:val="false"/>
                <w:color w:val="4b5563"/>
                <w:sz w:val="15"/>
                <w:szCs w:val="15"/>
              </w:rPr>
              <w:t xml:space="preserve">Check for a real-time or shift-level staffing record, not only a monthly average.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Shift staffing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escalation process when staffing falls below the minimum?</w:t>
            </w:r>
          </w:p>
          <w:p>
            <w:pPr>
              <w:spacing w:after="7" w:before="0"/>
            </w:pPr>
            <w:r>
              <w:rPr>
                <w:rFonts w:ascii="Arial" w:cs="Arial" w:eastAsia="Arial" w:hAnsi="Arial"/>
                <w:b w:val="false"/>
                <w:bCs w:val="false"/>
                <w:i/>
                <w:iCs/>
                <w:caps w:val="false"/>
                <w:color w:val="4b5563"/>
                <w:sz w:val="15"/>
                <w:szCs w:val="15"/>
              </w:rPr>
              <w:t xml:space="preserve">Ask what happens on a specific understaffed shift.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Escalation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skill mix reflect the clinical needs of each area, not just headcount?</w:t>
            </w:r>
          </w:p>
          <w:p>
            <w:pPr>
              <w:spacing w:after="36" w:before="0"/>
            </w:pPr>
            <w:r>
              <w:rPr>
                <w:rFonts w:ascii="Arial" w:cs="Arial" w:eastAsia="Arial" w:hAnsi="Arial"/>
                <w:b w:val="false"/>
                <w:bCs w:val="false"/>
                <w:i/>
                <w:iCs/>
                <w:caps w:val="false"/>
                <w:color w:val="4b5563"/>
                <w:sz w:val="15"/>
                <w:szCs w:val="15"/>
              </w:rPr>
              <w:t xml:space="preserve">Check that critical/high-acuity areas have an appropriate proportion of experienced staff.</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staffing adequacy reviewed periodically as patient volume or services change?</w:t>
            </w:r>
          </w:p>
          <w:p>
            <w:pPr>
              <w:spacing w:after="7" w:before="0"/>
            </w:pPr>
            <w:r>
              <w:rPr>
                <w:rFonts w:ascii="Arial" w:cs="Arial" w:eastAsia="Arial" w:hAnsi="Arial"/>
                <w:b w:val="false"/>
                <w:bCs w:val="false"/>
                <w:i/>
                <w:iCs/>
                <w:caps w:val="false"/>
                <w:color w:val="4b5563"/>
                <w:sz w:val="15"/>
                <w:szCs w:val="15"/>
              </w:rPr>
              <w:t xml:space="preserve">Check for a review record tied to a change in services or volume.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Staffing review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Staffing methodology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method for determining minimum staffing by clinical area, checking it is based on acuity and volume.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Shift-level record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actual staffing records for a sample of recent shifts against the stated minimum.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Escalation scenario</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nursing or department leader what happens on a shift when staffing falls below the minimum.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Skill mix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skill mix on a sample of shifts in a high-acuity area for appropriate seniority and experience.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elfyo6_qq19ih1mvhy_fi">
              <w:r>
                <w:rPr>
                  <w:rFonts w:ascii="Arial" w:cs="Arial" w:eastAsia="Arial" w:hAnsi="Arial"/>
                  <w:b/>
                  <w:bCs/>
                  <w:color w:val="c9a227"/>
                  <w:sz w:val="13"/>
                  <w:szCs w:val="13"/>
                  <w:u w:val="single"/>
                </w:rPr>
                <w:t xml:space="preserve">World Health Organization. Global strategy on human resources for health: Workforce 2030. Geneva: WHO; 2016.</w:t>
              </w:r>
            </w:hyperlink>
            <w:r>
              <w:rPr>
                <w:rFonts w:ascii="Arial" w:cs="Arial" w:eastAsia="Arial" w:hAnsi="Arial"/>
                <w:b/>
                <w:bCs/>
                <w:i w:val="false"/>
                <w:iCs w:val="false"/>
                <w:caps w:val="false"/>
                <w:color w:val="6b778c"/>
                <w:sz w:val="13"/>
                <w:szCs w:val="13"/>
              </w:rPr>
              <w:t xml:space="preserve">   2. </w:t>
            </w:r>
            <w:hyperlink w:history="1" r:id="rIdlgoojyagp10zry_o8u7zw">
              <w:r>
                <w:rPr>
                  <w:rFonts w:ascii="Arial" w:cs="Arial" w:eastAsia="Arial" w:hAnsi="Arial"/>
                  <w:b/>
                  <w:bCs/>
                  <w:color w:val="c9a227"/>
                  <w:sz w:val="13"/>
                  <w:szCs w:val="13"/>
                  <w:u w:val="single"/>
                </w:rPr>
                <w:t xml:space="preserve">Aiken LH, Sloane DM, Bruyneel L, et al. Nurse staffing and education and hospital mortality in nine European countries. Lancet. 2014;383(9931):1824-1830.</w:t>
              </w:r>
            </w:hyperlink>
            <w:r>
              <w:rPr>
                <w:rFonts w:ascii="Arial" w:cs="Arial" w:eastAsia="Arial" w:hAnsi="Arial"/>
                <w:b/>
                <w:bCs/>
                <w:i w:val="false"/>
                <w:iCs w:val="false"/>
                <w:caps w:val="false"/>
                <w:color w:val="6b778c"/>
                <w:sz w:val="13"/>
                <w:szCs w:val="13"/>
              </w:rPr>
              <w:t xml:space="preserve">   3. </w:t>
            </w:r>
            <w:hyperlink w:history="1" r:id="rIdrpltj4_hdmy-h9ymrvfrb">
              <w:r>
                <w:rPr>
                  <w:rFonts w:ascii="Arial" w:cs="Arial" w:eastAsia="Arial" w:hAnsi="Arial"/>
                  <w:b/>
                  <w:bCs/>
                  <w:color w:val="c9a227"/>
                  <w:sz w:val="13"/>
                  <w:szCs w:val="13"/>
                  <w:u w:val="single"/>
                </w:rPr>
                <w:t xml:space="preserve">World Health Organization. Health workforce requirements for universal health coverage and the Sustainable Development Goals. Geneva: WHO;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3.3</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Understaffing is one of the most consistently documented drivers of preventable harm in hospitals — not because individual staff work less carefully when stretched, but because there are simply not enough hands to catch every deteriorating patient, complete every safety check, or respond quickly enough when several things go wrong at once. A documented, acuity-based staffing method, tracked in real time, is what turns "we’ll manage" into a measurable, defensible standard.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Aiken et al. 2014 — each additional patient per nurse was associated with a 7% increase in the likelihood of patient death within 30 days of admission across nine European countries.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Minimum staffing is determined by a documented method based on acuity and volume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Actual staffing is tracked at shift level against the minimum, not only as a monthly average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escalation process activates when staffing falls below the minimum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Skill mix reflects clinical need, with appropriate seniority in high-acuity areas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Staffing adequacy is reviewed when patient volume or services change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Staffing levels are set historically, with no documented method tied to patient need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one tracks whether actual staffing meets the intended minimum on a given shift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When staffing falls short, there is no defined response — staff simply cope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Skill mix is uneven, with inexperienced staff concentrated in high-acuity areas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Staffing levels have not been reviewed despite significant changes in patient volume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methodology exists but staffing has drifted below it without anyone noticing.</w:t>
            </w:r>
          </w:p>
          <w:p>
            <w:pPr>
              <w:spacing w:after="20" w:before="0"/>
            </w:pPr>
            <w:r>
              <w:rPr>
                <w:rFonts w:ascii="Arial" w:cs="Arial" w:eastAsia="Arial" w:hAnsi="Arial"/>
                <w:b w:val="false"/>
                <w:bCs w:val="false"/>
                <w:i/>
                <w:iCs/>
                <w:caps w:val="false"/>
                <w:color w:val="4b5563"/>
                <w:sz w:val="15"/>
                <w:szCs w:val="15"/>
              </w:rPr>
              <w:t xml:space="preserve">A sound staffing model was built at some point, but actual rosters have quietly fallen below it as recruitment lagged, with no active flag.</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Escalation exists on paper but rarely happens in practice.</w:t>
            </w:r>
          </w:p>
          <w:p>
            <w:pPr>
              <w:spacing w:after="20" w:before="0"/>
            </w:pPr>
            <w:r>
              <w:rPr>
                <w:rFonts w:ascii="Arial" w:cs="Arial" w:eastAsia="Arial" w:hAnsi="Arial"/>
                <w:b w:val="false"/>
                <w:bCs w:val="false"/>
                <w:i/>
                <w:iCs/>
                <w:caps w:val="false"/>
                <w:color w:val="4b5563"/>
                <w:sz w:val="15"/>
                <w:szCs w:val="15"/>
              </w:rPr>
              <w:t xml:space="preserve">A documented escalation process exists, but staff report shortfalls are absorbed silently rather than triggering the stated response.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Overall headcount looks adequate, but skill mix within it is unbalanced.</w:t>
            </w:r>
          </w:p>
          <w:p>
            <w:pPr>
              <w:spacing w:after="36" w:before="0"/>
            </w:pPr>
            <w:r>
              <w:rPr>
                <w:rFonts w:ascii="Arial" w:cs="Arial" w:eastAsia="Arial" w:hAnsi="Arial"/>
                <w:b w:val="false"/>
                <w:bCs w:val="false"/>
                <w:i/>
                <w:iCs/>
                <w:caps w:val="false"/>
                <w:color w:val="4b5563"/>
                <w:sz w:val="15"/>
                <w:szCs w:val="15"/>
              </w:rPr>
              <w:t xml:space="preserve">Total staff numbers meet the target, but experienced staff are concentrated in some areas, leaving others thin on seniority despite similar acuity.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Document or confirm the method for determining minimum staffing by clinical area.</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Introduce or formalise shift-level tracking of actual staffing against the minimum.</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Define a clear escalation process for shifts that fall below minimum staffing.</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Review skill mix in high-acuity areas and rebalance where seniority is thin.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staffing adequacy whenever patient volume or services change materially.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shift-level data, not a monthly average.  </w:t>
            </w:r>
            <w:r>
              <w:rPr>
                <w:rFonts w:ascii="Arial" w:cs="Arial" w:eastAsia="Arial" w:hAnsi="Arial"/>
                <w:b w:val="false"/>
                <w:bCs w:val="false"/>
                <w:i w:val="false"/>
                <w:iCs w:val="false"/>
                <w:caps w:val="false"/>
                <w:color w:val="374151"/>
                <w:sz w:val="16"/>
                <w:szCs w:val="16"/>
              </w:rPr>
              <w:t xml:space="preserve">A monthly average can conceal individual shifts that were dangerously understaffed — request the daily or shift-level record.</w:t>
            </w:r>
          </w:p>
          <w:p>
            <w:pPr>
              <w:spacing w:after="16" w:before="0"/>
            </w:pPr>
            <w:r>
              <w:rPr>
                <w:rFonts w:ascii="Arial" w:cs="Arial" w:eastAsia="Arial" w:hAnsi="Arial"/>
                <w:b/>
                <w:bCs/>
                <w:i w:val="false"/>
                <w:iCs w:val="false"/>
                <w:caps w:val="false"/>
                <w:color w:val="b91c1c"/>
                <w:sz w:val="15"/>
                <w:szCs w:val="15"/>
              </w:rPr>
              <w:t xml:space="preserve">Ask what actually happens on a short-staffed shift, not what the policy says should happen.  </w:t>
            </w:r>
            <w:r>
              <w:rPr>
                <w:rFonts w:ascii="Arial" w:cs="Arial" w:eastAsia="Arial" w:hAnsi="Arial"/>
                <w:b w:val="false"/>
                <w:bCs w:val="false"/>
                <w:i w:val="false"/>
                <w:iCs w:val="false"/>
                <w:caps w:val="false"/>
                <w:color w:val="374151"/>
                <w:sz w:val="16"/>
                <w:szCs w:val="16"/>
              </w:rPr>
              <w:t xml:space="preserve">Frontline staff describing the real, lived response reveals whether escalation is functional or theoretical.</w:t>
            </w:r>
          </w:p>
          <w:p>
            <w:pPr>
              <w:spacing w:after="36" w:before="0"/>
            </w:pPr>
            <w:r>
              <w:rPr>
                <w:rFonts w:ascii="Arial" w:cs="Arial" w:eastAsia="Arial" w:hAnsi="Arial"/>
                <w:b/>
                <w:bCs/>
                <w:i w:val="false"/>
                <w:iCs w:val="false"/>
                <w:caps w:val="false"/>
                <w:color w:val="b91c1c"/>
                <w:sz w:val="15"/>
                <w:szCs w:val="15"/>
              </w:rPr>
              <w:t xml:space="preserve">Look at seniority distribution, not just headcount.  </w:t>
            </w:r>
            <w:r>
              <w:rPr>
                <w:rFonts w:ascii="Arial" w:cs="Arial" w:eastAsia="Arial" w:hAnsi="Arial"/>
                <w:b w:val="false"/>
                <w:bCs w:val="false"/>
                <w:i w:val="false"/>
                <w:iCs w:val="false"/>
                <w:caps w:val="false"/>
                <w:color w:val="374151"/>
                <w:sz w:val="16"/>
                <w:szCs w:val="16"/>
              </w:rPr>
              <w:t xml:space="preserve">Two units with identical staff numbers can have very different safety margins depending on how experience is distributed.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443f72xsfi-milhq0qreq">
              <w:r>
                <w:rPr>
                  <w:rFonts w:ascii="Arial" w:cs="Arial" w:eastAsia="Arial" w:hAnsi="Arial"/>
                  <w:b/>
                  <w:bCs/>
                  <w:color w:val="c9a227"/>
                  <w:sz w:val="13"/>
                  <w:szCs w:val="13"/>
                  <w:u w:val="single"/>
                </w:rPr>
                <w:t xml:space="preserve">academy.gmj.ge/ch3-3-staffing-levels-skill-mix</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3.4</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Performance Appraisal System</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Performance Appraisal System</w:t>
            </w:r>
          </w:p>
          <w:p>
            <w:pPr>
              <w:spacing w:after="36" w:before="0"/>
            </w:pPr>
            <w:r>
              <w:rPr>
                <w:rFonts w:ascii="Arial" w:cs="Arial" w:eastAsia="Arial" w:hAnsi="Arial"/>
                <w:b w:val="false"/>
                <w:bCs w:val="false"/>
                <w:i w:val="false"/>
                <w:iCs w:val="false"/>
                <w:caps w:val="false"/>
                <w:color w:val="4b5563"/>
                <w:sz w:val="15"/>
                <w:szCs w:val="15"/>
              </w:rPr>
              <w:t xml:space="preserve">Every staff member receives a documented performance appraisal at least annually, covering both competence and conduct, with a defined process for addressing underperformance.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policy requiring at least annual documented appraisal for all staff?</w:t>
            </w:r>
          </w:p>
          <w:p>
            <w:pPr>
              <w:spacing w:after="7" w:before="0"/>
            </w:pPr>
            <w:r>
              <w:rPr>
                <w:rFonts w:ascii="Arial" w:cs="Arial" w:eastAsia="Arial" w:hAnsi="Arial"/>
                <w:b w:val="false"/>
                <w:bCs w:val="false"/>
                <w:i/>
                <w:iCs/>
                <w:caps w:val="false"/>
                <w:color w:val="4b5563"/>
                <w:sz w:val="15"/>
                <w:szCs w:val="15"/>
              </w:rPr>
              <w:t xml:space="preserve">Check the policy applies across professions and employment types.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Performance appraisal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completed appraisals on file for a sample of staff across different roles?</w:t>
            </w:r>
          </w:p>
          <w:p>
            <w:pPr>
              <w:spacing w:after="7" w:before="0"/>
            </w:pPr>
            <w:r>
              <w:rPr>
                <w:rFonts w:ascii="Arial" w:cs="Arial" w:eastAsia="Arial" w:hAnsi="Arial"/>
                <w:b w:val="false"/>
                <w:bCs w:val="false"/>
                <w:i/>
                <w:iCs/>
                <w:caps w:val="false"/>
                <w:color w:val="4b5563"/>
                <w:sz w:val="15"/>
                <w:szCs w:val="15"/>
              </w:rPr>
              <w:t xml:space="preserve">Spot-check five files for completeness and recency.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appraisal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appraisals cover both competence and conduct, not only task completion?</w:t>
            </w:r>
          </w:p>
          <w:p>
            <w:pPr>
              <w:spacing w:after="7" w:before="0"/>
            </w:pPr>
            <w:r>
              <w:rPr>
                <w:rFonts w:ascii="Arial" w:cs="Arial" w:eastAsia="Arial" w:hAnsi="Arial"/>
                <w:b w:val="false"/>
                <w:bCs w:val="false"/>
                <w:i/>
                <w:iCs/>
                <w:caps w:val="false"/>
                <w:color w:val="4b5563"/>
                <w:sz w:val="15"/>
                <w:szCs w:val="15"/>
              </w:rPr>
              <w:t xml:space="preserve">Check the appraisal form or template for both dimensions.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Appraisal form/template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addressing identified underperformance?</w:t>
            </w:r>
          </w:p>
          <w:p>
            <w:pPr>
              <w:spacing w:after="7" w:before="0"/>
            </w:pPr>
            <w:r>
              <w:rPr>
                <w:rFonts w:ascii="Arial" w:cs="Arial" w:eastAsia="Arial" w:hAnsi="Arial"/>
                <w:b w:val="false"/>
                <w:bCs w:val="false"/>
                <w:i/>
                <w:iCs/>
                <w:caps w:val="false"/>
                <w:color w:val="4b5563"/>
                <w:sz w:val="15"/>
                <w:szCs w:val="15"/>
              </w:rPr>
              <w:t xml:space="preserve">Ask for the actual steps taken when an appraisal identifies a gap.</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Underperformance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staff receive feedback and have an opportunity to respond during the appraisal?</w:t>
            </w:r>
          </w:p>
          <w:p>
            <w:pPr>
              <w:spacing w:after="36" w:before="0"/>
            </w:pPr>
            <w:r>
              <w:rPr>
                <w:rFonts w:ascii="Arial" w:cs="Arial" w:eastAsia="Arial" w:hAnsi="Arial"/>
                <w:b w:val="false"/>
                <w:bCs w:val="false"/>
                <w:i/>
                <w:iCs/>
                <w:caps w:val="false"/>
                <w:color w:val="4b5563"/>
                <w:sz w:val="15"/>
                <w:szCs w:val="15"/>
              </w:rPr>
              <w:t xml:space="preserve">Ask a staff member to describe their last appraisal conversation.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Appraisal record sample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completed appraisals across roles for completeness and recency.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Appraisal form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appraisal template covers both competence and conduct.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Underperformance process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manager to describe the actual process following an identified performance gap.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feedback experience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staff member to describe their most recent appraisal conversation.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pejdfyfiqd7m418vhb_gw">
              <w:r>
                <w:rPr>
                  <w:rFonts w:ascii="Arial" w:cs="Arial" w:eastAsia="Arial" w:hAnsi="Arial"/>
                  <w:b/>
                  <w:bCs/>
                  <w:color w:val="c9a227"/>
                  <w:sz w:val="13"/>
                  <w:szCs w:val="13"/>
                  <w:u w:val="single"/>
                </w:rPr>
                <w:t xml:space="preserve">World Health Organization. Human resources for health: overview. Geneva: WHO; 2016.</w:t>
              </w:r>
            </w:hyperlink>
            <w:r>
              <w:rPr>
                <w:rFonts w:ascii="Arial" w:cs="Arial" w:eastAsia="Arial" w:hAnsi="Arial"/>
                <w:b/>
                <w:bCs/>
                <w:i w:val="false"/>
                <w:iCs w:val="false"/>
                <w:caps w:val="false"/>
                <w:color w:val="6b778c"/>
                <w:sz w:val="13"/>
                <w:szCs w:val="13"/>
              </w:rPr>
              <w:t xml:space="preserve">   2. </w:t>
            </w:r>
            <w:hyperlink w:history="1" r:id="rIdcdcr5m9arc_yvunasgndb">
              <w:r>
                <w:rPr>
                  <w:rFonts w:ascii="Arial" w:cs="Arial" w:eastAsia="Arial" w:hAnsi="Arial"/>
                  <w:b/>
                  <w:bCs/>
                  <w:color w:val="c9a227"/>
                  <w:sz w:val="13"/>
                  <w:szCs w:val="13"/>
                  <w:u w:val="single"/>
                </w:rPr>
                <w:t xml:space="preserve">Buchan J, Aiken L. Solving nursing shortages: a common priority. J Clin Nurs. 2008;17(24):3262-3268.</w:t>
              </w:r>
            </w:hyperlink>
            <w:r>
              <w:rPr>
                <w:rFonts w:ascii="Arial" w:cs="Arial" w:eastAsia="Arial" w:hAnsi="Arial"/>
                <w:b/>
                <w:bCs/>
                <w:i w:val="false"/>
                <w:iCs w:val="false"/>
                <w:caps w:val="false"/>
                <w:color w:val="6b778c"/>
                <w:sz w:val="13"/>
                <w:szCs w:val="13"/>
              </w:rPr>
              <w:t xml:space="preserve">   3. </w:t>
            </w:r>
            <w:hyperlink w:history="1" r:id="rIdhfoqu59-wwtemfg7reh8n">
              <w:r>
                <w:rPr>
                  <w:rFonts w:ascii="Arial" w:cs="Arial" w:eastAsia="Arial" w:hAnsi="Arial"/>
                  <w:b/>
                  <w:bCs/>
                  <w:color w:val="c9a227"/>
                  <w:sz w:val="13"/>
                  <w:szCs w:val="13"/>
                  <w:u w:val="single"/>
                </w:rPr>
                <w:t xml:space="preserve">World Federation for Medical Education. Postgraduate Medical Education: WFME Global Standards for Quality Improvement. Copenhagen: WFME; 2015.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3.4</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Without a regular, documented appraisal, both excellent and struggling performance go equally unaddressed — good work is not reinforced, and a developing problem has no formal point at which it is named and acted on before it becomes a pattern that affects patients. A working appraisal system is not paperwork; it is the mechanism by which an institution actually notices how its people are doing.</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Buchan &amp; Aiken 2008 — structured performance management and professional recognition are consistently linked to workforce retention, which in turn is one of the strongest predictors of stable, safe staffing.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staff member has a documented appraisal at least annually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Appraisals cover both competence and conduct, not task completion alone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actually used process addresses identified underperformance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describe appraisal conversations as genuine feedback, not a formality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Appraisal records are complete and current across all roles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Appraisals are inconsistent, informal, or undocumented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Appraisal forms cover task lists only, with no assessment of conduct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Identified underperformance is noted but never followed up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describe appraisals as a rushed formality with no real conversation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Records are missing or years out of date for a significant proportion of staff</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Appraisals happen but are treated as a compliance exercise.</w:t>
            </w:r>
          </w:p>
          <w:p>
            <w:pPr>
              <w:spacing w:after="20" w:before="0"/>
            </w:pPr>
            <w:r>
              <w:rPr>
                <w:rFonts w:ascii="Arial" w:cs="Arial" w:eastAsia="Arial" w:hAnsi="Arial"/>
                <w:b w:val="false"/>
                <w:bCs w:val="false"/>
                <w:i/>
                <w:iCs/>
                <w:caps w:val="false"/>
                <w:color w:val="4b5563"/>
                <w:sz w:val="15"/>
                <w:szCs w:val="15"/>
              </w:rPr>
              <w:t xml:space="preserve">Forms are completed and filed on schedule, but staff describe the conversation itself as brief and superficial.</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Underperformance is documented but rarely acted on.</w:t>
            </w:r>
          </w:p>
          <w:p>
            <w:pPr>
              <w:spacing w:after="20" w:before="0"/>
            </w:pPr>
            <w:r>
              <w:rPr>
                <w:rFonts w:ascii="Arial" w:cs="Arial" w:eastAsia="Arial" w:hAnsi="Arial"/>
                <w:b w:val="false"/>
                <w:bCs w:val="false"/>
                <w:i/>
                <w:iCs/>
                <w:caps w:val="false"/>
                <w:color w:val="4b5563"/>
                <w:sz w:val="15"/>
                <w:szCs w:val="15"/>
              </w:rPr>
              <w:t xml:space="preserve">Appraisal records honestly note performance gaps, but no follow-up plan or support is ever put in place afterward.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Some professions are appraised rigorously; others are overlooked.</w:t>
            </w:r>
          </w:p>
          <w:p>
            <w:pPr>
              <w:spacing w:after="36" w:before="0"/>
            </w:pPr>
            <w:r>
              <w:rPr>
                <w:rFonts w:ascii="Arial" w:cs="Arial" w:eastAsia="Arial" w:hAnsi="Arial"/>
                <w:b w:val="false"/>
                <w:bCs w:val="false"/>
                <w:i/>
                <w:iCs/>
                <w:caps w:val="false"/>
                <w:color w:val="4b5563"/>
                <w:sz w:val="15"/>
                <w:szCs w:val="15"/>
              </w:rPr>
              <w:t xml:space="preserve">Clinical staff have solid appraisal records; support and administrative staff are appraised inconsistently or not at all.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appraisal policy applies to all staff and covers both competence and conduct.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current appraisal records for completeness across roles and identify gaps.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or formalise a defined process for addressing identified underperformance.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Train managers on delivering genuine, two-way appraisal conversations rather than form completion.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appraisal completion annually; audit underperformance follow-through for a sample of cases.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staff member to describe the conversation, not confirm it happened.  </w:t>
            </w:r>
            <w:r>
              <w:rPr>
                <w:rFonts w:ascii="Arial" w:cs="Arial" w:eastAsia="Arial" w:hAnsi="Arial"/>
                <w:b w:val="false"/>
                <w:bCs w:val="false"/>
                <w:i w:val="false"/>
                <w:iCs w:val="false"/>
                <w:caps w:val="false"/>
                <w:color w:val="374151"/>
                <w:sz w:val="16"/>
                <w:szCs w:val="16"/>
              </w:rPr>
              <w:t xml:space="preserve">A genuine appraisal conversation is memorable and specific; a formality is often vague when recalled.</w:t>
            </w:r>
          </w:p>
          <w:p>
            <w:pPr>
              <w:spacing w:after="16" w:before="0"/>
            </w:pPr>
            <w:r>
              <w:rPr>
                <w:rFonts w:ascii="Arial" w:cs="Arial" w:eastAsia="Arial" w:hAnsi="Arial"/>
                <w:b/>
                <w:bCs/>
                <w:i w:val="false"/>
                <w:iCs w:val="false"/>
                <w:caps w:val="false"/>
                <w:color w:val="b91c1c"/>
                <w:sz w:val="15"/>
                <w:szCs w:val="15"/>
              </w:rPr>
              <w:t xml:space="preserve">Follow one identified performance gap to its resolution.  </w:t>
            </w:r>
            <w:r>
              <w:rPr>
                <w:rFonts w:ascii="Arial" w:cs="Arial" w:eastAsia="Arial" w:hAnsi="Arial"/>
                <w:b w:val="false"/>
                <w:bCs w:val="false"/>
                <w:i w:val="false"/>
                <w:iCs w:val="false"/>
                <w:caps w:val="false"/>
                <w:color w:val="374151"/>
                <w:sz w:val="16"/>
                <w:szCs w:val="16"/>
              </w:rPr>
              <w:t xml:space="preserve">Ask for a specific example of underperformance noted in an appraisal and what happened next.</w:t>
            </w:r>
          </w:p>
          <w:p>
            <w:pPr>
              <w:spacing w:after="36" w:before="0"/>
            </w:pPr>
            <w:r>
              <w:rPr>
                <w:rFonts w:ascii="Arial" w:cs="Arial" w:eastAsia="Arial" w:hAnsi="Arial"/>
                <w:b/>
                <w:bCs/>
                <w:i w:val="false"/>
                <w:iCs w:val="false"/>
                <w:caps w:val="false"/>
                <w:color w:val="b91c1c"/>
                <w:sz w:val="15"/>
                <w:szCs w:val="15"/>
              </w:rPr>
              <w:t xml:space="preserve">Check completeness across professions, not just clinical staff.  </w:t>
            </w:r>
            <w:r>
              <w:rPr>
                <w:rFonts w:ascii="Arial" w:cs="Arial" w:eastAsia="Arial" w:hAnsi="Arial"/>
                <w:b w:val="false"/>
                <w:bCs w:val="false"/>
                <w:i w:val="false"/>
                <w:iCs w:val="false"/>
                <w:caps w:val="false"/>
                <w:color w:val="374151"/>
                <w:sz w:val="16"/>
                <w:szCs w:val="16"/>
              </w:rPr>
              <w:t xml:space="preserve">Support and administrative staff appraisal records are often the weakest link.</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uoddlpqub9ls5wvd4rzep">
              <w:r>
                <w:rPr>
                  <w:rFonts w:ascii="Arial" w:cs="Arial" w:eastAsia="Arial" w:hAnsi="Arial"/>
                  <w:b/>
                  <w:bCs/>
                  <w:color w:val="c9a227"/>
                  <w:sz w:val="13"/>
                  <w:szCs w:val="13"/>
                  <w:u w:val="single"/>
                </w:rPr>
                <w:t xml:space="preserve">academy.gmj.ge/ch3-4-performance-appraisal</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3.5</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Continuing Professional Development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Continuing Professional Development</w:t>
            </w:r>
          </w:p>
          <w:p>
            <w:pPr>
              <w:spacing w:after="36" w:before="0"/>
            </w:pPr>
            <w:r>
              <w:rPr>
                <w:rFonts w:ascii="Arial" w:cs="Arial" w:eastAsia="Arial" w:hAnsi="Arial"/>
                <w:b w:val="false"/>
                <w:bCs w:val="false"/>
                <w:i w:val="false"/>
                <w:iCs w:val="false"/>
                <w:caps w:val="false"/>
                <w:color w:val="4b5563"/>
                <w:sz w:val="15"/>
                <w:szCs w:val="15"/>
              </w:rPr>
              <w:t xml:space="preserve">The hospital supports and tracks ongoing professional development for clinical and non-clinical staff, with a defined minimum requirement and a record of completion for each individual.</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policy defining minimum continuing professional development (CPD) requirements by role?</w:t>
            </w:r>
          </w:p>
          <w:p>
            <w:pPr>
              <w:spacing w:after="7" w:before="0"/>
            </w:pPr>
            <w:r>
              <w:rPr>
                <w:rFonts w:ascii="Arial" w:cs="Arial" w:eastAsia="Arial" w:hAnsi="Arial"/>
                <w:b w:val="false"/>
                <w:bCs w:val="false"/>
                <w:i/>
                <w:iCs/>
                <w:caps w:val="false"/>
                <w:color w:val="4b5563"/>
                <w:sz w:val="15"/>
                <w:szCs w:val="15"/>
              </w:rPr>
              <w:t xml:space="preserve">Check the requirement is specific — hours or credits, not aspirational language.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CPD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individual CPD records maintained and accessible for each staff member?</w:t>
            </w:r>
          </w:p>
          <w:p>
            <w:pPr>
              <w:spacing w:after="7" w:before="0"/>
            </w:pPr>
            <w:r>
              <w:rPr>
                <w:rFonts w:ascii="Arial" w:cs="Arial" w:eastAsia="Arial" w:hAnsi="Arial"/>
                <w:b w:val="false"/>
                <w:bCs w:val="false"/>
                <w:i/>
                <w:iCs/>
                <w:caps w:val="false"/>
                <w:color w:val="4b5563"/>
                <w:sz w:val="15"/>
                <w:szCs w:val="15"/>
              </w:rPr>
              <w:t xml:space="preserve">Spot-check five records across roles.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CPD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hospital provide or fund access to CPD opportunities, not only require them?</w:t>
            </w:r>
          </w:p>
          <w:p>
            <w:pPr>
              <w:spacing w:after="36" w:before="0"/>
            </w:pPr>
            <w:r>
              <w:rPr>
                <w:rFonts w:ascii="Arial" w:cs="Arial" w:eastAsia="Arial" w:hAnsi="Arial"/>
                <w:b w:val="false"/>
                <w:bCs w:val="false"/>
                <w:i/>
                <w:iCs/>
                <w:caps w:val="false"/>
                <w:color w:val="4b5563"/>
                <w:sz w:val="15"/>
                <w:szCs w:val="15"/>
              </w:rPr>
              <w:t xml:space="preserve">Ask what CPD access the hospital actually provides.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CPD records reviewed periodically, such as tied to appraisal or licence renewal?</w:t>
            </w:r>
          </w:p>
          <w:p>
            <w:pPr>
              <w:spacing w:after="36" w:before="0"/>
            </w:pPr>
            <w:r>
              <w:rPr>
                <w:rFonts w:ascii="Arial" w:cs="Arial" w:eastAsia="Arial" w:hAnsi="Arial"/>
                <w:b w:val="false"/>
                <w:bCs w:val="false"/>
                <w:i/>
                <w:iCs/>
                <w:caps w:val="false"/>
                <w:color w:val="4b5563"/>
                <w:sz w:val="15"/>
                <w:szCs w:val="15"/>
              </w:rPr>
              <w:t xml:space="preserve">Check the review is more than filing paperwork.</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CPD relevant to actual role and identified development needs, not generic?</w:t>
            </w:r>
          </w:p>
          <w:p>
            <w:pPr>
              <w:spacing w:after="36" w:before="0"/>
            </w:pPr>
            <w:r>
              <w:rPr>
                <w:rFonts w:ascii="Arial" w:cs="Arial" w:eastAsia="Arial" w:hAnsi="Arial"/>
                <w:b w:val="false"/>
                <w:bCs w:val="false"/>
                <w:i/>
                <w:iCs/>
                <w:caps w:val="false"/>
                <w:color w:val="4b5563"/>
                <w:sz w:val="15"/>
                <w:szCs w:val="15"/>
              </w:rPr>
              <w:t xml:space="preserve">Check a sample of records for relevance to the individual’s role.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CPD policy and requirement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CPD policy for specific, role-based minimum requirements.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Individual record sample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individual CPD records for a sample of staff across roles for completeness and relevance.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Access and funding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CPD opportunities the hospital actually provides or funds, not only requires.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Review linkage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whether CPD records are actually reviewed, for example at appraisal or licence renewal.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1-62jgl6fpexvhmiouart">
              <w:r>
                <w:rPr>
                  <w:rFonts w:ascii="Arial" w:cs="Arial" w:eastAsia="Arial" w:hAnsi="Arial"/>
                  <w:b/>
                  <w:bCs/>
                  <w:color w:val="c9a227"/>
                  <w:sz w:val="13"/>
                  <w:szCs w:val="13"/>
                  <w:u w:val="single"/>
                </w:rPr>
                <w:t xml:space="preserve">World Health Organization. Transforming and scaling up health professionals’ education and training. Geneva: WHO; 2013.</w:t>
              </w:r>
            </w:hyperlink>
            <w:r>
              <w:rPr>
                <w:rFonts w:ascii="Arial" w:cs="Arial" w:eastAsia="Arial" w:hAnsi="Arial"/>
                <w:b/>
                <w:bCs/>
                <w:i w:val="false"/>
                <w:iCs w:val="false"/>
                <w:caps w:val="false"/>
                <w:color w:val="6b778c"/>
                <w:sz w:val="13"/>
                <w:szCs w:val="13"/>
              </w:rPr>
              <w:t xml:space="preserve">   2. </w:t>
            </w:r>
            <w:hyperlink w:history="1" r:id="rIdu0zuwmb5uunovhkeaoulb">
              <w:r>
                <w:rPr>
                  <w:rFonts w:ascii="Arial" w:cs="Arial" w:eastAsia="Arial" w:hAnsi="Arial"/>
                  <w:b/>
                  <w:bCs/>
                  <w:color w:val="c9a227"/>
                  <w:sz w:val="13"/>
                  <w:szCs w:val="13"/>
                  <w:u w:val="single"/>
                </w:rPr>
                <w:t xml:space="preserve">World Federation for Medical Education. Continuing Professional Development of Medical Doctors: WFME Global Standards for Quality Improvement. Copenhagen: WFME; 2003.</w:t>
              </w:r>
            </w:hyperlink>
            <w:r>
              <w:rPr>
                <w:rFonts w:ascii="Arial" w:cs="Arial" w:eastAsia="Arial" w:hAnsi="Arial"/>
                <w:b/>
                <w:bCs/>
                <w:i w:val="false"/>
                <w:iCs w:val="false"/>
                <w:caps w:val="false"/>
                <w:color w:val="6b778c"/>
                <w:sz w:val="13"/>
                <w:szCs w:val="13"/>
              </w:rPr>
              <w:t xml:space="preserve">   3. </w:t>
            </w:r>
            <w:hyperlink w:history="1" r:id="rIdirv597gdmod4s-amrckhg">
              <w:r>
                <w:rPr>
                  <w:rFonts w:ascii="Arial" w:cs="Arial" w:eastAsia="Arial" w:hAnsi="Arial"/>
                  <w:b/>
                  <w:bCs/>
                  <w:color w:val="c9a227"/>
                  <w:sz w:val="13"/>
                  <w:szCs w:val="13"/>
                  <w:u w:val="single"/>
                </w:rPr>
                <w:t xml:space="preserve">Davis D, O’Brien MA, Freemantle N, et al. Impact of formal continuing medical education. JAMA. 1999;282(9):867-874.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3.5</w:t>
            </w:r>
            <w:r>
              <w:rPr>
                <w:rFonts w:ascii="Arial" w:cs="Arial" w:eastAsia="Arial" w:hAnsi="Arial"/>
                <w:b w:val="false"/>
                <w:bCs w:val="false"/>
                <w:i/>
                <w:iCs/>
                <w:caps w:val="false"/>
                <w:color w:val="8fa8c8"/>
                <w:sz w:val="10"/>
                <w:szCs w:val="10"/>
              </w:rPr>
              <w:t xml:space="preserve">  ·  Level 1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Clinical knowledge does not stay current on its own — guidelines change, techniques improve, and a clinician who last updated their knowledge at graduation is practising against an increasingly outdated baseline without realising it. A tracked, funded CPD requirement turns professional development from an individual’s private responsibility into an institutional commitment the hospital can actually verify.</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Davis et al. 1999 — structured continuing medical education, particularly interactive formats, is associated with measurable improvement in clinical practice and patient outcomes compared with passive or absent CPD.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CPD requirements are specific and defined by role, not generic aspiration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Individual CPD records are maintained and accessible for every staff member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hospital actively provides or funds CPD access, not only mandates it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CPD records are reviewed periodically, tied to appraisal or licence renewal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CPD content is relevant to the individual’s actual role and development needs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CPD requirement exists, or it is vague and unenforced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individual records exist to verify CPD completion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are required to pursue CPD with no institutional support or funding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CPD records, if they exist, are never reviewed by anyone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CPD undertaken is generic and unrelated to the individual’s clinical role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requirement exists but is not tracked at the individual level.</w:t>
            </w:r>
          </w:p>
          <w:p>
            <w:pPr>
              <w:spacing w:after="20" w:before="0"/>
            </w:pPr>
            <w:r>
              <w:rPr>
                <w:rFonts w:ascii="Arial" w:cs="Arial" w:eastAsia="Arial" w:hAnsi="Arial"/>
                <w:b w:val="false"/>
                <w:bCs w:val="false"/>
                <w:i/>
                <w:iCs/>
                <w:caps w:val="false"/>
                <w:color w:val="4b5563"/>
                <w:sz w:val="15"/>
                <w:szCs w:val="15"/>
              </w:rPr>
              <w:t xml:space="preserve">A CPD policy states a minimum, but no central record confirms who has actually met it.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CPD is required but not supported.</w:t>
            </w:r>
          </w:p>
          <w:p>
            <w:pPr>
              <w:spacing w:after="20" w:before="0"/>
            </w:pPr>
            <w:r>
              <w:rPr>
                <w:rFonts w:ascii="Arial" w:cs="Arial" w:eastAsia="Arial" w:hAnsi="Arial"/>
                <w:b w:val="false"/>
                <w:bCs w:val="false"/>
                <w:i/>
                <w:iCs/>
                <w:caps w:val="false"/>
                <w:color w:val="4b5563"/>
                <w:sz w:val="15"/>
                <w:szCs w:val="15"/>
              </w:rPr>
              <w:t xml:space="preserve">Staff are expected to complete CPD in their own time and at their own expense, with no institutional funding or protected time.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Records exist but no one reviews them for relevance or completion.</w:t>
            </w:r>
          </w:p>
          <w:p>
            <w:pPr>
              <w:spacing w:after="36" w:before="0"/>
            </w:pPr>
            <w:r>
              <w:rPr>
                <w:rFonts w:ascii="Arial" w:cs="Arial" w:eastAsia="Arial" w:hAnsi="Arial"/>
                <w:b w:val="false"/>
                <w:bCs w:val="false"/>
                <w:i/>
                <w:iCs/>
                <w:caps w:val="false"/>
                <w:color w:val="4b5563"/>
                <w:sz w:val="15"/>
                <w:szCs w:val="15"/>
              </w:rPr>
              <w:t xml:space="preserve">CPD certificates are filed as they are submitted, but no one checks whether they satisfy the requirement or connect to the person’s role.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Define or confirm specific, role-based minimum CPD requirements.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audit individual CPD tracking records for all staff.</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Identify what CPD access or funding the hospital can realistically provide and communicate it.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Link CPD record review to an existing process, such as appraisal or licence renewal.</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CPD completion against the minimum requirement annually; refresh relevance to role.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what the hospital actually funds, not just what it requires.  </w:t>
            </w:r>
            <w:r>
              <w:rPr>
                <w:rFonts w:ascii="Arial" w:cs="Arial" w:eastAsia="Arial" w:hAnsi="Arial"/>
                <w:b w:val="false"/>
                <w:bCs w:val="false"/>
                <w:i w:val="false"/>
                <w:iCs w:val="false"/>
                <w:caps w:val="false"/>
                <w:color w:val="374151"/>
                <w:sz w:val="16"/>
                <w:szCs w:val="16"/>
              </w:rPr>
              <w:t xml:space="preserve">A CPD requirement with no institutional support tends to be met unevenly, favouring staff who can afford it themselves.</w:t>
            </w:r>
          </w:p>
          <w:p>
            <w:pPr>
              <w:spacing w:after="16" w:before="0"/>
            </w:pPr>
            <w:r>
              <w:rPr>
                <w:rFonts w:ascii="Arial" w:cs="Arial" w:eastAsia="Arial" w:hAnsi="Arial"/>
                <w:b/>
                <w:bCs/>
                <w:i w:val="false"/>
                <w:iCs w:val="false"/>
                <w:caps w:val="false"/>
                <w:color w:val="b91c1c"/>
                <w:sz w:val="15"/>
                <w:szCs w:val="15"/>
              </w:rPr>
              <w:t xml:space="preserve">Check a record for relevance, not just volume.  </w:t>
            </w:r>
            <w:r>
              <w:rPr>
                <w:rFonts w:ascii="Arial" w:cs="Arial" w:eastAsia="Arial" w:hAnsi="Arial"/>
                <w:b w:val="false"/>
                <w:bCs w:val="false"/>
                <w:i w:val="false"/>
                <w:iCs w:val="false"/>
                <w:caps w:val="false"/>
                <w:color w:val="374151"/>
                <w:sz w:val="16"/>
                <w:szCs w:val="16"/>
              </w:rPr>
              <w:t xml:space="preserve">A staff member with many CPD hours in unrelated topics has not necessarily developed the competence their role actually needs.</w:t>
            </w:r>
          </w:p>
          <w:p>
            <w:pPr>
              <w:spacing w:after="36" w:before="0"/>
            </w:pPr>
            <w:r>
              <w:rPr>
                <w:rFonts w:ascii="Arial" w:cs="Arial" w:eastAsia="Arial" w:hAnsi="Arial"/>
                <w:b/>
                <w:bCs/>
                <w:i w:val="false"/>
                <w:iCs w:val="false"/>
                <w:caps w:val="false"/>
                <w:color w:val="b91c1c"/>
                <w:sz w:val="15"/>
                <w:szCs w:val="15"/>
              </w:rPr>
              <w:t xml:space="preserve">Ask when CPD records were last reviewed by anyone.  </w:t>
            </w:r>
            <w:r>
              <w:rPr>
                <w:rFonts w:ascii="Arial" w:cs="Arial" w:eastAsia="Arial" w:hAnsi="Arial"/>
                <w:b w:val="false"/>
                <w:bCs w:val="false"/>
                <w:i w:val="false"/>
                <w:iCs w:val="false"/>
                <w:caps w:val="false"/>
                <w:color w:val="374151"/>
                <w:sz w:val="16"/>
                <w:szCs w:val="16"/>
              </w:rPr>
              <w:t xml:space="preserve">Tracking without review is just filing — confirm the record actually informs a decision somewhere.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gys3dqcclksy3lywwouuk">
              <w:r>
                <w:rPr>
                  <w:rFonts w:ascii="Arial" w:cs="Arial" w:eastAsia="Arial" w:hAnsi="Arial"/>
                  <w:b/>
                  <w:bCs/>
                  <w:color w:val="c9a227"/>
                  <w:sz w:val="13"/>
                  <w:szCs w:val="13"/>
                  <w:u w:val="single"/>
                </w:rPr>
                <w:t xml:space="preserve">academy.gmj.ge/ch3-5-continuing-professional-development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3.6</w:t>
            </w:r>
            <w:r>
              <w:rPr>
                <w:rFonts w:ascii="Arial" w:cs="Arial" w:eastAsia="Arial" w:hAnsi="Arial"/>
                <w:b w:val="false"/>
                <w:bCs w:val="false"/>
                <w:i/>
                <w:iCs/>
                <w:caps w:val="false"/>
                <w:color w:val="8fa8c8"/>
                <w:sz w:val="10"/>
                <w:szCs w:val="10"/>
              </w:rPr>
              <w:t xml:space="preserve">  ·  Level 2  ·  Chapter 3: Human Resources &amp; Workforce</w:t>
            </w:r>
          </w:p>
          <w:p>
            <w:pPr>
              <w:spacing w:after="36" w:before="0"/>
            </w:pPr>
            <w:r>
              <w:rPr>
                <w:rFonts w:ascii="Arial" w:cs="Arial" w:eastAsia="Arial" w:hAnsi="Arial"/>
                <w:b/>
                <w:bCs/>
                <w:i w:val="false"/>
                <w:iCs w:val="false"/>
                <w:caps w:val="false"/>
                <w:color w:val="dce8f5"/>
                <w:sz w:val="12"/>
                <w:szCs w:val="12"/>
              </w:rPr>
              <w:t xml:space="preserve">Occupational Health and Staff Safety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Occupational Health and Staff Safety</w:t>
            </w:r>
          </w:p>
          <w:p>
            <w:pPr>
              <w:spacing w:after="36" w:before="0"/>
            </w:pPr>
            <w:r>
              <w:rPr>
                <w:rFonts w:ascii="Arial" w:cs="Arial" w:eastAsia="Arial" w:hAnsi="Arial"/>
                <w:b w:val="false"/>
                <w:bCs w:val="false"/>
                <w:i w:val="false"/>
                <w:iCs w:val="false"/>
                <w:caps w:val="false"/>
                <w:color w:val="4b5563"/>
                <w:sz w:val="15"/>
                <w:szCs w:val="15"/>
              </w:rPr>
              <w:t xml:space="preserve">The hospital operates an occupational health programme protecting staff from workplace hazards, including bloodborne pathogen exposure, violence, and musculoskeletal injury, with an incident reporting and response process.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occupational health programme covering key hazards relevant to hospital staff?</w:t>
            </w:r>
          </w:p>
          <w:p>
            <w:pPr>
              <w:spacing w:after="7" w:before="0"/>
            </w:pPr>
            <w:r>
              <w:rPr>
                <w:rFonts w:ascii="Arial" w:cs="Arial" w:eastAsia="Arial" w:hAnsi="Arial"/>
                <w:b w:val="false"/>
                <w:bCs w:val="false"/>
                <w:i/>
                <w:iCs/>
                <w:caps w:val="false"/>
                <w:color w:val="4b5563"/>
                <w:sz w:val="15"/>
                <w:szCs w:val="15"/>
              </w:rPr>
              <w:t xml:space="preserve">Check coverage of bloodborne pathogen exposure, violence, and musculoskeletal injury at minimum.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Occupational health programme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rapid-response process for needle-stick or bloodborne exposure incidents?</w:t>
            </w:r>
          </w:p>
          <w:p>
            <w:pPr>
              <w:spacing w:after="7" w:before="0"/>
            </w:pPr>
            <w:r>
              <w:rPr>
                <w:rFonts w:ascii="Arial" w:cs="Arial" w:eastAsia="Arial" w:hAnsi="Arial"/>
                <w:b w:val="false"/>
                <w:bCs w:val="false"/>
                <w:i/>
                <w:iCs/>
                <w:caps w:val="false"/>
                <w:color w:val="4b5563"/>
                <w:sz w:val="15"/>
                <w:szCs w:val="15"/>
              </w:rPr>
              <w:t xml:space="preserve">Ask what happens right now if a staff member is exposed today.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Exposure response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staff-directed violence or aggression incidents tracked and reviewed?</w:t>
            </w:r>
          </w:p>
          <w:p>
            <w:pPr>
              <w:spacing w:after="7" w:before="0"/>
            </w:pPr>
            <w:r>
              <w:rPr>
                <w:rFonts w:ascii="Arial" w:cs="Arial" w:eastAsia="Arial" w:hAnsi="Arial"/>
                <w:b w:val="false"/>
                <w:bCs w:val="false"/>
                <w:i/>
                <w:iCs/>
                <w:caps w:val="false"/>
                <w:color w:val="4b5563"/>
                <w:sz w:val="15"/>
                <w:szCs w:val="15"/>
              </w:rPr>
              <w:t xml:space="preserve">Check the incident log for this category specifically.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Violence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offered relevant vaccinations and health screening as part of the programme?</w:t>
            </w:r>
          </w:p>
          <w:p>
            <w:pPr>
              <w:spacing w:after="36" w:before="0"/>
            </w:pPr>
            <w:r>
              <w:rPr>
                <w:rFonts w:ascii="Arial" w:cs="Arial" w:eastAsia="Arial" w:hAnsi="Arial"/>
                <w:b w:val="false"/>
                <w:bCs w:val="false"/>
                <w:i/>
                <w:iCs/>
                <w:caps w:val="false"/>
                <w:color w:val="4b5563"/>
                <w:sz w:val="15"/>
                <w:szCs w:val="15"/>
              </w:rPr>
              <w:t xml:space="preserve">Check what is actually offered, not just recommended.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workplace injury data reviewed periodically to identify and address recurring hazards?</w:t>
            </w:r>
          </w:p>
          <w:p>
            <w:pPr>
              <w:spacing w:after="7" w:before="0"/>
            </w:pPr>
            <w:r>
              <w:rPr>
                <w:rFonts w:ascii="Arial" w:cs="Arial" w:eastAsia="Arial" w:hAnsi="Arial"/>
                <w:b w:val="false"/>
                <w:bCs w:val="false"/>
                <w:i/>
                <w:iCs/>
                <w:caps w:val="false"/>
                <w:color w:val="4b5563"/>
                <w:sz w:val="15"/>
                <w:szCs w:val="15"/>
              </w:rPr>
              <w:t xml:space="preserve">Check for a trend review, not only individual case handling.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Injury trend review</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Programme coverage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occupational health programme document for coverage of key hazard categories.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Exposure response scenario</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staff member what they would do right now following a needle-stick exposure.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Violence incident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staff-directed violence or aggression incidents and evidence of follow-up.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Injury trend review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for a periodic review of workplace injury data identifying recurring hazards.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ujrgcpwjzs7ubbylo14vp">
              <w:r>
                <w:rPr>
                  <w:rFonts w:ascii="Arial" w:cs="Arial" w:eastAsia="Arial" w:hAnsi="Arial"/>
                  <w:b/>
                  <w:bCs/>
                  <w:color w:val="c9a227"/>
                  <w:sz w:val="13"/>
                  <w:szCs w:val="13"/>
                  <w:u w:val="single"/>
                </w:rPr>
                <w:t xml:space="preserve">World Health Organization. Health worker occupational health: guidance for the health sector. Geneva: WHO; 2020.</w:t>
              </w:r>
            </w:hyperlink>
            <w:r>
              <w:rPr>
                <w:rFonts w:ascii="Arial" w:cs="Arial" w:eastAsia="Arial" w:hAnsi="Arial"/>
                <w:b/>
                <w:bCs/>
                <w:i w:val="false"/>
                <w:iCs w:val="false"/>
                <w:caps w:val="false"/>
                <w:color w:val="6b778c"/>
                <w:sz w:val="13"/>
                <w:szCs w:val="13"/>
              </w:rPr>
              <w:t xml:space="preserve">   2. </w:t>
            </w:r>
            <w:hyperlink w:history="1" r:id="rIdv_5fmby_ezsuftdwipna2">
              <w:r>
                <w:rPr>
                  <w:rFonts w:ascii="Arial" w:cs="Arial" w:eastAsia="Arial" w:hAnsi="Arial"/>
                  <w:b/>
                  <w:bCs/>
                  <w:color w:val="c9a227"/>
                  <w:sz w:val="13"/>
                  <w:szCs w:val="13"/>
                  <w:u w:val="single"/>
                </w:rPr>
                <w:t xml:space="preserve">International Labour Organization / World Health Organization. Joint ILO/WHO guidelines on health services and HIV/AIDS (occupational exposure provisions). Geneva: ILO/WHO; 2005.</w:t>
              </w:r>
            </w:hyperlink>
            <w:r>
              <w:rPr>
                <w:rFonts w:ascii="Arial" w:cs="Arial" w:eastAsia="Arial" w:hAnsi="Arial"/>
                <w:b/>
                <w:bCs/>
                <w:i w:val="false"/>
                <w:iCs w:val="false"/>
                <w:caps w:val="false"/>
                <w:color w:val="6b778c"/>
                <w:sz w:val="13"/>
                <w:szCs w:val="13"/>
              </w:rPr>
              <w:t xml:space="preserve">   3. </w:t>
            </w:r>
            <w:hyperlink w:history="1" r:id="rIdj5yue-6hihi_omtihaopy">
              <w:r>
                <w:rPr>
                  <w:rFonts w:ascii="Arial" w:cs="Arial" w:eastAsia="Arial" w:hAnsi="Arial"/>
                  <w:b/>
                  <w:bCs/>
                  <w:color w:val="c9a227"/>
                  <w:sz w:val="13"/>
                  <w:szCs w:val="13"/>
                  <w:u w:val="single"/>
                </w:rPr>
                <w:t xml:space="preserve">World Health Organization. Framework guidelines for addressing workplace violence in the health sector. Geneva: WHO/ILO/ICN/PSI; 2002.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3.6</w:t>
            </w:r>
            <w:r>
              <w:rPr>
                <w:rFonts w:ascii="Arial" w:cs="Arial" w:eastAsia="Arial" w:hAnsi="Arial"/>
                <w:b w:val="false"/>
                <w:bCs w:val="false"/>
                <w:i/>
                <w:iCs/>
                <w:caps w:val="false"/>
                <w:color w:val="8fa8c8"/>
                <w:sz w:val="10"/>
                <w:szCs w:val="10"/>
              </w:rPr>
              <w:t xml:space="preserve">  ·  Level 2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Healthcare work carries occupational risks that are often treated as inevitable — a needle-stick brushed off, verbal aggression from a patient absorbed as "part of the job" — when in fact each is a preventable or manageable hazard with a known, evidence-based response. A hospital that protects its own staff is protecting the workforce patients ultimately depend on; staff who feel unsafe or unsupported are also staff more likely to leave.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2020 guidance — structured occupational health programmes, including rapid post-exposure protocols, measurably reduce both the incidence and the consequences of workplace exposure and violence in health facilities.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Occupational health programme covers bloodborne exposure, violence, and musculoskeletal injury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rapid, well-understood response protocol exists for needle-stick and exposure incidents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Staff-directed violence incidents are tracked and reviewed, not normalised as routine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Relevant vaccinations and health screening are actively offered to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Workplace injury data is reviewed periodically to identify and address recurring hazards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occupational health programme exists beyond ad hoc handling of incidents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are unsure what to do following a needle-stick or exposure incident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Violence against staff is not tracked or is dismissed as an unavoidable part of the job</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vaccination or health screening programme is offered to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Workplace injuries are never reviewed for patterns or root causes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exposure protocol exists but staff don’t know it in practice.</w:t>
            </w:r>
          </w:p>
          <w:p>
            <w:pPr>
              <w:spacing w:after="20" w:before="0"/>
            </w:pPr>
            <w:r>
              <w:rPr>
                <w:rFonts w:ascii="Arial" w:cs="Arial" w:eastAsia="Arial" w:hAnsi="Arial"/>
                <w:b w:val="false"/>
                <w:bCs w:val="false"/>
                <w:i/>
                <w:iCs/>
                <w:caps w:val="false"/>
                <w:color w:val="4b5563"/>
                <w:sz w:val="15"/>
                <w:szCs w:val="15"/>
              </w:rPr>
              <w:t xml:space="preserve">A well-designed post-exposure procedure is documented, but frontline staff, when asked, are unsure of the actual steps or who to contact.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Violence incidents are logged but treated as unavoidable rather than addressed.</w:t>
            </w:r>
          </w:p>
          <w:p>
            <w:pPr>
              <w:spacing w:after="20" w:before="0"/>
            </w:pPr>
            <w:r>
              <w:rPr>
                <w:rFonts w:ascii="Arial" w:cs="Arial" w:eastAsia="Arial" w:hAnsi="Arial"/>
                <w:b w:val="false"/>
                <w:bCs w:val="false"/>
                <w:i/>
                <w:iCs/>
                <w:caps w:val="false"/>
                <w:color w:val="4b5563"/>
                <w:sz w:val="15"/>
                <w:szCs w:val="15"/>
              </w:rPr>
              <w:t xml:space="preserve">Aggression toward staff is recorded, but no pattern review or preventive action follows.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Vaccination is recommended but not actively facilitated.</w:t>
            </w:r>
          </w:p>
          <w:p>
            <w:pPr>
              <w:spacing w:after="36" w:before="0"/>
            </w:pPr>
            <w:r>
              <w:rPr>
                <w:rFonts w:ascii="Arial" w:cs="Arial" w:eastAsia="Arial" w:hAnsi="Arial"/>
                <w:b w:val="false"/>
                <w:bCs w:val="false"/>
                <w:i/>
                <w:iCs/>
                <w:caps w:val="false"/>
                <w:color w:val="4b5563"/>
                <w:sz w:val="15"/>
                <w:szCs w:val="15"/>
              </w:rPr>
              <w:t xml:space="preserve">Staff are told they should be vaccinated against relevant pathogens, but the hospital does not make it easy or free to actually do so.</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draft the occupational health programme covering the key hazard categories.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and communicate a clear, fast post-exposure response protocol to all staff.</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Set up or formalise tracking of staff-directed violence incidents.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active vaccination and health screening access for staff.</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workplace injury and incident data periodically; act on recurring hazard patterns.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random staff member what they would do after a needle-stick, right now.  </w:t>
            </w:r>
            <w:r>
              <w:rPr>
                <w:rFonts w:ascii="Arial" w:cs="Arial" w:eastAsia="Arial" w:hAnsi="Arial"/>
                <w:b w:val="false"/>
                <w:bCs w:val="false"/>
                <w:i w:val="false"/>
                <w:iCs w:val="false"/>
                <w:caps w:val="false"/>
                <w:color w:val="374151"/>
                <w:sz w:val="16"/>
                <w:szCs w:val="16"/>
              </w:rPr>
              <w:t xml:space="preserve">A confident, specific, correct answer reveals a genuinely embedded protocol; hesitation reveals a policy that exists mainly on paper.</w:t>
            </w:r>
          </w:p>
          <w:p>
            <w:pPr>
              <w:spacing w:after="16" w:before="0"/>
            </w:pPr>
            <w:r>
              <w:rPr>
                <w:rFonts w:ascii="Arial" w:cs="Arial" w:eastAsia="Arial" w:hAnsi="Arial"/>
                <w:b/>
                <w:bCs/>
                <w:i w:val="false"/>
                <w:iCs w:val="false"/>
                <w:caps w:val="false"/>
                <w:color w:val="b91c1c"/>
                <w:sz w:val="15"/>
                <w:szCs w:val="15"/>
              </w:rPr>
              <w:t xml:space="preserve">Check whether violence against staff is logged separately from general incidents.  </w:t>
            </w:r>
            <w:r>
              <w:rPr>
                <w:rFonts w:ascii="Arial" w:cs="Arial" w:eastAsia="Arial" w:hAnsi="Arial"/>
                <w:b w:val="false"/>
                <w:bCs w:val="false"/>
                <w:i w:val="false"/>
                <w:iCs w:val="false"/>
                <w:caps w:val="false"/>
                <w:color w:val="374151"/>
                <w:sz w:val="16"/>
                <w:szCs w:val="16"/>
              </w:rPr>
              <w:t xml:space="preserve">Facilities that don’t track this category specifically often underestimate how routine it has become.</w:t>
            </w:r>
          </w:p>
          <w:p>
            <w:pPr>
              <w:spacing w:after="36" w:before="0"/>
            </w:pPr>
            <w:r>
              <w:rPr>
                <w:rFonts w:ascii="Arial" w:cs="Arial" w:eastAsia="Arial" w:hAnsi="Arial"/>
                <w:b/>
                <w:bCs/>
                <w:i w:val="false"/>
                <w:iCs w:val="false"/>
                <w:caps w:val="false"/>
                <w:color w:val="b91c1c"/>
                <w:sz w:val="15"/>
                <w:szCs w:val="15"/>
              </w:rPr>
              <w:t xml:space="preserve">Ask how easy it actually is for a staff member to get vaccinated.  </w:t>
            </w:r>
            <w:r>
              <w:rPr>
                <w:rFonts w:ascii="Arial" w:cs="Arial" w:eastAsia="Arial" w:hAnsi="Arial"/>
                <w:b w:val="false"/>
                <w:bCs w:val="false"/>
                <w:i w:val="false"/>
                <w:iCs w:val="false"/>
                <w:caps w:val="false"/>
                <w:color w:val="374151"/>
                <w:sz w:val="16"/>
                <w:szCs w:val="16"/>
              </w:rPr>
              <w:t xml:space="preserve">A programme that requires staff to arrange and pay for their own vaccination outside work hours functions very differently from one that brings it to them.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21cufngnbidcnufrhwh3q">
              <w:r>
                <w:rPr>
                  <w:rFonts w:ascii="Arial" w:cs="Arial" w:eastAsia="Arial" w:hAnsi="Arial"/>
                  <w:b/>
                  <w:bCs/>
                  <w:color w:val="c9a227"/>
                  <w:sz w:val="13"/>
                  <w:szCs w:val="13"/>
                  <w:u w:val="single"/>
                </w:rPr>
                <w:t xml:space="preserve">academy.gmj.ge/ch3-6-occupational-health-staff-safety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3.7</w:t>
            </w:r>
            <w:r>
              <w:rPr>
                <w:rFonts w:ascii="Arial" w:cs="Arial" w:eastAsia="Arial" w:hAnsi="Arial"/>
                <w:b w:val="false"/>
                <w:bCs w:val="false"/>
                <w:i/>
                <w:iCs/>
                <w:caps w:val="false"/>
                <w:color w:val="8fa8c8"/>
                <w:sz w:val="10"/>
                <w:szCs w:val="10"/>
              </w:rPr>
              <w:t xml:space="preserve">  ·  Level 2  ·  Chapter 3: Human Resources &amp; Workforce</w:t>
            </w:r>
          </w:p>
          <w:p>
            <w:pPr>
              <w:spacing w:after="36" w:before="0"/>
            </w:pPr>
            <w:r>
              <w:rPr>
                <w:rFonts w:ascii="Arial" w:cs="Arial" w:eastAsia="Arial" w:hAnsi="Arial"/>
                <w:b/>
                <w:bCs/>
                <w:i w:val="false"/>
                <w:iCs w:val="false"/>
                <w:caps w:val="false"/>
                <w:color w:val="dce8f5"/>
                <w:sz w:val="12"/>
                <w:szCs w:val="12"/>
              </w:rPr>
              <w:t xml:space="preserve">Workforce Planning and Succession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Workforce Planning and Succession</w:t>
            </w:r>
          </w:p>
          <w:p>
            <w:pPr>
              <w:spacing w:after="36" w:before="0"/>
            </w:pPr>
            <w:r>
              <w:rPr>
                <w:rFonts w:ascii="Arial" w:cs="Arial" w:eastAsia="Arial" w:hAnsi="Arial"/>
                <w:b w:val="false"/>
                <w:bCs w:val="false"/>
                <w:i w:val="false"/>
                <w:iCs w:val="false"/>
                <w:caps w:val="false"/>
                <w:color w:val="4b5563"/>
                <w:sz w:val="15"/>
                <w:szCs w:val="15"/>
              </w:rPr>
              <w:t xml:space="preserve">The hospital maintains a workforce plan projecting staffing needs over at least a two-year horizon, and a succession plan for key leadership and clinical roles.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workforce plan projecting staffing needs over at least two years?</w:t>
            </w:r>
          </w:p>
          <w:p>
            <w:pPr>
              <w:spacing w:after="7" w:before="0"/>
            </w:pPr>
            <w:r>
              <w:rPr>
                <w:rFonts w:ascii="Arial" w:cs="Arial" w:eastAsia="Arial" w:hAnsi="Arial"/>
                <w:b w:val="false"/>
                <w:bCs w:val="false"/>
                <w:i/>
                <w:iCs/>
                <w:caps w:val="false"/>
                <w:color w:val="4b5563"/>
                <w:sz w:val="15"/>
                <w:szCs w:val="15"/>
              </w:rPr>
              <w:t xml:space="preserve">Check the plan is based on service growth, attrition, and demand, not guesswork.</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Workforce plan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succession plan identifying potential successors for key leadership and clinical roles?</w:t>
            </w:r>
          </w:p>
          <w:p>
            <w:pPr>
              <w:spacing w:after="7" w:before="0"/>
            </w:pPr>
            <w:r>
              <w:rPr>
                <w:rFonts w:ascii="Arial" w:cs="Arial" w:eastAsia="Arial" w:hAnsi="Arial"/>
                <w:b w:val="false"/>
                <w:bCs w:val="false"/>
                <w:i/>
                <w:iCs/>
                <w:caps w:val="false"/>
                <w:color w:val="4b5563"/>
                <w:sz w:val="15"/>
                <w:szCs w:val="15"/>
              </w:rPr>
              <w:t xml:space="preserve">Check specific roles are named with identified successors or development pathways.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Succession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recruitment timelines realistic given known local labour market constraints?</w:t>
            </w:r>
          </w:p>
          <w:p>
            <w:pPr>
              <w:spacing w:after="36" w:before="0"/>
            </w:pPr>
            <w:r>
              <w:rPr>
                <w:rFonts w:ascii="Arial" w:cs="Arial" w:eastAsia="Arial" w:hAnsi="Arial"/>
                <w:b w:val="false"/>
                <w:bCs w:val="false"/>
                <w:i/>
                <w:iCs/>
                <w:caps w:val="false"/>
                <w:color w:val="4b5563"/>
                <w:sz w:val="15"/>
                <w:szCs w:val="15"/>
              </w:rPr>
              <w:t xml:space="preserve">Ask how the hospital accounts for recruitment difficulty in its planning.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workforce plan reviewed and updated as service needs change?</w:t>
            </w:r>
          </w:p>
          <w:p>
            <w:pPr>
              <w:spacing w:after="7" w:before="0"/>
            </w:pPr>
            <w:r>
              <w:rPr>
                <w:rFonts w:ascii="Arial" w:cs="Arial" w:eastAsia="Arial" w:hAnsi="Arial"/>
                <w:b w:val="false"/>
                <w:bCs w:val="false"/>
                <w:i/>
                <w:iCs/>
                <w:caps w:val="false"/>
                <w:color w:val="4b5563"/>
                <w:sz w:val="15"/>
                <w:szCs w:val="15"/>
              </w:rPr>
              <w:t xml:space="preserve">Check for a dated revision history.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Revision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high-turnover or hard-to-fill roles identified with a specific mitigation strategy?</w:t>
            </w:r>
          </w:p>
          <w:p>
            <w:pPr>
              <w:spacing w:after="36" w:before="0"/>
            </w:pPr>
            <w:r>
              <w:rPr>
                <w:rFonts w:ascii="Arial" w:cs="Arial" w:eastAsia="Arial" w:hAnsi="Arial"/>
                <w:b w:val="false"/>
                <w:bCs w:val="false"/>
                <w:i/>
                <w:iCs/>
                <w:caps w:val="false"/>
                <w:color w:val="4b5563"/>
                <w:sz w:val="15"/>
                <w:szCs w:val="15"/>
              </w:rPr>
              <w:t xml:space="preserve">Ask for an example of a role identified as high-risk and what is being done about it.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Workforce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plan for a documented two-year projection based on service growth, attrition, and demand.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Succession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succession plan names specific key roles with identified successors or development pathways.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Recruitment realism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accounts for local labour market constraints in its planning timelines.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High-risk role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an example of a high-turnover or hard-to-fill role and its specific mitigation strategy.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eor95usetq8j8yqqcypd_">
              <w:r>
                <w:rPr>
                  <w:rFonts w:ascii="Arial" w:cs="Arial" w:eastAsia="Arial" w:hAnsi="Arial"/>
                  <w:b/>
                  <w:bCs/>
                  <w:color w:val="c9a227"/>
                  <w:sz w:val="13"/>
                  <w:szCs w:val="13"/>
                  <w:u w:val="single"/>
                </w:rPr>
                <w:t xml:space="preserve">World Health Organization. Global strategy on human resources for health: Workforce 2030. Geneva: WHO; 2016.</w:t>
              </w:r>
            </w:hyperlink>
            <w:r>
              <w:rPr>
                <w:rFonts w:ascii="Arial" w:cs="Arial" w:eastAsia="Arial" w:hAnsi="Arial"/>
                <w:b/>
                <w:bCs/>
                <w:i w:val="false"/>
                <w:iCs w:val="false"/>
                <w:caps w:val="false"/>
                <w:color w:val="6b778c"/>
                <w:sz w:val="13"/>
                <w:szCs w:val="13"/>
              </w:rPr>
              <w:t xml:space="preserve">   2. </w:t>
            </w:r>
            <w:hyperlink w:history="1" r:id="rIdqtxcqm_neq7vfswzwbcge">
              <w:r>
                <w:rPr>
                  <w:rFonts w:ascii="Arial" w:cs="Arial" w:eastAsia="Arial" w:hAnsi="Arial"/>
                  <w:b/>
                  <w:bCs/>
                  <w:color w:val="c9a227"/>
                  <w:sz w:val="13"/>
                  <w:szCs w:val="13"/>
                  <w:u w:val="single"/>
                </w:rPr>
                <w:t xml:space="preserve">World Health Organization. Health workforce requirements for universal health coverage and the Sustainable Development Goals. Geneva: WHO; 2016.</w:t>
              </w:r>
            </w:hyperlink>
            <w:r>
              <w:rPr>
                <w:rFonts w:ascii="Arial" w:cs="Arial" w:eastAsia="Arial" w:hAnsi="Arial"/>
                <w:b/>
                <w:bCs/>
                <w:i w:val="false"/>
                <w:iCs w:val="false"/>
                <w:caps w:val="false"/>
                <w:color w:val="6b778c"/>
                <w:sz w:val="13"/>
                <w:szCs w:val="13"/>
              </w:rPr>
              <w:t xml:space="preserve">   3. </w:t>
            </w:r>
            <w:hyperlink w:history="1" r:id="rIdcyyhjft68zhyvin1rpyin">
              <w:r>
                <w:rPr>
                  <w:rFonts w:ascii="Arial" w:cs="Arial" w:eastAsia="Arial" w:hAnsi="Arial"/>
                  <w:b/>
                  <w:bCs/>
                  <w:color w:val="c9a227"/>
                  <w:sz w:val="13"/>
                  <w:szCs w:val="13"/>
                  <w:u w:val="single"/>
                </w:rPr>
                <w:t xml:space="preserve">Rothwell WJ, Kazanas HC. Effective Succession Planning: Ensuring Leadership Continuity. 5th ed. New York: AMACOM; 2015.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3.7</w:t>
            </w:r>
            <w:r>
              <w:rPr>
                <w:rFonts w:ascii="Arial" w:cs="Arial" w:eastAsia="Arial" w:hAnsi="Arial"/>
                <w:b w:val="false"/>
                <w:bCs w:val="false"/>
                <w:i/>
                <w:iCs/>
                <w:caps w:val="false"/>
                <w:color w:val="8fa8c8"/>
                <w:sz w:val="10"/>
                <w:szCs w:val="10"/>
              </w:rPr>
              <w:t xml:space="preserve">  ·  Level 2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that only reacts to vacancies as they occur is perpetually understaffed in the gap between departure and replacement, and a sudden departure from a key leadership or specialist clinical role can leave a genuine capability hole with no one prepared to step in. Forward workforce and succession planning turns staffing from crisis management into a manageable, anticipated process.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Workforce 2030 — health systems that plan workforce needs proactively, rather than reactively, are significantly better positioned to sustain service continuity and quality during periods of turnover or growth.</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workforce plan projects staffing needs over at least two years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Succession plans name specific successors or development pathways for key roles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Recruitment timelines account realistically for local labour market conditions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workforce plan is reviewed and updated as service needs change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High-turnover or hard-to-fill roles have specific, active mitigation strategies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workforce plan exists; staffing decisions are made reactively as vacancies arise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succession plan exists for key leadership or clinical roles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Recruitment timelines are unrealistic, ignoring known local labour market difficulty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workforce plan, if any, has not been updated despite significant service changes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High-risk roles are identified informally, if at all, with no active strategy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workforce plan exists but was never actually used to guide a hiring decision.</w:t>
            </w:r>
          </w:p>
          <w:p>
            <w:pPr>
              <w:spacing w:after="20" w:before="0"/>
            </w:pPr>
            <w:r>
              <w:rPr>
                <w:rFonts w:ascii="Arial" w:cs="Arial" w:eastAsia="Arial" w:hAnsi="Arial"/>
                <w:b w:val="false"/>
                <w:bCs w:val="false"/>
                <w:i/>
                <w:iCs/>
                <w:caps w:val="false"/>
                <w:color w:val="4b5563"/>
                <w:sz w:val="15"/>
                <w:szCs w:val="15"/>
              </w:rPr>
              <w:t xml:space="preserve">A projection document was produced at some point, but recruitment in practice still happens purely reactively as vacancies appear.</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Succession planning covers the CEO but not other critical roles.</w:t>
            </w:r>
          </w:p>
          <w:p>
            <w:pPr>
              <w:spacing w:after="20" w:before="0"/>
            </w:pPr>
            <w:r>
              <w:rPr>
                <w:rFonts w:ascii="Arial" w:cs="Arial" w:eastAsia="Arial" w:hAnsi="Arial"/>
                <w:b w:val="false"/>
                <w:bCs w:val="false"/>
                <w:i/>
                <w:iCs/>
                <w:caps w:val="false"/>
                <w:color w:val="4b5563"/>
                <w:sz w:val="15"/>
                <w:szCs w:val="15"/>
              </w:rPr>
              <w:t xml:space="preserve">Leadership continuity is planned for the top position, but equally critical specialist clinical or technical roles have no identified backup.</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plan exists but hasn’t been revisited since a major service change.</w:t>
            </w:r>
          </w:p>
          <w:p>
            <w:pPr>
              <w:spacing w:after="36" w:before="0"/>
            </w:pPr>
            <w:r>
              <w:rPr>
                <w:rFonts w:ascii="Arial" w:cs="Arial" w:eastAsia="Arial" w:hAnsi="Arial"/>
                <w:b w:val="false"/>
                <w:bCs w:val="false"/>
                <w:i/>
                <w:iCs/>
                <w:caps w:val="false"/>
                <w:color w:val="4b5563"/>
                <w:sz w:val="15"/>
                <w:szCs w:val="15"/>
              </w:rPr>
              <w:t xml:space="preserve">A new department opened or a service expanded significantly, but the workforce plan still reflects the prior configuration.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Compile current staffing data, known attrition patterns, and anticipated service changes.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Draft or update a two-year workforce plan based on that data.</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Identify key leadership and clinical roles requiring succession plans, and name potential successors or pathways.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Review recruitment timelines against realistic local labour market constraints.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Update the workforce and succession plans as service needs and staff circumstances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specific example of the plan actually shaping a decision.  </w:t>
            </w:r>
            <w:r>
              <w:rPr>
                <w:rFonts w:ascii="Arial" w:cs="Arial" w:eastAsia="Arial" w:hAnsi="Arial"/>
                <w:b w:val="false"/>
                <w:bCs w:val="false"/>
                <w:i w:val="false"/>
                <w:iCs w:val="false"/>
                <w:caps w:val="false"/>
                <w:color w:val="374151"/>
                <w:sz w:val="16"/>
                <w:szCs w:val="16"/>
              </w:rPr>
              <w:t xml:space="preserve">A workforce plan that exists only as a document, disconnected from real recruitment timing, is not functioning as intended.</w:t>
            </w:r>
          </w:p>
          <w:p>
            <w:pPr>
              <w:spacing w:after="16" w:before="0"/>
            </w:pPr>
            <w:r>
              <w:rPr>
                <w:rFonts w:ascii="Arial" w:cs="Arial" w:eastAsia="Arial" w:hAnsi="Arial"/>
                <w:b/>
                <w:bCs/>
                <w:i w:val="false"/>
                <w:iCs w:val="false"/>
                <w:caps w:val="false"/>
                <w:color w:val="b91c1c"/>
                <w:sz w:val="15"/>
                <w:szCs w:val="15"/>
              </w:rPr>
              <w:t xml:space="preserve">Ask about a role beyond the CEO.  </w:t>
            </w:r>
            <w:r>
              <w:rPr>
                <w:rFonts w:ascii="Arial" w:cs="Arial" w:eastAsia="Arial" w:hAnsi="Arial"/>
                <w:b w:val="false"/>
                <w:bCs w:val="false"/>
                <w:i w:val="false"/>
                <w:iCs w:val="false"/>
                <w:caps w:val="false"/>
                <w:color w:val="374151"/>
                <w:sz w:val="16"/>
                <w:szCs w:val="16"/>
              </w:rPr>
              <w:t xml:space="preserve">Succession planning is often strong at the very top and thin everywhere else — probe a specialist clinical or technical role.</w:t>
            </w:r>
          </w:p>
          <w:p>
            <w:pPr>
              <w:spacing w:after="36" w:before="0"/>
            </w:pPr>
            <w:r>
              <w:rPr>
                <w:rFonts w:ascii="Arial" w:cs="Arial" w:eastAsia="Arial" w:hAnsi="Arial"/>
                <w:b/>
                <w:bCs/>
                <w:i w:val="false"/>
                <w:iCs w:val="false"/>
                <w:caps w:val="false"/>
                <w:color w:val="b91c1c"/>
                <w:sz w:val="15"/>
                <w:szCs w:val="15"/>
              </w:rPr>
              <w:t xml:space="preserve">Check the plan’s last revision date against recent service changes.  </w:t>
            </w:r>
            <w:r>
              <w:rPr>
                <w:rFonts w:ascii="Arial" w:cs="Arial" w:eastAsia="Arial" w:hAnsi="Arial"/>
                <w:b w:val="false"/>
                <w:bCs w:val="false"/>
                <w:i w:val="false"/>
                <w:iCs w:val="false"/>
                <w:caps w:val="false"/>
                <w:color w:val="374151"/>
                <w:sz w:val="16"/>
                <w:szCs w:val="16"/>
              </w:rPr>
              <w:t xml:space="preserve">A plan that predates a significant expansion or new service line is likely already out of step with actual need.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i4vijbg46sdyqo9lyyhom">
              <w:r>
                <w:rPr>
                  <w:rFonts w:ascii="Arial" w:cs="Arial" w:eastAsia="Arial" w:hAnsi="Arial"/>
                  <w:b/>
                  <w:bCs/>
                  <w:color w:val="c9a227"/>
                  <w:sz w:val="13"/>
                  <w:szCs w:val="13"/>
                  <w:u w:val="single"/>
                </w:rPr>
                <w:t xml:space="preserve">academy.gmj.ge/ch3-7-workforce-planning-succession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3.8</w:t>
            </w:r>
            <w:r>
              <w:rPr>
                <w:rFonts w:ascii="Arial" w:cs="Arial" w:eastAsia="Arial" w:hAnsi="Arial"/>
                <w:b w:val="false"/>
                <w:bCs w:val="false"/>
                <w:i/>
                <w:iCs/>
                <w:caps w:val="false"/>
                <w:color w:val="8fa8c8"/>
                <w:sz w:val="10"/>
                <w:szCs w:val="10"/>
              </w:rPr>
              <w:t xml:space="preserve">  ·  Level 2  ·  Chapter 3: Human Resources &amp; Workforce</w:t>
            </w:r>
          </w:p>
          <w:p>
            <w:pPr>
              <w:spacing w:after="36" w:before="0"/>
            </w:pPr>
            <w:r>
              <w:rPr>
                <w:rFonts w:ascii="Arial" w:cs="Arial" w:eastAsia="Arial" w:hAnsi="Arial"/>
                <w:b/>
                <w:bCs/>
                <w:i w:val="false"/>
                <w:iCs w:val="false"/>
                <w:caps w:val="false"/>
                <w:color w:val="dce8f5"/>
                <w:sz w:val="12"/>
                <w:szCs w:val="12"/>
              </w:rPr>
              <w:t xml:space="preserve">Staff Wellbeing and Mental Health Support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Staff Wellbeing and Mental Health Support</w:t>
            </w:r>
          </w:p>
          <w:p>
            <w:pPr>
              <w:spacing w:after="36" w:before="0"/>
            </w:pPr>
            <w:r>
              <w:rPr>
                <w:rFonts w:ascii="Arial" w:cs="Arial" w:eastAsia="Arial" w:hAnsi="Arial"/>
                <w:b w:val="false"/>
                <w:bCs w:val="false"/>
                <w:i w:val="false"/>
                <w:iCs w:val="false"/>
                <w:caps w:val="false"/>
                <w:color w:val="4b5563"/>
                <w:sz w:val="15"/>
                <w:szCs w:val="15"/>
              </w:rPr>
              <w:t xml:space="preserve">The hospital provides accessible mental health and wellbeing support for staff, recognises signs of burnout, and has a defined process for staff to seek help confidentially.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staff wellbeing programme, including mental health support access?</w:t>
            </w:r>
          </w:p>
          <w:p>
            <w:pPr>
              <w:spacing w:after="7" w:before="0"/>
            </w:pPr>
            <w:r>
              <w:rPr>
                <w:rFonts w:ascii="Arial" w:cs="Arial" w:eastAsia="Arial" w:hAnsi="Arial"/>
                <w:b w:val="false"/>
                <w:bCs w:val="false"/>
                <w:i/>
                <w:iCs/>
                <w:caps w:val="false"/>
                <w:color w:val="4b5563"/>
                <w:sz w:val="15"/>
                <w:szCs w:val="15"/>
              </w:rPr>
              <w:t xml:space="preserve">Check what support actually exists, not only a general wellbeing statement.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Staff wellbeing programme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staff access mental health support confidentially, without going through their direct manager?</w:t>
            </w:r>
          </w:p>
          <w:p>
            <w:pPr>
              <w:spacing w:after="7" w:before="0"/>
            </w:pPr>
            <w:r>
              <w:rPr>
                <w:rFonts w:ascii="Arial" w:cs="Arial" w:eastAsia="Arial" w:hAnsi="Arial"/>
                <w:b w:val="false"/>
                <w:bCs w:val="false"/>
                <w:i/>
                <w:iCs/>
                <w:caps w:val="false"/>
                <w:color w:val="4b5563"/>
                <w:sz w:val="15"/>
                <w:szCs w:val="15"/>
              </w:rPr>
              <w:t xml:space="preserve">Check the actual access route.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Confidential access pathway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managers trained to recognise signs of burnout or distress in their teams?</w:t>
            </w:r>
          </w:p>
          <w:p>
            <w:pPr>
              <w:spacing w:after="7" w:before="0"/>
            </w:pPr>
            <w:r>
              <w:rPr>
                <w:rFonts w:ascii="Arial" w:cs="Arial" w:eastAsia="Arial" w:hAnsi="Arial"/>
                <w:b w:val="false"/>
                <w:bCs w:val="false"/>
                <w:i/>
                <w:iCs/>
                <w:caps w:val="false"/>
                <w:color w:val="4b5563"/>
                <w:sz w:val="15"/>
                <w:szCs w:val="15"/>
              </w:rPr>
              <w:t xml:space="preserve">Check training records for this specific topic.</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Manager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workload or rostering adjusted in response to identified burnout risk, not just support offered after the fact?</w:t>
            </w:r>
          </w:p>
          <w:p>
            <w:pPr>
              <w:spacing w:after="36" w:before="0"/>
            </w:pPr>
            <w:r>
              <w:rPr>
                <w:rFonts w:ascii="Arial" w:cs="Arial" w:eastAsia="Arial" w:hAnsi="Arial"/>
                <w:b w:val="false"/>
                <w:bCs w:val="false"/>
                <w:i/>
                <w:iCs/>
                <w:caps w:val="false"/>
                <w:color w:val="4b5563"/>
                <w:sz w:val="15"/>
                <w:szCs w:val="15"/>
              </w:rPr>
              <w:t xml:space="preserve">Ask for an example of a proactive adjustment made.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staff wellbeing monitored at an aggregate level, such as through a survey, to identify system-level issues?</w:t>
            </w:r>
          </w:p>
          <w:p>
            <w:pPr>
              <w:spacing w:after="7" w:before="0"/>
            </w:pPr>
            <w:r>
              <w:rPr>
                <w:rFonts w:ascii="Arial" w:cs="Arial" w:eastAsia="Arial" w:hAnsi="Arial"/>
                <w:b w:val="false"/>
                <w:bCs w:val="false"/>
                <w:i/>
                <w:iCs/>
                <w:caps w:val="false"/>
                <w:color w:val="4b5563"/>
                <w:sz w:val="15"/>
                <w:szCs w:val="15"/>
              </w:rPr>
              <w:t xml:space="preserve">Check for periodic wellbeing data collection.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Wellbeing survey / monitoring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Wellbeing programme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programme for actual mental health support access, not only general wellbeing language.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Confidential access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staff member how they would access mental health support without going through their direct manager.</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Manager training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training records confirming managers have been trained to recognise burnout signs.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Proactive adjustment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workload or rostering adjusted in response to identified burnout risk.</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ybv25sbqocicev1xnfaag">
              <w:r>
                <w:rPr>
                  <w:rFonts w:ascii="Arial" w:cs="Arial" w:eastAsia="Arial" w:hAnsi="Arial"/>
                  <w:b/>
                  <w:bCs/>
                  <w:color w:val="c9a227"/>
                  <w:sz w:val="13"/>
                  <w:szCs w:val="13"/>
                  <w:u w:val="single"/>
                </w:rPr>
                <w:t xml:space="preserve">World Health Organization. Mental health at work: policy brief. Geneva: WHO; 2022.</w:t>
              </w:r>
            </w:hyperlink>
            <w:r>
              <w:rPr>
                <w:rFonts w:ascii="Arial" w:cs="Arial" w:eastAsia="Arial" w:hAnsi="Arial"/>
                <w:b/>
                <w:bCs/>
                <w:i w:val="false"/>
                <w:iCs w:val="false"/>
                <w:caps w:val="false"/>
                <w:color w:val="6b778c"/>
                <w:sz w:val="13"/>
                <w:szCs w:val="13"/>
              </w:rPr>
              <w:t xml:space="preserve">   2. </w:t>
            </w:r>
            <w:hyperlink w:history="1" r:id="rIdngl34rupd0gnpjknmxyx3">
              <w:r>
                <w:rPr>
                  <w:rFonts w:ascii="Arial" w:cs="Arial" w:eastAsia="Arial" w:hAnsi="Arial"/>
                  <w:b/>
                  <w:bCs/>
                  <w:color w:val="c9a227"/>
                  <w:sz w:val="13"/>
                  <w:szCs w:val="13"/>
                  <w:u w:val="single"/>
                </w:rPr>
                <w:t xml:space="preserve">Maslach C, Leiter MP. Understanding the burnout experience: recent research and its implications for psychiatry. World Psychiatry. 2016;15(2):103-111.</w:t>
              </w:r>
            </w:hyperlink>
            <w:r>
              <w:rPr>
                <w:rFonts w:ascii="Arial" w:cs="Arial" w:eastAsia="Arial" w:hAnsi="Arial"/>
                <w:b/>
                <w:bCs/>
                <w:i w:val="false"/>
                <w:iCs w:val="false"/>
                <w:caps w:val="false"/>
                <w:color w:val="6b778c"/>
                <w:sz w:val="13"/>
                <w:szCs w:val="13"/>
              </w:rPr>
              <w:t xml:space="preserve">   3. </w:t>
            </w:r>
            <w:hyperlink w:history="1" r:id="rIddtinqsp7yvsznhljr1mvu">
              <w:r>
                <w:rPr>
                  <w:rFonts w:ascii="Arial" w:cs="Arial" w:eastAsia="Arial" w:hAnsi="Arial"/>
                  <w:b/>
                  <w:bCs/>
                  <w:color w:val="c9a227"/>
                  <w:sz w:val="13"/>
                  <w:szCs w:val="13"/>
                  <w:u w:val="single"/>
                </w:rPr>
                <w:t xml:space="preserve">World Health Organization. Occupational health: mental health at work. Geneva: WHO;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3.8</w:t>
            </w:r>
            <w:r>
              <w:rPr>
                <w:rFonts w:ascii="Arial" w:cs="Arial" w:eastAsia="Arial" w:hAnsi="Arial"/>
                <w:b w:val="false"/>
                <w:bCs w:val="false"/>
                <w:i/>
                <w:iCs/>
                <w:caps w:val="false"/>
                <w:color w:val="8fa8c8"/>
                <w:sz w:val="10"/>
                <w:szCs w:val="10"/>
              </w:rPr>
              <w:t xml:space="preserve">  ·  Level 2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Healthcare work carries a sustained emotional and cognitive load — critical decisions, exposure to suffering, long and irregular hours — and staff who burn out silently are not only harmed themselves but become more likely to make errors, leave the profession, or withdraw from patients emotionally. A genuinely accessible, confidential support pathway, combined with active monitoring, treats staff wellbeing as a patient safety issue, not a personal problem staff must manage alone.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Maslach &amp; Leiter 2016 — burnout is a systemic organisational outcome, not simply an individual vulnerability, meaning institutional-level prevention and support are more effective than expecting staff to cope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wellbeing programme provides real, accessible mental health support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can access support confidentially, without going through their direct manager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Managers are trained to recognise signs of burnout or distress in their teams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Workload or rostering is adjusted proactively when burnout risk is identified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wellbeing is monitored at an aggregate level to catch system-level issues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structured wellbeing support exists beyond informal, ad hoc arrangements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only access route to support requires disclosure to a direct manager</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Managers have no training in recognising burnout or distress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Support is offered only after a crisis, with no proactive workload adjustment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wellbeing data is collected; the hospital has no visibility into system-level strain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Support exists but confidentiality is compromised in practice.</w:t>
            </w:r>
          </w:p>
          <w:p>
            <w:pPr>
              <w:spacing w:after="20" w:before="0"/>
            </w:pPr>
            <w:r>
              <w:rPr>
                <w:rFonts w:ascii="Arial" w:cs="Arial" w:eastAsia="Arial" w:hAnsi="Arial"/>
                <w:b w:val="false"/>
                <w:bCs w:val="false"/>
                <w:i/>
                <w:iCs/>
                <w:caps w:val="false"/>
                <w:color w:val="4b5563"/>
                <w:sz w:val="15"/>
                <w:szCs w:val="15"/>
              </w:rPr>
              <w:t xml:space="preserve">A support pathway technically exists, but in a small facility, seeking it is an open secret that staff avoid for fear of being seen as struggling.</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Managers care but were never actually trained to recognise the signs.</w:t>
            </w:r>
          </w:p>
          <w:p>
            <w:pPr>
              <w:spacing w:after="20" w:before="0"/>
            </w:pPr>
            <w:r>
              <w:rPr>
                <w:rFonts w:ascii="Arial" w:cs="Arial" w:eastAsia="Arial" w:hAnsi="Arial"/>
                <w:b w:val="false"/>
                <w:bCs w:val="false"/>
                <w:i/>
                <w:iCs/>
                <w:caps w:val="false"/>
                <w:color w:val="4b5563"/>
                <w:sz w:val="15"/>
                <w:szCs w:val="15"/>
              </w:rPr>
              <w:t xml:space="preserve">Good intentions exist among leadership, but no structured training has equipped managers to notice burnout before it becomes a crisis.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Wellbeing is discussed but never translates into a workload change.</w:t>
            </w:r>
          </w:p>
          <w:p>
            <w:pPr>
              <w:spacing w:after="36" w:before="0"/>
            </w:pPr>
            <w:r>
              <w:rPr>
                <w:rFonts w:ascii="Arial" w:cs="Arial" w:eastAsia="Arial" w:hAnsi="Arial"/>
                <w:b w:val="false"/>
                <w:bCs w:val="false"/>
                <w:i/>
                <w:iCs/>
                <w:caps w:val="false"/>
                <w:color w:val="4b5563"/>
                <w:sz w:val="15"/>
                <w:szCs w:val="15"/>
              </w:rPr>
              <w:t xml:space="preserve">Staff surveys or conversations surface strain, but staffing and scheduling decisions proceed unchanged regardless of the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confidential mental health support access pathway, independent of direct managers.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Communicate the pathway clearly to all staff.</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burnout-recognition training for managers.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periodic wellbeing monitoring method, such as a short survey.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wellbeing data for patterns; adjust workload or rostering proactively where risk is identified.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how a staff member would access support without their manager knowing.  </w:t>
            </w:r>
            <w:r>
              <w:rPr>
                <w:rFonts w:ascii="Arial" w:cs="Arial" w:eastAsia="Arial" w:hAnsi="Arial"/>
                <w:b w:val="false"/>
                <w:bCs w:val="false"/>
                <w:i w:val="false"/>
                <w:iCs w:val="false"/>
                <w:caps w:val="false"/>
                <w:color w:val="374151"/>
                <w:sz w:val="16"/>
                <w:szCs w:val="16"/>
              </w:rPr>
              <w:t xml:space="preserve">If the honest answer involves going through the same manager, confidentiality is not genuinely protected.</w:t>
            </w:r>
          </w:p>
          <w:p>
            <w:pPr>
              <w:spacing w:after="16" w:before="0"/>
            </w:pPr>
            <w:r>
              <w:rPr>
                <w:rFonts w:ascii="Arial" w:cs="Arial" w:eastAsia="Arial" w:hAnsi="Arial"/>
                <w:b/>
                <w:bCs/>
                <w:i w:val="false"/>
                <w:iCs w:val="false"/>
                <w:caps w:val="false"/>
                <w:color w:val="b91c1c"/>
                <w:sz w:val="15"/>
                <w:szCs w:val="15"/>
              </w:rPr>
              <w:t xml:space="preserve">Ask for one real example of a workload change made because of burnout risk.  </w:t>
            </w:r>
            <w:r>
              <w:rPr>
                <w:rFonts w:ascii="Arial" w:cs="Arial" w:eastAsia="Arial" w:hAnsi="Arial"/>
                <w:b w:val="false"/>
                <w:bCs w:val="false"/>
                <w:i w:val="false"/>
                <w:iCs w:val="false"/>
                <w:caps w:val="false"/>
                <w:color w:val="374151"/>
                <w:sz w:val="16"/>
                <w:szCs w:val="16"/>
              </w:rPr>
              <w:t xml:space="preserve">This distinguishes a wellbeing programme that acts from one that only offers sympathetic listening.</w:t>
            </w:r>
          </w:p>
          <w:p>
            <w:pPr>
              <w:spacing w:after="36" w:before="0"/>
            </w:pPr>
            <w:r>
              <w:rPr>
                <w:rFonts w:ascii="Arial" w:cs="Arial" w:eastAsia="Arial" w:hAnsi="Arial"/>
                <w:b/>
                <w:bCs/>
                <w:i w:val="false"/>
                <w:iCs w:val="false"/>
                <w:caps w:val="false"/>
                <w:color w:val="b91c1c"/>
                <w:sz w:val="15"/>
                <w:szCs w:val="15"/>
              </w:rPr>
              <w:t xml:space="preserve">Check whether wellbeing data actually reaches decision-makers.  </w:t>
            </w:r>
            <w:r>
              <w:rPr>
                <w:rFonts w:ascii="Arial" w:cs="Arial" w:eastAsia="Arial" w:hAnsi="Arial"/>
                <w:b w:val="false"/>
                <w:bCs w:val="false"/>
                <w:i w:val="false"/>
                <w:iCs w:val="false"/>
                <w:caps w:val="false"/>
                <w:color w:val="374151"/>
                <w:sz w:val="16"/>
                <w:szCs w:val="16"/>
              </w:rPr>
              <w:t xml:space="preserve">A survey that is collected but never reviewed at a level that can change staffing is not functioning as monitoring.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z0zdhmaotnhhmhygknivl">
              <w:r>
                <w:rPr>
                  <w:rFonts w:ascii="Arial" w:cs="Arial" w:eastAsia="Arial" w:hAnsi="Arial"/>
                  <w:b/>
                  <w:bCs/>
                  <w:color w:val="c9a227"/>
                  <w:sz w:val="13"/>
                  <w:szCs w:val="13"/>
                  <w:u w:val="single"/>
                </w:rPr>
                <w:t xml:space="preserve">academy.gmj.ge/ch3-8-staff-wellbeing-mental-health</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3.9</w:t>
            </w:r>
            <w:r>
              <w:rPr>
                <w:rFonts w:ascii="Arial" w:cs="Arial" w:eastAsia="Arial" w:hAnsi="Arial"/>
                <w:b w:val="false"/>
                <w:bCs w:val="false"/>
                <w:i/>
                <w:iCs/>
                <w:caps w:val="false"/>
                <w:color w:val="8fa8c8"/>
                <w:sz w:val="10"/>
                <w:szCs w:val="10"/>
              </w:rPr>
              <w:t xml:space="preserve">  ·  Level 3  ·  Chapter 3: Human Resources &amp; Workforce</w:t>
            </w:r>
          </w:p>
          <w:p>
            <w:pPr>
              <w:spacing w:after="36" w:before="0"/>
            </w:pPr>
            <w:r>
              <w:rPr>
                <w:rFonts w:ascii="Arial" w:cs="Arial" w:eastAsia="Arial" w:hAnsi="Arial"/>
                <w:b/>
                <w:bCs/>
                <w:i w:val="false"/>
                <w:iCs w:val="false"/>
                <w:caps w:val="false"/>
                <w:color w:val="dce8f5"/>
                <w:sz w:val="12"/>
                <w:szCs w:val="12"/>
              </w:rPr>
              <w:t xml:space="preserve">Whistleblowing and Staff Reporting Mechanisms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Whistleblowing and Staff Reporting Mechanisms</w:t>
            </w:r>
          </w:p>
          <w:p>
            <w:pPr>
              <w:spacing w:after="36" w:before="0"/>
            </w:pPr>
            <w:r>
              <w:rPr>
                <w:rFonts w:ascii="Arial" w:cs="Arial" w:eastAsia="Arial" w:hAnsi="Arial"/>
                <w:b w:val="false"/>
                <w:bCs w:val="false"/>
                <w:i w:val="false"/>
                <w:iCs w:val="false"/>
                <w:caps w:val="false"/>
                <w:color w:val="4b5563"/>
                <w:sz w:val="15"/>
                <w:szCs w:val="15"/>
              </w:rPr>
              <w:t xml:space="preserve">The hospital has a protected, confidential channel for staff to report safety concerns, misconduct, or wrongdoing, with an explicit non-retaliation guarantee.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whistleblowing policy with an explicit non-retaliation guarantee?</w:t>
            </w:r>
          </w:p>
          <w:p>
            <w:pPr>
              <w:spacing w:after="7" w:before="0"/>
            </w:pPr>
            <w:r>
              <w:rPr>
                <w:rFonts w:ascii="Arial" w:cs="Arial" w:eastAsia="Arial" w:hAnsi="Arial"/>
                <w:b w:val="false"/>
                <w:bCs w:val="false"/>
                <w:i/>
                <w:iCs/>
                <w:caps w:val="false"/>
                <w:color w:val="4b5563"/>
                <w:sz w:val="15"/>
                <w:szCs w:val="15"/>
              </w:rPr>
              <w:t xml:space="preserve">Check the guarantee is explicit, not implied.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Whistleblowing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confidential reporting channel independent of the normal management chain?</w:t>
            </w:r>
          </w:p>
          <w:p>
            <w:pPr>
              <w:spacing w:after="7" w:before="0"/>
            </w:pPr>
            <w:r>
              <w:rPr>
                <w:rFonts w:ascii="Arial" w:cs="Arial" w:eastAsia="Arial" w:hAnsi="Arial"/>
                <w:b w:val="false"/>
                <w:bCs w:val="false"/>
                <w:i/>
                <w:iCs/>
                <w:caps w:val="false"/>
                <w:color w:val="4b5563"/>
                <w:sz w:val="15"/>
                <w:szCs w:val="15"/>
              </w:rPr>
              <w:t xml:space="preserve">Check the actual mechanism, such as an anonymous hotline or independent contact.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Reporting channel details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aware of the whistleblowing channel and how to use it?</w:t>
            </w:r>
          </w:p>
          <w:p>
            <w:pPr>
              <w:spacing w:after="36" w:before="0"/>
            </w:pPr>
            <w:r>
              <w:rPr>
                <w:rFonts w:ascii="Arial" w:cs="Arial" w:eastAsia="Arial" w:hAnsi="Arial"/>
                <w:b w:val="false"/>
                <w:bCs w:val="false"/>
                <w:i/>
                <w:iCs/>
                <w:caps w:val="false"/>
                <w:color w:val="4b5563"/>
                <w:sz w:val="15"/>
                <w:szCs w:val="15"/>
              </w:rPr>
              <w:t xml:space="preserve">Interview a staff member about their awareness.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reports tracked to resolution, with feedback to the reporter where appropriate?</w:t>
            </w:r>
          </w:p>
          <w:p>
            <w:pPr>
              <w:spacing w:after="7" w:before="0"/>
            </w:pPr>
            <w:r>
              <w:rPr>
                <w:rFonts w:ascii="Arial" w:cs="Arial" w:eastAsia="Arial" w:hAnsi="Arial"/>
                <w:b w:val="false"/>
                <w:bCs w:val="false"/>
                <w:i/>
                <w:iCs/>
                <w:caps w:val="false"/>
                <w:color w:val="4b5563"/>
                <w:sz w:val="15"/>
                <w:szCs w:val="15"/>
              </w:rPr>
              <w:t xml:space="preserve">Check a sample of reports for tracked outcomes.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Reports log (anonymised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evidence that a report has led to a real institutional response?</w:t>
            </w:r>
          </w:p>
          <w:p>
            <w:pPr>
              <w:spacing w:after="7" w:before="0"/>
            </w:pPr>
            <w:r>
              <w:rPr>
                <w:rFonts w:ascii="Arial" w:cs="Arial" w:eastAsia="Arial" w:hAnsi="Arial"/>
                <w:b w:val="false"/>
                <w:bCs w:val="false"/>
                <w:i/>
                <w:iCs/>
                <w:caps w:val="false"/>
                <w:color w:val="4b5563"/>
                <w:sz w:val="15"/>
                <w:szCs w:val="15"/>
              </w:rPr>
              <w:t xml:space="preserve">Ask for a specific, appropriately anonymised example.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institutional response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Policy and non-retaliation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policy for an explicit, clearly stated non-retaliation guarantee.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Reporting channel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actual confidential reporting mechanism for independence from the normal management chain.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awareness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staff member whether they know how to raise a serious concern confidentially and what would happen next.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Report tracking and outcome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an anonymised sample of reports for tracked resolution and, where appropriate, feedback to the reporter.</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a6n801u39tjs13jl2qujq">
              <w:r>
                <w:rPr>
                  <w:rFonts w:ascii="Arial" w:cs="Arial" w:eastAsia="Arial" w:hAnsi="Arial"/>
                  <w:b/>
                  <w:bCs/>
                  <w:color w:val="c9a227"/>
                  <w:sz w:val="13"/>
                  <w:szCs w:val="13"/>
                  <w:u w:val="single"/>
                </w:rPr>
                <w:t xml:space="preserve">World Health Organization. WHO guidelines on preventing early pregnancy and poor reproductive outcomes among adolescents (whistleblowing/reporting principle adapted from institutional accountability frameworks). Geneva: WHO; 2011.</w:t>
              </w:r>
            </w:hyperlink>
            <w:r>
              <w:rPr>
                <w:rFonts w:ascii="Arial" w:cs="Arial" w:eastAsia="Arial" w:hAnsi="Arial"/>
                <w:b/>
                <w:bCs/>
                <w:i w:val="false"/>
                <w:iCs w:val="false"/>
                <w:caps w:val="false"/>
                <w:color w:val="6b778c"/>
                <w:sz w:val="13"/>
                <w:szCs w:val="13"/>
              </w:rPr>
              <w:t xml:space="preserve">   2. </w:t>
            </w:r>
            <w:hyperlink w:history="1" r:id="rIdglvauejigsatunr9jec8l">
              <w:r>
                <w:rPr>
                  <w:rFonts w:ascii="Arial" w:cs="Arial" w:eastAsia="Arial" w:hAnsi="Arial"/>
                  <w:b/>
                  <w:bCs/>
                  <w:color w:val="c9a227"/>
                  <w:sz w:val="13"/>
                  <w:szCs w:val="13"/>
                  <w:u w:val="single"/>
                </w:rPr>
                <w:t xml:space="preserve">Council of Europe. Recommendation CM/Rec(2014)7 on the protection of whistleblowers. Strasbourg: Council of Europe; 2014.</w:t>
              </w:r>
            </w:hyperlink>
            <w:r>
              <w:rPr>
                <w:rFonts w:ascii="Arial" w:cs="Arial" w:eastAsia="Arial" w:hAnsi="Arial"/>
                <w:b/>
                <w:bCs/>
                <w:i w:val="false"/>
                <w:iCs w:val="false"/>
                <w:caps w:val="false"/>
                <w:color w:val="6b778c"/>
                <w:sz w:val="13"/>
                <w:szCs w:val="13"/>
              </w:rPr>
              <w:t xml:space="preserve">   3. </w:t>
            </w:r>
            <w:hyperlink w:history="1" r:id="rIdkibwxzwcjke2rqcdsvd8b">
              <w:r>
                <w:rPr>
                  <w:rFonts w:ascii="Arial" w:cs="Arial" w:eastAsia="Arial" w:hAnsi="Arial"/>
                  <w:b/>
                  <w:bCs/>
                  <w:color w:val="c9a227"/>
                  <w:sz w:val="13"/>
                  <w:szCs w:val="13"/>
                  <w:u w:val="single"/>
                </w:rPr>
                <w:t xml:space="preserve">Francis R. Report of the Mid Staffordshire NHS Foundation Trust Public Inquiry. London: The Stationery Office; 2013.</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3.9</w:t>
            </w:r>
            <w:r>
              <w:rPr>
                <w:rFonts w:ascii="Arial" w:cs="Arial" w:eastAsia="Arial" w:hAnsi="Arial"/>
                <w:b w:val="false"/>
                <w:bCs w:val="false"/>
                <w:i/>
                <w:iCs/>
                <w:caps w:val="false"/>
                <w:color w:val="8fa8c8"/>
                <w:sz w:val="10"/>
                <w:szCs w:val="10"/>
              </w:rPr>
              <w:t xml:space="preserve">  ·  Level 3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Some of the most serious institutional safety failures documented in healthcare were known internally, sometimes for years, by staff who feared raising them would cost them their job or standing. A genuinely confidential, protected reporting channel — separate from the normal chain of command a concern might be about — is what allows a hospital to hear about problems from the people closest to them before those problems become public scandals or preventable tragedies.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The Francis Report 2013 — a landmark public inquiry into a UK hospital found that staff who tried to raise concerns internally were repeatedly ignored or discouraged, allowing serious, sustained patient harm to continue undetected by leadership.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written policy includes an explicit, clearly stated non-retaliation guarantee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confidential reporting channel exists, independent of the normal management chain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are aware of the channel and know how to use it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Reports are tracked to resolution, with feedback to the reporter where appropriate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hospital can show at least one example of a report leading to real institutional change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formal whistleblowing channel exists; concerns must go through the normal management chain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non-retaliation guarantee exists, or staff do not believe it in practice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are unaware the channel exists or how to access 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Reports, if received, are not tracked or resolved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evidence exists of any report ever changing an institutional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channel exists on paper but staff don’t trust it in practice.</w:t>
            </w:r>
          </w:p>
          <w:p>
            <w:pPr>
              <w:spacing w:after="20" w:before="0"/>
            </w:pPr>
            <w:r>
              <w:rPr>
                <w:rFonts w:ascii="Arial" w:cs="Arial" w:eastAsia="Arial" w:hAnsi="Arial"/>
                <w:b w:val="false"/>
                <w:bCs w:val="false"/>
                <w:i/>
                <w:iCs/>
                <w:caps w:val="false"/>
                <w:color w:val="4b5563"/>
                <w:sz w:val="15"/>
                <w:szCs w:val="15"/>
              </w:rPr>
              <w:t xml:space="preserve">A whistleblowing policy and mechanism are documented, but informal staff conversations reveal real fear that using it would be noticed and held against them.</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Reports are received but tracking stops at acknowledgement.</w:t>
            </w:r>
          </w:p>
          <w:p>
            <w:pPr>
              <w:spacing w:after="20" w:before="0"/>
            </w:pPr>
            <w:r>
              <w:rPr>
                <w:rFonts w:ascii="Arial" w:cs="Arial" w:eastAsia="Arial" w:hAnsi="Arial"/>
                <w:b w:val="false"/>
                <w:bCs w:val="false"/>
                <w:i/>
                <w:iCs/>
                <w:caps w:val="false"/>
                <w:color w:val="4b5563"/>
                <w:sz w:val="15"/>
                <w:szCs w:val="15"/>
              </w:rPr>
              <w:t xml:space="preserve">Concerns raised through the channel are logged as received, but no visible process follows through to resolution or feedback.</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channel is known to senior staff but not to junior or newer employees.</w:t>
            </w:r>
          </w:p>
          <w:p>
            <w:pPr>
              <w:spacing w:after="36" w:before="0"/>
            </w:pPr>
            <w:r>
              <w:rPr>
                <w:rFonts w:ascii="Arial" w:cs="Arial" w:eastAsia="Arial" w:hAnsi="Arial"/>
                <w:b w:val="false"/>
                <w:bCs w:val="false"/>
                <w:i/>
                <w:iCs/>
                <w:caps w:val="false"/>
                <w:color w:val="4b5563"/>
                <w:sz w:val="15"/>
                <w:szCs w:val="15"/>
              </w:rPr>
              <w:t xml:space="preserve">Awareness of the reporting mechanism correlates strongly with seniority and tenure, meaning the staff most vulnerable to retaliation may know the least about their protection.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Draft or confirm a whistleblowing policy with an explicit non-retaliation guarantee.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confirm a confidential reporting channel independent of the normal management chain.</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Communicate the channel clearly to all staff, with particular attention to newer and junior employees.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tracking process for reports through to resolution, with feedback to the reporter where appropriate.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report outcomes periodically; reinforce staff awareness and trust in the channel.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junior or newer staff, not just senior staff, about their awareness.  </w:t>
            </w:r>
            <w:r>
              <w:rPr>
                <w:rFonts w:ascii="Arial" w:cs="Arial" w:eastAsia="Arial" w:hAnsi="Arial"/>
                <w:b w:val="false"/>
                <w:bCs w:val="false"/>
                <w:i w:val="false"/>
                <w:iCs w:val="false"/>
                <w:caps w:val="false"/>
                <w:color w:val="374151"/>
                <w:sz w:val="16"/>
                <w:szCs w:val="16"/>
              </w:rPr>
              <w:t xml:space="preserve">Awareness of protection mechanisms often skews toward tenure — the staff most exposed to retaliation risk may be the least informed.</w:t>
            </w:r>
          </w:p>
          <w:p>
            <w:pPr>
              <w:spacing w:after="16" w:before="0"/>
            </w:pPr>
            <w:r>
              <w:rPr>
                <w:rFonts w:ascii="Arial" w:cs="Arial" w:eastAsia="Arial" w:hAnsi="Arial"/>
                <w:b/>
                <w:bCs/>
                <w:i w:val="false"/>
                <w:iCs w:val="false"/>
                <w:caps w:val="false"/>
                <w:color w:val="b91c1c"/>
                <w:sz w:val="15"/>
                <w:szCs w:val="15"/>
              </w:rPr>
              <w:t xml:space="preserve">Ask what would actually happen, not what the policy promises.  </w:t>
            </w:r>
            <w:r>
              <w:rPr>
                <w:rFonts w:ascii="Arial" w:cs="Arial" w:eastAsia="Arial" w:hAnsi="Arial"/>
                <w:b w:val="false"/>
                <w:bCs w:val="false"/>
                <w:i w:val="false"/>
                <w:iCs w:val="false"/>
                <w:caps w:val="false"/>
                <w:color w:val="374151"/>
                <w:sz w:val="16"/>
                <w:szCs w:val="16"/>
              </w:rPr>
              <w:t xml:space="preserve">A credible non-retaliation guarantee is one staff genuinely believe based on how past reports were handled, not just written assurance.</w:t>
            </w:r>
          </w:p>
          <w:p>
            <w:pPr>
              <w:spacing w:after="36" w:before="0"/>
            </w:pPr>
            <w:r>
              <w:rPr>
                <w:rFonts w:ascii="Arial" w:cs="Arial" w:eastAsia="Arial" w:hAnsi="Arial"/>
                <w:b/>
                <w:bCs/>
                <w:i w:val="false"/>
                <w:iCs w:val="false"/>
                <w:caps w:val="false"/>
                <w:color w:val="b91c1c"/>
                <w:sz w:val="15"/>
                <w:szCs w:val="15"/>
              </w:rPr>
              <w:t xml:space="preserve">Look for one real example, appropriately anonymised, of a report leading to change.  </w:t>
            </w:r>
            <w:r>
              <w:rPr>
                <w:rFonts w:ascii="Arial" w:cs="Arial" w:eastAsia="Arial" w:hAnsi="Arial"/>
                <w:b w:val="false"/>
                <w:bCs w:val="false"/>
                <w:i w:val="false"/>
                <w:iCs w:val="false"/>
                <w:caps w:val="false"/>
                <w:color w:val="374151"/>
                <w:sz w:val="16"/>
                <w:szCs w:val="16"/>
              </w:rPr>
              <w:t xml:space="preserve">This is the strongest evidence the mechanism does more than exist on paper.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cslfk84fxfatiemmt_xls">
              <w:r>
                <w:rPr>
                  <w:rFonts w:ascii="Arial" w:cs="Arial" w:eastAsia="Arial" w:hAnsi="Arial"/>
                  <w:b/>
                  <w:bCs/>
                  <w:color w:val="c9a227"/>
                  <w:sz w:val="13"/>
                  <w:szCs w:val="13"/>
                  <w:u w:val="single"/>
                </w:rPr>
                <w:t xml:space="preserve">academy.gmj.ge/ch3-9-whistleblowing-staff-reporting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3.10</w:t>
            </w:r>
            <w:r>
              <w:rPr>
                <w:rFonts w:ascii="Arial" w:cs="Arial" w:eastAsia="Arial" w:hAnsi="Arial"/>
                <w:b w:val="false"/>
                <w:bCs w:val="false"/>
                <w:i/>
                <w:iCs/>
                <w:caps w:val="false"/>
                <w:color w:val="8fa8c8"/>
                <w:sz w:val="10"/>
                <w:szCs w:val="10"/>
              </w:rPr>
              <w:t xml:space="preserve">  ·  Level 3  ·  Chapter 3: Human Resources &amp; Workforce</w:t>
            </w:r>
          </w:p>
          <w:p>
            <w:pPr>
              <w:spacing w:after="36" w:before="0"/>
            </w:pPr>
            <w:r>
              <w:rPr>
                <w:rFonts w:ascii="Arial" w:cs="Arial" w:eastAsia="Arial" w:hAnsi="Arial"/>
                <w:b/>
                <w:bCs/>
                <w:i w:val="false"/>
                <w:iCs w:val="false"/>
                <w:caps w:val="false"/>
                <w:color w:val="dce8f5"/>
                <w:sz w:val="12"/>
                <w:szCs w:val="12"/>
              </w:rPr>
              <w:t xml:space="preserve">Volunteer and Student Supervision Framework</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3.10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Volunteer and Student Supervision Framework</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framework for supervising volunteers and students, including background checks, defined scope of activity, and named supervisory responsibility.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policy defining the scope of activity permitted for volunteers and students?</w:t>
            </w:r>
          </w:p>
          <w:p>
            <w:pPr>
              <w:spacing w:after="7" w:before="0"/>
            </w:pPr>
            <w:r>
              <w:rPr>
                <w:rFonts w:ascii="Arial" w:cs="Arial" w:eastAsia="Arial" w:hAnsi="Arial"/>
                <w:b w:val="false"/>
                <w:bCs w:val="false"/>
                <w:i/>
                <w:iCs/>
                <w:caps w:val="false"/>
                <w:color w:val="4b5563"/>
                <w:sz w:val="15"/>
                <w:szCs w:val="15"/>
              </w:rPr>
              <w:t xml:space="preserve">Check the scope is specific to each group, not a single blanket statement.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Volunteer / student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background checks conducted for volunteers and students with patient contact, consistent with national requirements?</w:t>
            </w:r>
          </w:p>
          <w:p>
            <w:pPr>
              <w:spacing w:after="7" w:before="0"/>
            </w:pPr>
            <w:r>
              <w:rPr>
                <w:rFonts w:ascii="Arial" w:cs="Arial" w:eastAsia="Arial" w:hAnsi="Arial"/>
                <w:b w:val="false"/>
                <w:bCs w:val="false"/>
                <w:i/>
                <w:iCs/>
                <w:caps w:val="false"/>
                <w:color w:val="4b5563"/>
                <w:sz w:val="15"/>
                <w:szCs w:val="15"/>
              </w:rPr>
              <w:t xml:space="preserve">Check evidence of checks for a sample of current volunteers/students.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Background check records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named supervisor responsible for each volunteer or student placement?</w:t>
            </w:r>
          </w:p>
          <w:p>
            <w:pPr>
              <w:spacing w:after="7" w:before="0"/>
            </w:pPr>
            <w:r>
              <w:rPr>
                <w:rFonts w:ascii="Arial" w:cs="Arial" w:eastAsia="Arial" w:hAnsi="Arial"/>
                <w:b w:val="false"/>
                <w:bCs w:val="false"/>
                <w:i/>
                <w:iCs/>
                <w:caps w:val="false"/>
                <w:color w:val="4b5563"/>
                <w:sz w:val="15"/>
                <w:szCs w:val="15"/>
              </w:rPr>
              <w:t xml:space="preserve">Check that supervision is assigned to an individual, not general oversight.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Supervision assignment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volunteers and students receive orientation before beginning any patient-facing activity?</w:t>
            </w:r>
          </w:p>
          <w:p>
            <w:pPr>
              <w:spacing w:after="7" w:before="0"/>
            </w:pPr>
            <w:r>
              <w:rPr>
                <w:rFonts w:ascii="Arial" w:cs="Arial" w:eastAsia="Arial" w:hAnsi="Arial"/>
                <w:b w:val="false"/>
                <w:bCs w:val="false"/>
                <w:i/>
                <w:iCs/>
                <w:caps w:val="false"/>
                <w:color w:val="4b5563"/>
                <w:sz w:val="15"/>
                <w:szCs w:val="15"/>
              </w:rPr>
              <w:t xml:space="preserve">Check orientation records for this group specifically.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Orientation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addressing a volunteer or student who exceeds their permitted scope?</w:t>
            </w:r>
          </w:p>
          <w:p>
            <w:pPr>
              <w:spacing w:after="36" w:before="0"/>
            </w:pPr>
            <w:r>
              <w:rPr>
                <w:rFonts w:ascii="Arial" w:cs="Arial" w:eastAsia="Arial" w:hAnsi="Arial"/>
                <w:b w:val="false"/>
                <w:bCs w:val="false"/>
                <w:i/>
                <w:iCs/>
                <w:caps w:val="false"/>
                <w:color w:val="4b5563"/>
                <w:sz w:val="15"/>
                <w:szCs w:val="15"/>
              </w:rPr>
              <w:t xml:space="preserve">Ask for the actual escalation or correction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Scope of activity policy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policy for defined, specific scope of activity for volunteers and students.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Background check sample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background check records for a sample of current volunteers and students with patient contact.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Named supervisor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placement coordinator or department head to name the specific supervisor for a current volunteer or student.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Orientation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orientation records specific to volunteers and students before patient-facing activity began.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db_ahb-220qryjozkbgbg">
              <w:r>
                <w:rPr>
                  <w:rFonts w:ascii="Arial" w:cs="Arial" w:eastAsia="Arial" w:hAnsi="Arial"/>
                  <w:b/>
                  <w:bCs/>
                  <w:color w:val="c9a227"/>
                  <w:sz w:val="13"/>
                  <w:szCs w:val="13"/>
                  <w:u w:val="single"/>
                </w:rPr>
                <w:t xml:space="preserve">World Health Organization. Framework for action on interprofessional education and collaborative practice. Geneva: WHO; 2010.</w:t>
              </w:r>
            </w:hyperlink>
            <w:r>
              <w:rPr>
                <w:rFonts w:ascii="Arial" w:cs="Arial" w:eastAsia="Arial" w:hAnsi="Arial"/>
                <w:b/>
                <w:bCs/>
                <w:i w:val="false"/>
                <w:iCs w:val="false"/>
                <w:caps w:val="false"/>
                <w:color w:val="6b778c"/>
                <w:sz w:val="13"/>
                <w:szCs w:val="13"/>
              </w:rPr>
              <w:t xml:space="preserve">   2. </w:t>
            </w:r>
            <w:hyperlink w:history="1" r:id="rIdze1arxgqc2xm4bxsp_us0">
              <w:r>
                <w:rPr>
                  <w:rFonts w:ascii="Arial" w:cs="Arial" w:eastAsia="Arial" w:hAnsi="Arial"/>
                  <w:b/>
                  <w:bCs/>
                  <w:color w:val="c9a227"/>
                  <w:sz w:val="13"/>
                  <w:szCs w:val="13"/>
                  <w:u w:val="single"/>
                </w:rPr>
                <w:t xml:space="preserve">World Federation for Medical Education. Basic Medical Education: WFME Global Standards for Quality Improvement. Copenhagen: WFME; 2015.</w:t>
              </w:r>
            </w:hyperlink>
            <w:r>
              <w:rPr>
                <w:rFonts w:ascii="Arial" w:cs="Arial" w:eastAsia="Arial" w:hAnsi="Arial"/>
                <w:b/>
                <w:bCs/>
                <w:i w:val="false"/>
                <w:iCs w:val="false"/>
                <w:caps w:val="false"/>
                <w:color w:val="6b778c"/>
                <w:sz w:val="13"/>
                <w:szCs w:val="13"/>
              </w:rPr>
              <w:t xml:space="preserve">   3. </w:t>
            </w:r>
            <w:hyperlink w:history="1" r:id="rIdsuld_rbv-pzkhehxz0ydg">
              <w:r>
                <w:rPr>
                  <w:rFonts w:ascii="Arial" w:cs="Arial" w:eastAsia="Arial" w:hAnsi="Arial"/>
                  <w:b/>
                  <w:bCs/>
                  <w:color w:val="c9a227"/>
                  <w:sz w:val="13"/>
                  <w:szCs w:val="13"/>
                  <w:u w:val="single"/>
                </w:rPr>
                <w:t xml:space="preserve">Joint Commission International. International Patient Safety Goals — Standards for Hospitals. Oak Brook: JCI;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3.10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3.10</w:t>
            </w:r>
            <w:r>
              <w:rPr>
                <w:rFonts w:ascii="Arial" w:cs="Arial" w:eastAsia="Arial" w:hAnsi="Arial"/>
                <w:b w:val="false"/>
                <w:bCs w:val="false"/>
                <w:i/>
                <w:iCs/>
                <w:caps w:val="false"/>
                <w:color w:val="8fa8c8"/>
                <w:sz w:val="10"/>
                <w:szCs w:val="10"/>
              </w:rPr>
              <w:t xml:space="preserve">  ·  Level 3  ·  Chapter 3: Human Resources &amp; Workforce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ASF-CH3-HRW-v2.0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Volunteers and students bring real value to a hospital, but without a defined scope, named supervision, and appropriate background checks, they represent an unmanaged risk to patients who reasonably assume everyone in a clinical area is appropriately vetted and overseen. A clear framework lets the hospital benefit from their contribution without quietly lowering its safety standard for a category of people who are, by definition, still learning or not fully credentialed.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2010 framework — structured, supervised student and trainee involvement in clinical settings is associated with better learning outcomes and, critically, with maintained rather than compromised patient safety.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written policy defines specific scope of activity for volunteers and students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Background checks are conducted for those with patient contact, per national requirements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named supervisor is assigned to each volunteer or student placement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Orientation is completed before any patient-facing activity begins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process exists for correcting a volunteer or student who exceeds their scope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scope of activity exists; volunteers and students work informally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Background checks are inconsistent or skipped entirely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Supervision is generic, with no individual named as responsible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Volunteers or students begin patient-facing activity without any orientation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process exists for addressing a volunteer or student who oversteps their role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policy exists but scope drifts in practice under pressure.</w:t>
            </w:r>
          </w:p>
          <w:p>
            <w:pPr>
              <w:spacing w:after="20" w:before="0"/>
            </w:pPr>
            <w:r>
              <w:rPr>
                <w:rFonts w:ascii="Arial" w:cs="Arial" w:eastAsia="Arial" w:hAnsi="Arial"/>
                <w:b w:val="false"/>
                <w:bCs w:val="false"/>
                <w:i/>
                <w:iCs/>
                <w:caps w:val="false"/>
                <w:color w:val="4b5563"/>
                <w:sz w:val="15"/>
                <w:szCs w:val="15"/>
              </w:rPr>
              <w:t xml:space="preserve">A defined scope of activity is documented, but during busy periods volunteers or students are informally asked to do more than their permitted role.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Background checks happen for long-term placements but are skipped for short ones.</w:t>
            </w:r>
          </w:p>
          <w:p>
            <w:pPr>
              <w:spacing w:after="20" w:before="0"/>
            </w:pPr>
            <w:r>
              <w:rPr>
                <w:rFonts w:ascii="Arial" w:cs="Arial" w:eastAsia="Arial" w:hAnsi="Arial"/>
                <w:b w:val="false"/>
                <w:bCs w:val="false"/>
                <w:i/>
                <w:iCs/>
                <w:caps w:val="false"/>
                <w:color w:val="4b5563"/>
                <w:sz w:val="15"/>
                <w:szCs w:val="15"/>
              </w:rPr>
              <w:t xml:space="preserve">Students on extended rotations are properly checked; short-term volunteers or observers sometimes are not.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Supervision is assigned on paper but the named supervisor is often unavailable.</w:t>
            </w:r>
          </w:p>
          <w:p>
            <w:pPr>
              <w:spacing w:after="36" w:before="0"/>
            </w:pPr>
            <w:r>
              <w:rPr>
                <w:rFonts w:ascii="Arial" w:cs="Arial" w:eastAsia="Arial" w:hAnsi="Arial"/>
                <w:b w:val="false"/>
                <w:bCs w:val="false"/>
                <w:i/>
                <w:iCs/>
                <w:caps w:val="false"/>
                <w:color w:val="4b5563"/>
                <w:sz w:val="15"/>
                <w:szCs w:val="15"/>
              </w:rPr>
              <w:t xml:space="preserve">A specific supervisor is designated, but in practice they are frequently occupied elsewhere, leaving the volunteer or student effectively unsupervised.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Define or confirm specific scope of activity for each category of volunteer and student.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background check completion for current volunteers and students with patient contact.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Assign a named supervisor to every active placement.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brief orientation specific to volunteers and students before patient-facing activity begins.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placements periodically for scope adherence and supervision availability.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department to name the supervisor for a specific current volunteer or student.  </w:t>
            </w:r>
            <w:r>
              <w:rPr>
                <w:rFonts w:ascii="Arial" w:cs="Arial" w:eastAsia="Arial" w:hAnsi="Arial"/>
                <w:b w:val="false"/>
                <w:bCs w:val="false"/>
                <w:i w:val="false"/>
                <w:iCs w:val="false"/>
                <w:caps w:val="false"/>
                <w:color w:val="374151"/>
                <w:sz w:val="16"/>
                <w:szCs w:val="16"/>
              </w:rPr>
              <w:t xml:space="preserve">A quick, confident, correct answer indicates real assigned supervision; hesitation suggests it exists only in principle.</w:t>
            </w:r>
          </w:p>
          <w:p>
            <w:pPr>
              <w:spacing w:after="16" w:before="0"/>
            </w:pPr>
            <w:r>
              <w:rPr>
                <w:rFonts w:ascii="Arial" w:cs="Arial" w:eastAsia="Arial" w:hAnsi="Arial"/>
                <w:b/>
                <w:bCs/>
                <w:i w:val="false"/>
                <w:iCs w:val="false"/>
                <w:caps w:val="false"/>
                <w:color w:val="b91c1c"/>
                <w:sz w:val="15"/>
                <w:szCs w:val="15"/>
              </w:rPr>
              <w:t xml:space="preserve">Check a short-term placement, not just a long-term one.  </w:t>
            </w:r>
            <w:r>
              <w:rPr>
                <w:rFonts w:ascii="Arial" w:cs="Arial" w:eastAsia="Arial" w:hAnsi="Arial"/>
                <w:b w:val="false"/>
                <w:bCs w:val="false"/>
                <w:i w:val="false"/>
                <w:iCs w:val="false"/>
                <w:caps w:val="false"/>
                <w:color w:val="374151"/>
                <w:sz w:val="16"/>
                <w:szCs w:val="16"/>
              </w:rPr>
              <w:t xml:space="preserve">Background checks and orientation are often more rigorous for extended rotations than for brief volunteer stints.</w:t>
            </w:r>
          </w:p>
          <w:p>
            <w:pPr>
              <w:spacing w:after="36" w:before="0"/>
            </w:pPr>
            <w:r>
              <w:rPr>
                <w:rFonts w:ascii="Arial" w:cs="Arial" w:eastAsia="Arial" w:hAnsi="Arial"/>
                <w:b/>
                <w:bCs/>
                <w:i w:val="false"/>
                <w:iCs w:val="false"/>
                <w:caps w:val="false"/>
                <w:color w:val="b91c1c"/>
                <w:sz w:val="15"/>
                <w:szCs w:val="15"/>
              </w:rPr>
              <w:t xml:space="preserve">Ask what would happen if a volunteer performed a task outside their scope.  </w:t>
            </w:r>
            <w:r>
              <w:rPr>
                <w:rFonts w:ascii="Arial" w:cs="Arial" w:eastAsia="Arial" w:hAnsi="Arial"/>
                <w:b w:val="false"/>
                <w:bCs w:val="false"/>
                <w:i w:val="false"/>
                <w:iCs w:val="false"/>
                <w:caps w:val="false"/>
                <w:color w:val="374151"/>
                <w:sz w:val="16"/>
                <w:szCs w:val="16"/>
              </w:rPr>
              <w:t xml:space="preserve">A specific, credible answer indicates an active correction process rather than an assumption that it wouldn’t happen.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tnml0ndqcldwfmoxfad38">
              <w:r>
                <w:rPr>
                  <w:rFonts w:ascii="Arial" w:cs="Arial" w:eastAsia="Arial" w:hAnsi="Arial"/>
                  <w:b/>
                  <w:bCs/>
                  <w:color w:val="c9a227"/>
                  <w:sz w:val="13"/>
                  <w:szCs w:val="13"/>
                  <w:u w:val="single"/>
                </w:rPr>
                <w:t xml:space="preserve">academy.gmj.ge/ch3-10-volunteer-student-supervision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3: HRW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3.1 — Staff Credentialing and Scope of Practice Verification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 recommendations on health workforce credentialing.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fdukhcq6e55iks6pfdk_x">
              <w:r>
                <w:rPr>
                  <w:rFonts w:ascii="Arial" w:cs="Arial" w:eastAsia="Arial" w:hAnsi="Arial"/>
                  <w:b/>
                  <w:bCs/>
                  <w:color w:val="c9a227"/>
                  <w:sz w:val="12"/>
                  <w:szCs w:val="12"/>
                  <w:u w:val="single"/>
                </w:rPr>
                <w:t xml:space="preserve">https://www.who.int/publications/i/item/9789240010352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 Standards for Hospitals.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poreob3b5pvjlvz5oe6h9">
              <w:r>
                <w:rPr>
                  <w:rFonts w:ascii="Arial" w:cs="Arial" w:eastAsia="Arial" w:hAnsi="Arial"/>
                  <w:b/>
                  <w:bCs/>
                  <w:color w:val="c9a227"/>
                  <w:sz w:val="12"/>
                  <w:szCs w:val="12"/>
                  <w:u w:val="single"/>
                </w:rPr>
                <w:t xml:space="preserve">https://www.jointcommissioninternational.org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Federation for Medical Education. Basic Medical Education: WFME Global Standards for Quality Improvement. Copenhagen: WFME; 2015.</w:t>
            </w:r>
          </w:p>
          <w:p>
            <w:pPr>
              <w:spacing w:after="36" w:before="0"/>
            </w:pPr>
            <w:r>
              <w:rPr>
                <w:rFonts w:ascii="Arial" w:cs="Arial" w:eastAsia="Arial" w:hAnsi="Arial"/>
                <w:b/>
                <w:bCs/>
                <w:i w:val="false"/>
                <w:iCs w:val="false"/>
                <w:caps w:val="false"/>
                <w:color w:val="6b778c"/>
                <w:sz w:val="12"/>
                <w:szCs w:val="12"/>
              </w:rPr>
              <w:t xml:space="preserve">URL: </w:t>
            </w:r>
            <w:hyperlink w:history="1" r:id="rIdcsvunfmggc1ybvemrh5vn">
              <w:r>
                <w:rPr>
                  <w:rFonts w:ascii="Arial" w:cs="Arial" w:eastAsia="Arial" w:hAnsi="Arial"/>
                  <w:b/>
                  <w:bCs/>
                  <w:color w:val="c9a227"/>
                  <w:sz w:val="12"/>
                  <w:szCs w:val="12"/>
                  <w:u w:val="single"/>
                </w:rPr>
                <w:t xml:space="preserve">https://wfme.org/standards/bme/</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3.2 — Mandatory Induction Training for All Staff</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Human resources for health: overview.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zxbyrdvydzvsendpcavgx">
              <w:r>
                <w:rPr>
                  <w:rFonts w:ascii="Arial" w:cs="Arial" w:eastAsia="Arial" w:hAnsi="Arial"/>
                  <w:b/>
                  <w:bCs/>
                  <w:color w:val="c9a227"/>
                  <w:sz w:val="12"/>
                  <w:szCs w:val="12"/>
                  <w:u w:val="single"/>
                </w:rPr>
                <w:t xml:space="preserve">https://www.who.int/health-topics/health-workforce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on core components of infection prevention and control programmes.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tkie52gnxmhdq0joakknm">
              <w:r>
                <w:rPr>
                  <w:rFonts w:ascii="Arial" w:cs="Arial" w:eastAsia="Arial" w:hAnsi="Arial"/>
                  <w:b/>
                  <w:bCs/>
                  <w:color w:val="c9a227"/>
                  <w:sz w:val="12"/>
                  <w:szCs w:val="12"/>
                  <w:u w:val="single"/>
                </w:rPr>
                <w:t xml:space="preserve">https://iris.who.int/handle/10665/251730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Onboarding for patient safety: essentials toolkit. Boston: IHI; 2019.</w:t>
            </w:r>
          </w:p>
          <w:p>
            <w:pPr>
              <w:spacing w:after="36" w:before="0"/>
            </w:pPr>
            <w:r>
              <w:rPr>
                <w:rFonts w:ascii="Arial" w:cs="Arial" w:eastAsia="Arial" w:hAnsi="Arial"/>
                <w:b/>
                <w:bCs/>
                <w:i w:val="false"/>
                <w:iCs w:val="false"/>
                <w:caps w:val="false"/>
                <w:color w:val="6b778c"/>
                <w:sz w:val="12"/>
                <w:szCs w:val="12"/>
              </w:rPr>
              <w:t xml:space="preserve">URL: </w:t>
            </w:r>
            <w:hyperlink w:history="1" r:id="rId10nqbhxuyhmvggc8-qyqe">
              <w:r>
                <w:rPr>
                  <w:rFonts w:ascii="Arial" w:cs="Arial" w:eastAsia="Arial" w:hAnsi="Arial"/>
                  <w:b/>
                  <w:bCs/>
                  <w:color w:val="c9a227"/>
                  <w:sz w:val="12"/>
                  <w:szCs w:val="12"/>
                  <w:u w:val="single"/>
                </w:rPr>
                <w:t xml:space="preserve">http://www.ihi.org/resources</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3.3 — Staffing Levels and Skill Mix</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strategy on human resources for health: Workforce 2030.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4eiolakuuzkztcuhgwdst">
              <w:r>
                <w:rPr>
                  <w:rFonts w:ascii="Arial" w:cs="Arial" w:eastAsia="Arial" w:hAnsi="Arial"/>
                  <w:b/>
                  <w:bCs/>
                  <w:color w:val="c9a227"/>
                  <w:sz w:val="12"/>
                  <w:szCs w:val="12"/>
                  <w:u w:val="single"/>
                </w:rPr>
                <w:t xml:space="preserve">https://www.who.int/publications/i/item/9789241511131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Aiken LH, Sloane DM, Bruyneel L, et al. Nurse staffing and education and hospital mortality in nine European countries. Lancet. 2014;383(9931):1824-1830.</w:t>
            </w:r>
          </w:p>
          <w:p>
            <w:pPr>
              <w:spacing w:after="36" w:before="0"/>
            </w:pPr>
            <w:r>
              <w:rPr>
                <w:rFonts w:ascii="Arial" w:cs="Arial" w:eastAsia="Arial" w:hAnsi="Arial"/>
                <w:b/>
                <w:bCs/>
                <w:i w:val="false"/>
                <w:iCs w:val="false"/>
                <w:caps w:val="false"/>
                <w:color w:val="6b778c"/>
                <w:sz w:val="12"/>
                <w:szCs w:val="12"/>
              </w:rPr>
              <w:t xml:space="preserve">URL: </w:t>
            </w:r>
            <w:hyperlink w:history="1" r:id="rIdzqoqmr7rrd0sghmumha-f">
              <w:r>
                <w:rPr>
                  <w:rFonts w:ascii="Arial" w:cs="Arial" w:eastAsia="Arial" w:hAnsi="Arial"/>
                  <w:b/>
                  <w:bCs/>
                  <w:color w:val="c9a227"/>
                  <w:sz w:val="12"/>
                  <w:szCs w:val="12"/>
                  <w:u w:val="single"/>
                </w:rPr>
                <w:t xml:space="preserve">https://doi.org/10.1016/S0140-6736(13)62631-8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Health workforce requirements for universal health coverage and the Sustainable Development Goals.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ruxffy91pdapgl4w2octv">
              <w:r>
                <w:rPr>
                  <w:rFonts w:ascii="Arial" w:cs="Arial" w:eastAsia="Arial" w:hAnsi="Arial"/>
                  <w:b/>
                  <w:bCs/>
                  <w:color w:val="c9a227"/>
                  <w:sz w:val="12"/>
                  <w:szCs w:val="12"/>
                  <w:u w:val="single"/>
                </w:rPr>
                <w:t xml:space="preserve">https://iris.who.int/handle/10665/250330</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3.4 — Performance Appraisal System</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Human resources for health: overview.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kqrkdxcxb6o7oszodt7my">
              <w:r>
                <w:rPr>
                  <w:rFonts w:ascii="Arial" w:cs="Arial" w:eastAsia="Arial" w:hAnsi="Arial"/>
                  <w:b/>
                  <w:bCs/>
                  <w:color w:val="c9a227"/>
                  <w:sz w:val="12"/>
                  <w:szCs w:val="12"/>
                  <w:u w:val="single"/>
                </w:rPr>
                <w:t xml:space="preserve">https://www.who.int/health-topics/health-workforce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Buchan J, Aiken L. Solving nursing shortages: a common priority. J Clin Nurs. 2008;17(24):3262-3268.</w:t>
            </w:r>
          </w:p>
          <w:p>
            <w:pPr>
              <w:spacing w:after="36" w:before="0"/>
            </w:pPr>
            <w:r>
              <w:rPr>
                <w:rFonts w:ascii="Arial" w:cs="Arial" w:eastAsia="Arial" w:hAnsi="Arial"/>
                <w:b/>
                <w:bCs/>
                <w:i w:val="false"/>
                <w:iCs w:val="false"/>
                <w:caps w:val="false"/>
                <w:color w:val="6b778c"/>
                <w:sz w:val="12"/>
                <w:szCs w:val="12"/>
              </w:rPr>
              <w:t xml:space="preserve">URL: </w:t>
            </w:r>
            <w:hyperlink w:history="1" r:id="rIdajb0mnbzoqbt_8rodvufq">
              <w:r>
                <w:rPr>
                  <w:rFonts w:ascii="Arial" w:cs="Arial" w:eastAsia="Arial" w:hAnsi="Arial"/>
                  <w:b/>
                  <w:bCs/>
                  <w:color w:val="c9a227"/>
                  <w:sz w:val="12"/>
                  <w:szCs w:val="12"/>
                  <w:u w:val="single"/>
                </w:rPr>
                <w:t xml:space="preserve">https://doi.org/10.1111/j.1365-2702.2008.02636.x</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Federation for Medical Education. Postgraduate Medical Education: WFME Global Standards for Quality Improvement. Copenhagen: WFME; 2015.</w:t>
            </w:r>
          </w:p>
          <w:p>
            <w:pPr>
              <w:spacing w:after="36" w:before="0"/>
            </w:pPr>
            <w:r>
              <w:rPr>
                <w:rFonts w:ascii="Arial" w:cs="Arial" w:eastAsia="Arial" w:hAnsi="Arial"/>
                <w:b/>
                <w:bCs/>
                <w:i w:val="false"/>
                <w:iCs w:val="false"/>
                <w:caps w:val="false"/>
                <w:color w:val="6b778c"/>
                <w:sz w:val="12"/>
                <w:szCs w:val="12"/>
              </w:rPr>
              <w:t xml:space="preserve">URL: </w:t>
            </w:r>
            <w:hyperlink w:history="1" r:id="rIdcsc41ojptuerfjia-ugnz">
              <w:r>
                <w:rPr>
                  <w:rFonts w:ascii="Arial" w:cs="Arial" w:eastAsia="Arial" w:hAnsi="Arial"/>
                  <w:b/>
                  <w:bCs/>
                  <w:color w:val="c9a227"/>
                  <w:sz w:val="12"/>
                  <w:szCs w:val="12"/>
                  <w:u w:val="single"/>
                </w:rPr>
                <w:t xml:space="preserve">https://wfme.org/standards/pgme/</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3.5 — Continuing Professional Development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Transforming and scaling up health professionals’ education and training. Geneva: WHO; 2013.</w:t>
            </w:r>
          </w:p>
          <w:p>
            <w:pPr>
              <w:spacing w:after="36" w:before="0"/>
            </w:pPr>
            <w:r>
              <w:rPr>
                <w:rFonts w:ascii="Arial" w:cs="Arial" w:eastAsia="Arial" w:hAnsi="Arial"/>
                <w:b/>
                <w:bCs/>
                <w:i w:val="false"/>
                <w:iCs w:val="false"/>
                <w:caps w:val="false"/>
                <w:color w:val="6b778c"/>
                <w:sz w:val="12"/>
                <w:szCs w:val="12"/>
              </w:rPr>
              <w:t xml:space="preserve">URL: </w:t>
            </w:r>
            <w:hyperlink w:history="1" r:id="rIduou-mwgagsbsd4cron4nz">
              <w:r>
                <w:rPr>
                  <w:rFonts w:ascii="Arial" w:cs="Arial" w:eastAsia="Arial" w:hAnsi="Arial"/>
                  <w:b/>
                  <w:bCs/>
                  <w:color w:val="c9a227"/>
                  <w:sz w:val="12"/>
                  <w:szCs w:val="12"/>
                  <w:u w:val="single"/>
                </w:rPr>
                <w:t xml:space="preserve">https://iris.who.int/handle/10665/93635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Federation for Medical Education. Continuing Professional Development of Medical Doctors: WFME Global Standards for Quality Improvement. Copenhagen: WFME; 2003.</w:t>
            </w:r>
          </w:p>
          <w:p>
            <w:pPr>
              <w:spacing w:after="36" w:before="0"/>
            </w:pPr>
            <w:r>
              <w:rPr>
                <w:rFonts w:ascii="Arial" w:cs="Arial" w:eastAsia="Arial" w:hAnsi="Arial"/>
                <w:b/>
                <w:bCs/>
                <w:i w:val="false"/>
                <w:iCs w:val="false"/>
                <w:caps w:val="false"/>
                <w:color w:val="6b778c"/>
                <w:sz w:val="12"/>
                <w:szCs w:val="12"/>
              </w:rPr>
              <w:t xml:space="preserve">URL: </w:t>
            </w:r>
            <w:hyperlink w:history="1" r:id="rId1kg9l-loac4mhbsmlsgms">
              <w:r>
                <w:rPr>
                  <w:rFonts w:ascii="Arial" w:cs="Arial" w:eastAsia="Arial" w:hAnsi="Arial"/>
                  <w:b/>
                  <w:bCs/>
                  <w:color w:val="c9a227"/>
                  <w:sz w:val="12"/>
                  <w:szCs w:val="12"/>
                  <w:u w:val="single"/>
                </w:rPr>
                <w:t xml:space="preserve">https://wfme.org/standards/cpd/</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Davis D, O’Brien MA, Freemantle N, et al. Impact of formal continuing medical education. JAMA. 1999;282(9):867-874.</w:t>
            </w:r>
          </w:p>
          <w:p>
            <w:pPr>
              <w:spacing w:after="36" w:before="0"/>
            </w:pPr>
            <w:r>
              <w:rPr>
                <w:rFonts w:ascii="Arial" w:cs="Arial" w:eastAsia="Arial" w:hAnsi="Arial"/>
                <w:b/>
                <w:bCs/>
                <w:i w:val="false"/>
                <w:iCs w:val="false"/>
                <w:caps w:val="false"/>
                <w:color w:val="6b778c"/>
                <w:sz w:val="12"/>
                <w:szCs w:val="12"/>
              </w:rPr>
              <w:t xml:space="preserve">URL: </w:t>
            </w:r>
            <w:hyperlink w:history="1" r:id="rIda5ggxqrsvsb-usrsg53qf">
              <w:r>
                <w:rPr>
                  <w:rFonts w:ascii="Arial" w:cs="Arial" w:eastAsia="Arial" w:hAnsi="Arial"/>
                  <w:b/>
                  <w:bCs/>
                  <w:color w:val="c9a227"/>
                  <w:sz w:val="12"/>
                  <w:szCs w:val="12"/>
                  <w:u w:val="single"/>
                </w:rPr>
                <w:t xml:space="preserve">https://doi.org/10.1001/jama.282.9.867</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3.6 — Occupational Health and Staff Safety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Health worker occupational health: guidance for the health sector.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ig7jfmdv0h2ntnvlclzmh">
              <w:r>
                <w:rPr>
                  <w:rFonts w:ascii="Arial" w:cs="Arial" w:eastAsia="Arial" w:hAnsi="Arial"/>
                  <w:b/>
                  <w:bCs/>
                  <w:color w:val="c9a227"/>
                  <w:sz w:val="12"/>
                  <w:szCs w:val="12"/>
                  <w:u w:val="single"/>
                </w:rPr>
                <w:t xml:space="preserve">https://www.who.int/publications/i/item/9789240012455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Labour Organization / World Health Organization. Joint ILO/WHO guidelines on health services and HIV/AIDS (occupational exposure provisions). Geneva: ILO/WHO; 2005.</w:t>
            </w:r>
          </w:p>
          <w:p>
            <w:pPr>
              <w:spacing w:after="36" w:before="0"/>
            </w:pPr>
            <w:r>
              <w:rPr>
                <w:rFonts w:ascii="Arial" w:cs="Arial" w:eastAsia="Arial" w:hAnsi="Arial"/>
                <w:b/>
                <w:bCs/>
                <w:i w:val="false"/>
                <w:iCs w:val="false"/>
                <w:caps w:val="false"/>
                <w:color w:val="6b778c"/>
                <w:sz w:val="12"/>
                <w:szCs w:val="12"/>
              </w:rPr>
              <w:t xml:space="preserve">URL: </w:t>
            </w:r>
            <w:hyperlink w:history="1" r:id="rIdvs5_5vmc39uoxs0mueuco">
              <w:r>
                <w:rPr>
                  <w:rFonts w:ascii="Arial" w:cs="Arial" w:eastAsia="Arial" w:hAnsi="Arial"/>
                  <w:b/>
                  <w:bCs/>
                  <w:color w:val="c9a227"/>
                  <w:sz w:val="12"/>
                  <w:szCs w:val="12"/>
                  <w:u w:val="single"/>
                </w:rPr>
                <w:t xml:space="preserve">https://www.who.int/publications/i/item/9221170018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Framework guidelines for addressing workplace violence in the health sector. Geneva: WHO/ILO/ICN/PSI; 2002.</w:t>
            </w:r>
          </w:p>
          <w:p>
            <w:pPr>
              <w:spacing w:after="36" w:before="0"/>
            </w:pPr>
            <w:r>
              <w:rPr>
                <w:rFonts w:ascii="Arial" w:cs="Arial" w:eastAsia="Arial" w:hAnsi="Arial"/>
                <w:b/>
                <w:bCs/>
                <w:i w:val="false"/>
                <w:iCs w:val="false"/>
                <w:caps w:val="false"/>
                <w:color w:val="6b778c"/>
                <w:sz w:val="12"/>
                <w:szCs w:val="12"/>
              </w:rPr>
              <w:t xml:space="preserve">URL: </w:t>
            </w:r>
            <w:hyperlink w:history="1" r:id="rIdaotemyy0jh8leslcdosox">
              <w:r>
                <w:rPr>
                  <w:rFonts w:ascii="Arial" w:cs="Arial" w:eastAsia="Arial" w:hAnsi="Arial"/>
                  <w:b/>
                  <w:bCs/>
                  <w:color w:val="c9a227"/>
                  <w:sz w:val="12"/>
                  <w:szCs w:val="12"/>
                  <w:u w:val="single"/>
                </w:rPr>
                <w:t xml:space="preserve">https://www.who.int/publications/i/item/9221134466</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3.7 — Workforce Planning and Succession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strategy on human resources for health: Workforce 2030.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ff7zqc7lkwxbyxj18cvnf">
              <w:r>
                <w:rPr>
                  <w:rFonts w:ascii="Arial" w:cs="Arial" w:eastAsia="Arial" w:hAnsi="Arial"/>
                  <w:b/>
                  <w:bCs/>
                  <w:color w:val="c9a227"/>
                  <w:sz w:val="12"/>
                  <w:szCs w:val="12"/>
                  <w:u w:val="single"/>
                </w:rPr>
                <w:t xml:space="preserve">https://www.who.int/publications/i/item/9789241511131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Health workforce requirements for universal health coverage and the Sustainable Development Goals.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flq_84acm52wov3vuzglq">
              <w:r>
                <w:rPr>
                  <w:rFonts w:ascii="Arial" w:cs="Arial" w:eastAsia="Arial" w:hAnsi="Arial"/>
                  <w:b/>
                  <w:bCs/>
                  <w:color w:val="c9a227"/>
                  <w:sz w:val="12"/>
                  <w:szCs w:val="12"/>
                  <w:u w:val="single"/>
                </w:rPr>
                <w:t xml:space="preserve">https://iris.who.int/handle/10665/250330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Rothwell WJ, Kazanas HC. Effective Succession Planning: Ensuring Leadership Continuity. 5th ed. New York: AMACOM; 2015.</w:t>
            </w:r>
          </w:p>
          <w:p>
            <w:pPr>
              <w:spacing w:after="36" w:before="0"/>
            </w:pPr>
            <w:r>
              <w:rPr>
                <w:rFonts w:ascii="Arial" w:cs="Arial" w:eastAsia="Arial" w:hAnsi="Arial"/>
                <w:b/>
                <w:bCs/>
                <w:i w:val="false"/>
                <w:iCs w:val="false"/>
                <w:caps w:val="false"/>
                <w:color w:val="6b778c"/>
                <w:sz w:val="12"/>
                <w:szCs w:val="12"/>
              </w:rPr>
              <w:t xml:space="preserve">URL: </w:t>
            </w:r>
            <w:hyperlink w:history="1" r:id="rIdbrwcrw_a4tdpoyvuwf4nf">
              <w:r>
                <w:rPr>
                  <w:rFonts w:ascii="Arial" w:cs="Arial" w:eastAsia="Arial" w:hAnsi="Arial"/>
                  <w:b/>
                  <w:bCs/>
                  <w:color w:val="c9a227"/>
                  <w:sz w:val="12"/>
                  <w:szCs w:val="12"/>
                  <w:u w:val="single"/>
                </w:rPr>
                <w:t xml:space="preserve">https://www.amanet.org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3.8 — Staff Wellbeing and Mental Health Support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Mental health at work: policy brief. Geneva: WHO; 2022.</w:t>
            </w:r>
          </w:p>
          <w:p>
            <w:pPr>
              <w:spacing w:after="36" w:before="0"/>
            </w:pPr>
            <w:r>
              <w:rPr>
                <w:rFonts w:ascii="Arial" w:cs="Arial" w:eastAsia="Arial" w:hAnsi="Arial"/>
                <w:b/>
                <w:bCs/>
                <w:i w:val="false"/>
                <w:iCs w:val="false"/>
                <w:caps w:val="false"/>
                <w:color w:val="6b778c"/>
                <w:sz w:val="12"/>
                <w:szCs w:val="12"/>
              </w:rPr>
              <w:t xml:space="preserve">URL: </w:t>
            </w:r>
            <w:hyperlink w:history="1" r:id="rIdpg0croexq9etvudv2jkuh">
              <w:r>
                <w:rPr>
                  <w:rFonts w:ascii="Arial" w:cs="Arial" w:eastAsia="Arial" w:hAnsi="Arial"/>
                  <w:b/>
                  <w:bCs/>
                  <w:color w:val="c9a227"/>
                  <w:sz w:val="12"/>
                  <w:szCs w:val="12"/>
                  <w:u w:val="single"/>
                </w:rPr>
                <w:t xml:space="preserve">https://www.who.int/publications/i/item/9789240057944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Maslach C, Leiter MP. Understanding the burnout experience: recent research and its implications for psychiatry. World Psychiatry. 2016;15(2):103-111.</w:t>
            </w:r>
          </w:p>
          <w:p>
            <w:pPr>
              <w:spacing w:after="36" w:before="0"/>
            </w:pPr>
            <w:r>
              <w:rPr>
                <w:rFonts w:ascii="Arial" w:cs="Arial" w:eastAsia="Arial" w:hAnsi="Arial"/>
                <w:b/>
                <w:bCs/>
                <w:i w:val="false"/>
                <w:iCs w:val="false"/>
                <w:caps w:val="false"/>
                <w:color w:val="6b778c"/>
                <w:sz w:val="12"/>
                <w:szCs w:val="12"/>
              </w:rPr>
              <w:t xml:space="preserve">URL: </w:t>
            </w:r>
            <w:hyperlink w:history="1" r:id="rIdjhiwfasg-kcsmfl0q8dhx">
              <w:r>
                <w:rPr>
                  <w:rFonts w:ascii="Arial" w:cs="Arial" w:eastAsia="Arial" w:hAnsi="Arial"/>
                  <w:b/>
                  <w:bCs/>
                  <w:color w:val="c9a227"/>
                  <w:sz w:val="12"/>
                  <w:szCs w:val="12"/>
                  <w:u w:val="single"/>
                </w:rPr>
                <w:t xml:space="preserve">https://doi.org/10.1002/wps.20311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Occupational health: mental health at work.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ldmhgjhv7jdxf37vxmmiw">
              <w:r>
                <w:rPr>
                  <w:rFonts w:ascii="Arial" w:cs="Arial" w:eastAsia="Arial" w:hAnsi="Arial"/>
                  <w:b/>
                  <w:bCs/>
                  <w:color w:val="c9a227"/>
                  <w:sz w:val="12"/>
                  <w:szCs w:val="12"/>
                  <w:u w:val="single"/>
                </w:rPr>
                <w:t xml:space="preserve">https://www.who.int/news-room/fact-sheets/detail/mental-health-at-work</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3.9 — Whistleblowing and Staff Reporting Mechanisms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on preventing early pregnancy and poor reproductive outcomes among adolescents (whistleblowing/reporting principle adapted from institutional accountability frameworks).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pao4z5hdbpwjknx-swwb6">
              <w:r>
                <w:rPr>
                  <w:rFonts w:ascii="Arial" w:cs="Arial" w:eastAsia="Arial" w:hAnsi="Arial"/>
                  <w:b/>
                  <w:bCs/>
                  <w:color w:val="c9a227"/>
                  <w:sz w:val="12"/>
                  <w:szCs w:val="12"/>
                  <w:u w:val="single"/>
                </w:rPr>
                <w:t xml:space="preserve">https://www.who.int/publications/i/item/9789241502214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Council of Europe. Recommendation CM/Rec(2014)7 on the protection of whistleblowers. Strasbourg: Council of Europe; 2014.</w:t>
            </w:r>
          </w:p>
          <w:p>
            <w:pPr>
              <w:spacing w:after="36" w:before="0"/>
            </w:pPr>
            <w:r>
              <w:rPr>
                <w:rFonts w:ascii="Arial" w:cs="Arial" w:eastAsia="Arial" w:hAnsi="Arial"/>
                <w:b/>
                <w:bCs/>
                <w:i w:val="false"/>
                <w:iCs w:val="false"/>
                <w:caps w:val="false"/>
                <w:color w:val="6b778c"/>
                <w:sz w:val="12"/>
                <w:szCs w:val="12"/>
              </w:rPr>
              <w:t xml:space="preserve">URL: </w:t>
            </w:r>
            <w:hyperlink w:history="1" r:id="rIdhd00n8op_ptold8risolu">
              <w:r>
                <w:rPr>
                  <w:rFonts w:ascii="Arial" w:cs="Arial" w:eastAsia="Arial" w:hAnsi="Arial"/>
                  <w:b/>
                  <w:bCs/>
                  <w:color w:val="c9a227"/>
                  <w:sz w:val="12"/>
                  <w:szCs w:val="12"/>
                  <w:u w:val="single"/>
                </w:rPr>
                <w:t xml:space="preserve">https://www.coe.int/en/web/human-rights-rule-of-law/-/protection-of-whistleblowers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Francis R. Report of the Mid Staffordshire NHS Foundation Trust Public Inquiry. London: The Stationery Office; 2013.</w:t>
            </w:r>
          </w:p>
          <w:p>
            <w:pPr>
              <w:spacing w:after="36" w:before="0"/>
            </w:pPr>
            <w:r>
              <w:rPr>
                <w:rFonts w:ascii="Arial" w:cs="Arial" w:eastAsia="Arial" w:hAnsi="Arial"/>
                <w:b/>
                <w:bCs/>
                <w:i w:val="false"/>
                <w:iCs w:val="false"/>
                <w:caps w:val="false"/>
                <w:color w:val="6b778c"/>
                <w:sz w:val="12"/>
                <w:szCs w:val="12"/>
              </w:rPr>
              <w:t xml:space="preserve">URL: </w:t>
            </w:r>
            <w:hyperlink w:history="1" r:id="rIdzbtas37gqzraoy-minxmr">
              <w:r>
                <w:rPr>
                  <w:rFonts w:ascii="Arial" w:cs="Arial" w:eastAsia="Arial" w:hAnsi="Arial"/>
                  <w:b/>
                  <w:bCs/>
                  <w:color w:val="c9a227"/>
                  <w:sz w:val="12"/>
                  <w:szCs w:val="12"/>
                  <w:u w:val="single"/>
                </w:rPr>
                <w:t xml:space="preserve">https://www.gov.uk/government/publications/report-of-the-mid-staffordshire-nhs-foundation-trust-public-inquiry</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3.10 — Volunteer and Student Supervision Framework</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Framework for action on interprofessional education and collaborative practice. Geneva: WHO; 2010.</w:t>
            </w:r>
          </w:p>
          <w:p>
            <w:pPr>
              <w:spacing w:after="36" w:before="0"/>
            </w:pPr>
            <w:r>
              <w:rPr>
                <w:rFonts w:ascii="Arial" w:cs="Arial" w:eastAsia="Arial" w:hAnsi="Arial"/>
                <w:b/>
                <w:bCs/>
                <w:i w:val="false"/>
                <w:iCs w:val="false"/>
                <w:caps w:val="false"/>
                <w:color w:val="6b778c"/>
                <w:sz w:val="12"/>
                <w:szCs w:val="12"/>
              </w:rPr>
              <w:t xml:space="preserve">URL: </w:t>
            </w:r>
            <w:hyperlink w:history="1" r:id="rIdx5mbjkbs4vo8_wbim1fkt">
              <w:r>
                <w:rPr>
                  <w:rFonts w:ascii="Arial" w:cs="Arial" w:eastAsia="Arial" w:hAnsi="Arial"/>
                  <w:b/>
                  <w:bCs/>
                  <w:color w:val="c9a227"/>
                  <w:sz w:val="12"/>
                  <w:szCs w:val="12"/>
                  <w:u w:val="single"/>
                </w:rPr>
                <w:t xml:space="preserve">https://www.who.int/publications/i/item/framework-for-action-on-interprofessional-education-collaborative-practice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Federation for Medical Education. Basic Medical Education: WFME Global Standards for Quality Improvement. Copenhagen: WFME; 2015.</w:t>
            </w:r>
          </w:p>
          <w:p>
            <w:pPr>
              <w:spacing w:after="36" w:before="0"/>
            </w:pPr>
            <w:r>
              <w:rPr>
                <w:rFonts w:ascii="Arial" w:cs="Arial" w:eastAsia="Arial" w:hAnsi="Arial"/>
                <w:b/>
                <w:bCs/>
                <w:i w:val="false"/>
                <w:iCs w:val="false"/>
                <w:caps w:val="false"/>
                <w:color w:val="6b778c"/>
                <w:sz w:val="12"/>
                <w:szCs w:val="12"/>
              </w:rPr>
              <w:t xml:space="preserve">URL: </w:t>
            </w:r>
            <w:hyperlink w:history="1" r:id="rIdiqkbaihu3zbz56oqdtwhc">
              <w:r>
                <w:rPr>
                  <w:rFonts w:ascii="Arial" w:cs="Arial" w:eastAsia="Arial" w:hAnsi="Arial"/>
                  <w:b/>
                  <w:bCs/>
                  <w:color w:val="c9a227"/>
                  <w:sz w:val="12"/>
                  <w:szCs w:val="12"/>
                  <w:u w:val="single"/>
                </w:rPr>
                <w:t xml:space="preserve">https://wfme.org/standards/bme/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 Standards for Hospitals.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wierkywpfxfhwz-usott1">
              <w:r>
                <w:rPr>
                  <w:rFonts w:ascii="Arial" w:cs="Arial" w:eastAsia="Arial" w:hAnsi="Arial"/>
                  <w:b/>
                  <w:bCs/>
                  <w:color w:val="c9a227"/>
                  <w:sz w:val="12"/>
                  <w:szCs w:val="12"/>
                  <w:u w:val="single"/>
                </w:rPr>
                <w:t xml:space="preserve">https://www.jointcommissioninternational.org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3: HRW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35</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Appraisal — performance  </w:t>
            </w:r>
            <w:r>
              <w:rPr>
                <w:rFonts w:ascii="Arial" w:cs="Arial" w:eastAsia="Arial" w:hAnsi="Arial"/>
                <w:b w:val="false"/>
                <w:bCs w:val="false"/>
                <w:i w:val="false"/>
                <w:iCs w:val="false"/>
                <w:caps w:val="false"/>
                <w:color w:val="6b778c"/>
                <w:sz w:val="12"/>
                <w:szCs w:val="12"/>
              </w:rPr>
              <w:t xml:space="preserve">3.4 (p.9)</w:t>
            </w:r>
          </w:p>
          <w:p>
            <w:pPr>
              <w:spacing w:after="10" w:before="0"/>
            </w:pPr>
            <w:r>
              <w:rPr>
                <w:rFonts w:ascii="Arial" w:cs="Arial" w:eastAsia="Arial" w:hAnsi="Arial"/>
                <w:b/>
                <w:bCs/>
                <w:i w:val="false"/>
                <w:iCs w:val="false"/>
                <w:caps w:val="false"/>
                <w:color w:val="14335c"/>
                <w:sz w:val="13"/>
                <w:szCs w:val="13"/>
              </w:rPr>
              <w:t xml:space="preserve">Background check — volunteers/students  </w:t>
            </w:r>
            <w:r>
              <w:rPr>
                <w:rFonts w:ascii="Arial" w:cs="Arial" w:eastAsia="Arial" w:hAnsi="Arial"/>
                <w:b w:val="false"/>
                <w:bCs w:val="false"/>
                <w:i w:val="false"/>
                <w:iCs w:val="false"/>
                <w:caps w:val="false"/>
                <w:color w:val="6b778c"/>
                <w:sz w:val="12"/>
                <w:szCs w:val="12"/>
              </w:rPr>
              <w:t xml:space="preserve">3.10 (p.21)</w:t>
            </w:r>
          </w:p>
          <w:p>
            <w:pPr>
              <w:spacing w:after="10" w:before="0"/>
            </w:pPr>
            <w:r>
              <w:rPr>
                <w:rFonts w:ascii="Arial" w:cs="Arial" w:eastAsia="Arial" w:hAnsi="Arial"/>
                <w:b/>
                <w:bCs/>
                <w:i w:val="false"/>
                <w:iCs w:val="false"/>
                <w:caps w:val="false"/>
                <w:color w:val="14335c"/>
                <w:sz w:val="13"/>
                <w:szCs w:val="13"/>
              </w:rPr>
              <w:t xml:space="preserve">Burnout recognition training  </w:t>
            </w:r>
            <w:r>
              <w:rPr>
                <w:rFonts w:ascii="Arial" w:cs="Arial" w:eastAsia="Arial" w:hAnsi="Arial"/>
                <w:b w:val="false"/>
                <w:bCs w:val="false"/>
                <w:i w:val="false"/>
                <w:iCs w:val="false"/>
                <w:caps w:val="false"/>
                <w:color w:val="6b778c"/>
                <w:sz w:val="12"/>
                <w:szCs w:val="12"/>
              </w:rPr>
              <w:t xml:space="preserve">3.8 (p.17)</w:t>
            </w:r>
          </w:p>
          <w:p>
            <w:pPr>
              <w:spacing w:after="10" w:before="0"/>
            </w:pPr>
            <w:r>
              <w:rPr>
                <w:rFonts w:ascii="Arial" w:cs="Arial" w:eastAsia="Arial" w:hAnsi="Arial"/>
                <w:b/>
                <w:bCs/>
                <w:i w:val="false"/>
                <w:iCs w:val="false"/>
                <w:caps w:val="false"/>
                <w:color w:val="14335c"/>
                <w:sz w:val="13"/>
                <w:szCs w:val="13"/>
              </w:rPr>
              <w:t xml:space="preserve">Confidential reporting channel  </w:t>
            </w:r>
            <w:r>
              <w:rPr>
                <w:rFonts w:ascii="Arial" w:cs="Arial" w:eastAsia="Arial" w:hAnsi="Arial"/>
                <w:b w:val="false"/>
                <w:bCs w:val="false"/>
                <w:i w:val="false"/>
                <w:iCs w:val="false"/>
                <w:caps w:val="false"/>
                <w:color w:val="6b778c"/>
                <w:sz w:val="12"/>
                <w:szCs w:val="12"/>
              </w:rPr>
              <w:t xml:space="preserve">3.9 (p.19)</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CPD — continuing professional development  </w:t>
            </w:r>
            <w:r>
              <w:rPr>
                <w:rFonts w:ascii="Arial" w:cs="Arial" w:eastAsia="Arial" w:hAnsi="Arial"/>
                <w:b w:val="false"/>
                <w:bCs w:val="false"/>
                <w:i w:val="false"/>
                <w:iCs w:val="false"/>
                <w:caps w:val="false"/>
                <w:color w:val="6b778c"/>
                <w:sz w:val="12"/>
                <w:szCs w:val="12"/>
              </w:rPr>
              <w:t xml:space="preserve">3.5 (p.11)</w:t>
            </w:r>
          </w:p>
          <w:p>
            <w:pPr>
              <w:spacing w:after="10" w:before="0"/>
            </w:pPr>
            <w:r>
              <w:rPr>
                <w:rFonts w:ascii="Arial" w:cs="Arial" w:eastAsia="Arial" w:hAnsi="Arial"/>
                <w:b/>
                <w:bCs/>
                <w:i w:val="false"/>
                <w:iCs w:val="false"/>
                <w:caps w:val="false"/>
                <w:color w:val="14335c"/>
                <w:sz w:val="13"/>
                <w:szCs w:val="13"/>
              </w:rPr>
              <w:t xml:space="preserve">Credentialing file  </w:t>
            </w:r>
            <w:r>
              <w:rPr>
                <w:rFonts w:ascii="Arial" w:cs="Arial" w:eastAsia="Arial" w:hAnsi="Arial"/>
                <w:b w:val="false"/>
                <w:bCs w:val="false"/>
                <w:i w:val="false"/>
                <w:iCs w:val="false"/>
                <w:caps w:val="false"/>
                <w:color w:val="6b778c"/>
                <w:sz w:val="12"/>
                <w:szCs w:val="12"/>
              </w:rPr>
              <w:t xml:space="preserve">3.1 (p.3)</w:t>
            </w:r>
          </w:p>
          <w:p>
            <w:pPr>
              <w:spacing w:after="10" w:before="0"/>
            </w:pPr>
            <w:r>
              <w:rPr>
                <w:rFonts w:ascii="Arial" w:cs="Arial" w:eastAsia="Arial" w:hAnsi="Arial"/>
                <w:b/>
                <w:bCs/>
                <w:i w:val="false"/>
                <w:iCs w:val="false"/>
                <w:caps w:val="false"/>
                <w:color w:val="14335c"/>
                <w:sz w:val="13"/>
                <w:szCs w:val="13"/>
              </w:rPr>
              <w:t xml:space="preserve">Escalation — understaffed shift  </w:t>
            </w:r>
            <w:r>
              <w:rPr>
                <w:rFonts w:ascii="Arial" w:cs="Arial" w:eastAsia="Arial" w:hAnsi="Arial"/>
                <w:b w:val="false"/>
                <w:bCs w:val="false"/>
                <w:i w:val="false"/>
                <w:iCs w:val="false"/>
                <w:caps w:val="false"/>
                <w:color w:val="6b778c"/>
                <w:sz w:val="12"/>
                <w:szCs w:val="12"/>
              </w:rPr>
              <w:t xml:space="preserve">3.3 (p.7)</w:t>
            </w:r>
          </w:p>
          <w:p>
            <w:pPr>
              <w:spacing w:after="10" w:before="0"/>
            </w:pPr>
            <w:r>
              <w:rPr>
                <w:rFonts w:ascii="Arial" w:cs="Arial" w:eastAsia="Arial" w:hAnsi="Arial"/>
                <w:b/>
                <w:bCs/>
                <w:i w:val="false"/>
                <w:iCs w:val="false"/>
                <w:caps w:val="false"/>
                <w:color w:val="14335c"/>
                <w:sz w:val="13"/>
                <w:szCs w:val="13"/>
              </w:rPr>
              <w:t xml:space="preserve">Exposure protocol — bloodborne pathogen  </w:t>
            </w:r>
            <w:r>
              <w:rPr>
                <w:rFonts w:ascii="Arial" w:cs="Arial" w:eastAsia="Arial" w:hAnsi="Arial"/>
                <w:b w:val="false"/>
                <w:bCs w:val="false"/>
                <w:i w:val="false"/>
                <w:iCs w:val="false"/>
                <w:caps w:val="false"/>
                <w:color w:val="6b778c"/>
                <w:sz w:val="12"/>
                <w:szCs w:val="12"/>
              </w:rPr>
              <w:t xml:space="preserve">3.6 (p.13)</w:t>
            </w:r>
          </w:p>
          <w:p>
            <w:pPr>
              <w:spacing w:after="10" w:before="0"/>
            </w:pPr>
            <w:r>
              <w:rPr>
                <w:rFonts w:ascii="Arial" w:cs="Arial" w:eastAsia="Arial" w:hAnsi="Arial"/>
                <w:b/>
                <w:bCs/>
                <w:i w:val="false"/>
                <w:iCs w:val="false"/>
                <w:caps w:val="false"/>
                <w:color w:val="14335c"/>
                <w:sz w:val="13"/>
                <w:szCs w:val="13"/>
              </w:rPr>
              <w:t xml:space="preserve">IPC training (link to Std 4.8)  </w:t>
            </w:r>
            <w:r>
              <w:rPr>
                <w:rFonts w:ascii="Arial" w:cs="Arial" w:eastAsia="Arial" w:hAnsi="Arial"/>
                <w:b w:val="false"/>
                <w:bCs w:val="false"/>
                <w:i w:val="false"/>
                <w:iCs w:val="false"/>
                <w:caps w:val="false"/>
                <w:color w:val="6b778c"/>
                <w:sz w:val="12"/>
                <w:szCs w:val="12"/>
              </w:rPr>
              <w:t xml:space="preserve">3.2 (p.5)</w:t>
            </w:r>
          </w:p>
          <w:p>
            <w:pPr>
              <w:spacing w:after="10" w:before="0"/>
            </w:pPr>
            <w:r>
              <w:rPr>
                <w:rFonts w:ascii="Arial" w:cs="Arial" w:eastAsia="Arial" w:hAnsi="Arial"/>
                <w:b/>
                <w:bCs/>
                <w:i w:val="false"/>
                <w:iCs w:val="false"/>
                <w:caps w:val="false"/>
                <w:color w:val="14335c"/>
                <w:sz w:val="13"/>
                <w:szCs w:val="13"/>
              </w:rPr>
              <w:t xml:space="preserve">Induction — mandatory  </w:t>
            </w:r>
            <w:r>
              <w:rPr>
                <w:rFonts w:ascii="Arial" w:cs="Arial" w:eastAsia="Arial" w:hAnsi="Arial"/>
                <w:b w:val="false"/>
                <w:bCs w:val="false"/>
                <w:i w:val="false"/>
                <w:iCs w:val="false"/>
                <w:caps w:val="false"/>
                <w:color w:val="6b778c"/>
                <w:sz w:val="12"/>
                <w:szCs w:val="12"/>
              </w:rPr>
              <w:t xml:space="preserve">3.2 (p.5)</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3.1–3.5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3.6–3.8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3.9–3.10 (p.19–22)</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Non-retaliation guarantee  </w:t>
            </w:r>
            <w:r>
              <w:rPr>
                <w:rFonts w:ascii="Arial" w:cs="Arial" w:eastAsia="Arial" w:hAnsi="Arial"/>
                <w:b w:val="false"/>
                <w:bCs w:val="false"/>
                <w:i w:val="false"/>
                <w:iCs w:val="false"/>
                <w:caps w:val="false"/>
                <w:color w:val="6b778c"/>
                <w:sz w:val="12"/>
                <w:szCs w:val="12"/>
              </w:rPr>
              <w:t xml:space="preserve">3.9 (p.19)</w:t>
            </w:r>
          </w:p>
          <w:p>
            <w:pPr>
              <w:spacing w:after="10" w:before="0"/>
            </w:pPr>
            <w:r>
              <w:rPr>
                <w:rFonts w:ascii="Arial" w:cs="Arial" w:eastAsia="Arial" w:hAnsi="Arial"/>
                <w:b/>
                <w:bCs/>
                <w:i w:val="false"/>
                <w:iCs w:val="false"/>
                <w:caps w:val="false"/>
                <w:color w:val="14335c"/>
                <w:sz w:val="13"/>
                <w:szCs w:val="13"/>
              </w:rPr>
              <w:t xml:space="preserve">Occupational health programme  </w:t>
            </w:r>
            <w:r>
              <w:rPr>
                <w:rFonts w:ascii="Arial" w:cs="Arial" w:eastAsia="Arial" w:hAnsi="Arial"/>
                <w:b w:val="false"/>
                <w:bCs w:val="false"/>
                <w:i w:val="false"/>
                <w:iCs w:val="false"/>
                <w:caps w:val="false"/>
                <w:color w:val="6b778c"/>
                <w:sz w:val="12"/>
                <w:szCs w:val="12"/>
              </w:rPr>
              <w:t xml:space="preserve">3.6 (p.13)</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Primary-source verification  </w:t>
            </w:r>
            <w:r>
              <w:rPr>
                <w:rFonts w:ascii="Arial" w:cs="Arial" w:eastAsia="Arial" w:hAnsi="Arial"/>
                <w:b w:val="false"/>
                <w:bCs w:val="false"/>
                <w:i w:val="false"/>
                <w:iCs w:val="false"/>
                <w:caps w:val="false"/>
                <w:color w:val="6b778c"/>
                <w:sz w:val="12"/>
                <w:szCs w:val="12"/>
              </w:rPr>
              <w:t xml:space="preserve">3.1 (p.3)</w:t>
            </w:r>
          </w:p>
          <w:p>
            <w:pPr>
              <w:spacing w:after="10" w:before="0"/>
            </w:pPr>
            <w:r>
              <w:rPr>
                <w:rFonts w:ascii="Arial" w:cs="Arial" w:eastAsia="Arial" w:hAnsi="Arial"/>
                <w:b/>
                <w:bCs/>
                <w:i w:val="false"/>
                <w:iCs w:val="false"/>
                <w:caps w:val="false"/>
                <w:color w:val="14335c"/>
                <w:sz w:val="13"/>
                <w:szCs w:val="13"/>
              </w:rPr>
              <w:t xml:space="preserve">Recruitment / labour market planning  </w:t>
            </w:r>
            <w:r>
              <w:rPr>
                <w:rFonts w:ascii="Arial" w:cs="Arial" w:eastAsia="Arial" w:hAnsi="Arial"/>
                <w:b w:val="false"/>
                <w:bCs w:val="false"/>
                <w:i w:val="false"/>
                <w:iCs w:val="false"/>
                <w:caps w:val="false"/>
                <w:color w:val="6b778c"/>
                <w:sz w:val="12"/>
                <w:szCs w:val="12"/>
              </w:rPr>
              <w:t xml:space="preserve">3.7 (p.15)</w:t>
            </w:r>
          </w:p>
          <w:p>
            <w:pPr>
              <w:spacing w:after="10" w:before="0"/>
            </w:pPr>
            <w:r>
              <w:rPr>
                <w:rFonts w:ascii="Arial" w:cs="Arial" w:eastAsia="Arial" w:hAnsi="Arial"/>
                <w:b/>
                <w:bCs/>
                <w:i w:val="false"/>
                <w:iCs w:val="false"/>
                <w:caps w:val="false"/>
                <w:color w:val="14335c"/>
                <w:sz w:val="13"/>
                <w:szCs w:val="13"/>
              </w:rPr>
              <w:t xml:space="preserve">Re-verification schedule — licensure  </w:t>
            </w:r>
            <w:r>
              <w:rPr>
                <w:rFonts w:ascii="Arial" w:cs="Arial" w:eastAsia="Arial" w:hAnsi="Arial"/>
                <w:b w:val="false"/>
                <w:bCs w:val="false"/>
                <w:i w:val="false"/>
                <w:iCs w:val="false"/>
                <w:caps w:val="false"/>
                <w:color w:val="6b778c"/>
                <w:sz w:val="12"/>
                <w:szCs w:val="12"/>
              </w:rPr>
              <w:t xml:space="preserve">3.1 (p.3)</w:t>
            </w:r>
          </w:p>
          <w:p>
            <w:pPr>
              <w:spacing w:after="10" w:before="0"/>
            </w:pPr>
            <w:r>
              <w:rPr>
                <w:rFonts w:ascii="Arial" w:cs="Arial" w:eastAsia="Arial" w:hAnsi="Arial"/>
                <w:b/>
                <w:bCs/>
                <w:i w:val="false"/>
                <w:iCs w:val="false"/>
                <w:caps w:val="false"/>
                <w:color w:val="14335c"/>
                <w:sz w:val="13"/>
                <w:szCs w:val="13"/>
              </w:rPr>
              <w:t xml:space="preserve">Scope of practice  </w:t>
            </w:r>
            <w:r>
              <w:rPr>
                <w:rFonts w:ascii="Arial" w:cs="Arial" w:eastAsia="Arial" w:hAnsi="Arial"/>
                <w:b w:val="false"/>
                <w:bCs w:val="false"/>
                <w:i w:val="false"/>
                <w:iCs w:val="false"/>
                <w:caps w:val="false"/>
                <w:color w:val="6b778c"/>
                <w:sz w:val="12"/>
                <w:szCs w:val="12"/>
              </w:rPr>
              <w:t xml:space="preserve">3.1 (p.3)</w:t>
            </w:r>
          </w:p>
          <w:p>
            <w:pPr>
              <w:spacing w:after="10" w:before="0"/>
            </w:pPr>
            <w:r>
              <w:rPr>
                <w:rFonts w:ascii="Arial" w:cs="Arial" w:eastAsia="Arial" w:hAnsi="Arial"/>
                <w:b/>
                <w:bCs/>
                <w:i w:val="false"/>
                <w:iCs w:val="false"/>
                <w:caps w:val="false"/>
                <w:color w:val="14335c"/>
                <w:sz w:val="13"/>
                <w:szCs w:val="13"/>
              </w:rPr>
              <w:t xml:space="preserve">Skill mix  </w:t>
            </w:r>
            <w:r>
              <w:rPr>
                <w:rFonts w:ascii="Arial" w:cs="Arial" w:eastAsia="Arial" w:hAnsi="Arial"/>
                <w:b w:val="false"/>
                <w:bCs w:val="false"/>
                <w:i w:val="false"/>
                <w:iCs w:val="false"/>
                <w:caps w:val="false"/>
                <w:color w:val="6b778c"/>
                <w:sz w:val="12"/>
                <w:szCs w:val="12"/>
              </w:rPr>
              <w:t xml:space="preserve">3.3 (p.7)</w:t>
            </w:r>
          </w:p>
          <w:p>
            <w:pPr>
              <w:spacing w:after="10" w:before="0"/>
            </w:pPr>
            <w:r>
              <w:rPr>
                <w:rFonts w:ascii="Arial" w:cs="Arial" w:eastAsia="Arial" w:hAnsi="Arial"/>
                <w:b/>
                <w:bCs/>
                <w:i w:val="false"/>
                <w:iCs w:val="false"/>
                <w:caps w:val="false"/>
                <w:color w:val="14335c"/>
                <w:sz w:val="13"/>
                <w:szCs w:val="13"/>
              </w:rPr>
              <w:t xml:space="preserve">Staffing methodology  </w:t>
            </w:r>
            <w:r>
              <w:rPr>
                <w:rFonts w:ascii="Arial" w:cs="Arial" w:eastAsia="Arial" w:hAnsi="Arial"/>
                <w:b w:val="false"/>
                <w:bCs w:val="false"/>
                <w:i w:val="false"/>
                <w:iCs w:val="false"/>
                <w:caps w:val="false"/>
                <w:color w:val="6b778c"/>
                <w:sz w:val="12"/>
                <w:szCs w:val="12"/>
              </w:rPr>
              <w:t xml:space="preserve">3.3 (p.7)</w:t>
            </w:r>
          </w:p>
          <w:p>
            <w:pPr>
              <w:spacing w:after="10" w:before="0"/>
            </w:pPr>
            <w:r>
              <w:rPr>
                <w:rFonts w:ascii="Arial" w:cs="Arial" w:eastAsia="Arial" w:hAnsi="Arial"/>
                <w:b/>
                <w:bCs/>
                <w:i w:val="false"/>
                <w:iCs w:val="false"/>
                <w:caps w:val="false"/>
                <w:color w:val="14335c"/>
                <w:sz w:val="13"/>
                <w:szCs w:val="13"/>
              </w:rPr>
              <w:t xml:space="preserve">Succession plan  </w:t>
            </w:r>
            <w:r>
              <w:rPr>
                <w:rFonts w:ascii="Arial" w:cs="Arial" w:eastAsia="Arial" w:hAnsi="Arial"/>
                <w:b w:val="false"/>
                <w:bCs w:val="false"/>
                <w:i w:val="false"/>
                <w:iCs w:val="false"/>
                <w:caps w:val="false"/>
                <w:color w:val="6b778c"/>
                <w:sz w:val="12"/>
                <w:szCs w:val="12"/>
              </w:rPr>
              <w:t xml:space="preserve">3.7 (p.15)</w:t>
            </w:r>
          </w:p>
          <w:p>
            <w:pPr>
              <w:spacing w:after="10" w:before="0"/>
            </w:pPr>
            <w:r>
              <w:rPr>
                <w:rFonts w:ascii="Arial" w:cs="Arial" w:eastAsia="Arial" w:hAnsi="Arial"/>
                <w:b/>
                <w:bCs/>
                <w:i w:val="false"/>
                <w:iCs w:val="false"/>
                <w:caps w:val="false"/>
                <w:color w:val="14335c"/>
                <w:sz w:val="13"/>
                <w:szCs w:val="13"/>
              </w:rPr>
              <w:t xml:space="preserve">Supervision — named, volunteers/students  </w:t>
            </w:r>
            <w:r>
              <w:rPr>
                <w:rFonts w:ascii="Arial" w:cs="Arial" w:eastAsia="Arial" w:hAnsi="Arial"/>
                <w:b w:val="false"/>
                <w:bCs w:val="false"/>
                <w:i w:val="false"/>
                <w:iCs w:val="false"/>
                <w:caps w:val="false"/>
                <w:color w:val="6b778c"/>
                <w:sz w:val="12"/>
                <w:szCs w:val="12"/>
              </w:rPr>
              <w:t xml:space="preserve">3.10 (p.21)</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Underperformance process  </w:t>
            </w:r>
            <w:r>
              <w:rPr>
                <w:rFonts w:ascii="Arial" w:cs="Arial" w:eastAsia="Arial" w:hAnsi="Arial"/>
                <w:b w:val="false"/>
                <w:bCs w:val="false"/>
                <w:i w:val="false"/>
                <w:iCs w:val="false"/>
                <w:caps w:val="false"/>
                <w:color w:val="6b778c"/>
                <w:sz w:val="12"/>
                <w:szCs w:val="12"/>
              </w:rPr>
              <w:t xml:space="preserve">3.4 (p.9)</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Violence against staff — incident log  </w:t>
            </w:r>
            <w:r>
              <w:rPr>
                <w:rFonts w:ascii="Arial" w:cs="Arial" w:eastAsia="Arial" w:hAnsi="Arial"/>
                <w:b w:val="false"/>
                <w:bCs w:val="false"/>
                <w:i w:val="false"/>
                <w:iCs w:val="false"/>
                <w:caps w:val="false"/>
                <w:color w:val="6b778c"/>
                <w:sz w:val="12"/>
                <w:szCs w:val="12"/>
              </w:rPr>
              <w:t xml:space="preserve">3.6 (p.13)</w:t>
            </w:r>
          </w:p>
          <w:p>
            <w:pPr>
              <w:spacing w:after="10" w:before="0"/>
            </w:pPr>
            <w:r>
              <w:rPr>
                <w:rFonts w:ascii="Arial" w:cs="Arial" w:eastAsia="Arial" w:hAnsi="Arial"/>
                <w:b/>
                <w:bCs/>
                <w:i w:val="false"/>
                <w:iCs w:val="false"/>
                <w:caps w:val="false"/>
                <w:color w:val="14335c"/>
                <w:sz w:val="13"/>
                <w:szCs w:val="13"/>
              </w:rPr>
              <w:t xml:space="preserve">Wellbeing monitoring — survey  </w:t>
            </w:r>
            <w:r>
              <w:rPr>
                <w:rFonts w:ascii="Arial" w:cs="Arial" w:eastAsia="Arial" w:hAnsi="Arial"/>
                <w:b w:val="false"/>
                <w:bCs w:val="false"/>
                <w:i w:val="false"/>
                <w:iCs w:val="false"/>
                <w:caps w:val="false"/>
                <w:color w:val="6b778c"/>
                <w:sz w:val="12"/>
                <w:szCs w:val="12"/>
              </w:rPr>
              <w:t xml:space="preserve">3.8 (p.17)</w:t>
            </w:r>
          </w:p>
          <w:p>
            <w:pPr>
              <w:spacing w:after="10" w:before="0"/>
            </w:pPr>
            <w:r>
              <w:rPr>
                <w:rFonts w:ascii="Arial" w:cs="Arial" w:eastAsia="Arial" w:hAnsi="Arial"/>
                <w:b/>
                <w:bCs/>
                <w:i w:val="false"/>
                <w:iCs w:val="false"/>
                <w:caps w:val="false"/>
                <w:color w:val="14335c"/>
                <w:sz w:val="13"/>
                <w:szCs w:val="13"/>
              </w:rPr>
              <w:t xml:space="preserve">Whistleblowing policy  </w:t>
            </w:r>
            <w:r>
              <w:rPr>
                <w:rFonts w:ascii="Arial" w:cs="Arial" w:eastAsia="Arial" w:hAnsi="Arial"/>
                <w:b w:val="false"/>
                <w:bCs w:val="false"/>
                <w:i w:val="false"/>
                <w:iCs w:val="false"/>
                <w:caps w:val="false"/>
                <w:color w:val="6b778c"/>
                <w:sz w:val="12"/>
                <w:szCs w:val="12"/>
              </w:rPr>
              <w:t xml:space="preserve">3.9 (p.19)</w:t>
            </w:r>
          </w:p>
          <w:p>
            <w:pPr>
              <w:spacing w:after="10" w:before="0"/>
            </w:pPr>
            <w:r>
              <w:rPr>
                <w:rFonts w:ascii="Arial" w:cs="Arial" w:eastAsia="Arial" w:hAnsi="Arial"/>
                <w:b/>
                <w:bCs/>
                <w:i w:val="false"/>
                <w:iCs w:val="false"/>
                <w:caps w:val="false"/>
                <w:color w:val="14335c"/>
                <w:sz w:val="13"/>
                <w:szCs w:val="13"/>
              </w:rPr>
              <w:t xml:space="preserve">Workforce plan  </w:t>
            </w:r>
            <w:r>
              <w:rPr>
                <w:rFonts w:ascii="Arial" w:cs="Arial" w:eastAsia="Arial" w:hAnsi="Arial"/>
                <w:b w:val="false"/>
                <w:bCs w:val="false"/>
                <w:i w:val="false"/>
                <w:iCs w:val="false"/>
                <w:caps w:val="false"/>
                <w:color w:val="6b778c"/>
                <w:sz w:val="12"/>
                <w:szCs w:val="12"/>
              </w:rPr>
              <w:t xml:space="preserve">3.7 (p.15)</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3 — Human Resources &amp; Workforce. Version 2.0. Paris: ASF; 2025.   </w:t>
    </w:r>
    <w:r>
      <w:rPr>
        <w:rFonts w:ascii="Arial" w:cs="Arial" w:eastAsia="Arial" w:hAnsi="Arial"/>
        <w:i/>
        <w:iCs/>
        <w:color w:val="aaaaaa"/>
        <w:sz w:val="16"/>
        <w:szCs w:val="16"/>
      </w:rPr>
      <w:t xml:space="preserve">Ref: ASF-CH3-HRW-v2.0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axuzyj5ljiwu3o4sbq-" Type="http://schemas.openxmlformats.org/officeDocument/2006/relationships/hyperlink" Target="https://france-asf.fr" TargetMode="External"/><Relationship Id="rIdcrfpnzuxg06617i4mzjik" Type="http://schemas.openxmlformats.org/officeDocument/2006/relationships/hyperlink" Target="mailto:info@france-asf.fr" TargetMode="External"/><Relationship Id="rId32twnljmijvjezutp04x1" Type="http://schemas.openxmlformats.org/officeDocument/2006/relationships/hyperlink" Target="https://academy.gmj.ge" TargetMode="External"/><Relationship Id="rIdokpu0ngiz2e5hzmtprzoa" Type="http://schemas.openxmlformats.org/officeDocument/2006/relationships/hyperlink" Target="mailto:info@france-asf.fr" TargetMode="External"/><Relationship Id="rId5hl1wttnttcyawqckxe91" Type="http://schemas.openxmlformats.org/officeDocument/2006/relationships/hyperlink" Target="https://france-asf.fr" TargetMode="External"/><Relationship Id="rIdasodirvmalhckuaewcpwb" Type="http://schemas.openxmlformats.org/officeDocument/2006/relationships/hyperlink" Target="https://academy.gmj.ge" TargetMode="External"/><Relationship Id="rIdutub63puruy8hvvo62uga" Type="http://schemas.openxmlformats.org/officeDocument/2006/relationships/hyperlink" Target="mailto:info@france-asf.fr" TargetMode="External"/><Relationship Id="rIdbc4kvhohnfo5cgjn_ztw4" Type="http://schemas.openxmlformats.org/officeDocument/2006/relationships/hyperlink" Target="https://www.who.int/publications/i/item/9789240010352" TargetMode="External"/><Relationship Id="rIddv90n-rkecdargrvvi85w" Type="http://schemas.openxmlformats.org/officeDocument/2006/relationships/hyperlink" Target="https://www.jointcommissioninternational.org" TargetMode="External"/><Relationship Id="rIdedufvfw0kldmupfsecjgd" Type="http://schemas.openxmlformats.org/officeDocument/2006/relationships/hyperlink" Target="https://wfme.org/standards/bme/" TargetMode="External"/><Relationship Id="rIdxe8fm9nsannlao0icvpmz" Type="http://schemas.openxmlformats.org/officeDocument/2006/relationships/hyperlink" Target="https://academy.gmj.ge/ch3-1-staff-credentialing" TargetMode="External"/><Relationship Id="rIdfhp7dio04qqh1do9k-nzy" Type="http://schemas.openxmlformats.org/officeDocument/2006/relationships/hyperlink" Target="https://www.who.int/health-topics/health-workforce" TargetMode="External"/><Relationship Id="rIdxzu0sqesjrtz3hlqcuguw" Type="http://schemas.openxmlformats.org/officeDocument/2006/relationships/hyperlink" Target="https://iris.who.int/handle/10665/251730" TargetMode="External"/><Relationship Id="rIdojlsv8scxws7tcb_7g1we" Type="http://schemas.openxmlformats.org/officeDocument/2006/relationships/hyperlink" Target="http://www.ihi.org/resources" TargetMode="External"/><Relationship Id="rIdz7dmqbeardftbin8zqd-w" Type="http://schemas.openxmlformats.org/officeDocument/2006/relationships/hyperlink" Target="https://academy.gmj.ge/ch3-2-mandatory-induction-training" TargetMode="External"/><Relationship Id="rIdelfyo6_qq19ih1mvhy_fi" Type="http://schemas.openxmlformats.org/officeDocument/2006/relationships/hyperlink" Target="https://www.who.int/publications/i/item/9789241511131" TargetMode="External"/><Relationship Id="rIdlgoojyagp10zry_o8u7zw" Type="http://schemas.openxmlformats.org/officeDocument/2006/relationships/hyperlink" Target="https://doi.org/10.1016/S0140-6736(13)62631-8" TargetMode="External"/><Relationship Id="rIdrpltj4_hdmy-h9ymrvfrb" Type="http://schemas.openxmlformats.org/officeDocument/2006/relationships/hyperlink" Target="https://iris.who.int/handle/10665/250330" TargetMode="External"/><Relationship Id="rId443f72xsfi-milhq0qreq" Type="http://schemas.openxmlformats.org/officeDocument/2006/relationships/hyperlink" Target="https://academy.gmj.ge/ch3-3-staffing-levels-skill-mix" TargetMode="External"/><Relationship Id="rIdpejdfyfiqd7m418vhb_gw" Type="http://schemas.openxmlformats.org/officeDocument/2006/relationships/hyperlink" Target="https://www.who.int/health-topics/health-workforce" TargetMode="External"/><Relationship Id="rIdcdcr5m9arc_yvunasgndb" Type="http://schemas.openxmlformats.org/officeDocument/2006/relationships/hyperlink" Target="https://doi.org/10.1111/j.1365-2702.2008.02636.x" TargetMode="External"/><Relationship Id="rIdhfoqu59-wwtemfg7reh8n" Type="http://schemas.openxmlformats.org/officeDocument/2006/relationships/hyperlink" Target="https://wfme.org/standards/pgme/" TargetMode="External"/><Relationship Id="rIduoddlpqub9ls5wvd4rzep" Type="http://schemas.openxmlformats.org/officeDocument/2006/relationships/hyperlink" Target="https://academy.gmj.ge/ch3-4-performance-appraisal" TargetMode="External"/><Relationship Id="rId1-62jgl6fpexvhmiouart" Type="http://schemas.openxmlformats.org/officeDocument/2006/relationships/hyperlink" Target="https://iris.who.int/handle/10665/93635" TargetMode="External"/><Relationship Id="rIdu0zuwmb5uunovhkeaoulb" Type="http://schemas.openxmlformats.org/officeDocument/2006/relationships/hyperlink" Target="https://wfme.org/standards/cpd/" TargetMode="External"/><Relationship Id="rIdirv597gdmod4s-amrckhg" Type="http://schemas.openxmlformats.org/officeDocument/2006/relationships/hyperlink" Target="https://doi.org/10.1001/jama.282.9.867" TargetMode="External"/><Relationship Id="rIdgys3dqcclksy3lywwouuk" Type="http://schemas.openxmlformats.org/officeDocument/2006/relationships/hyperlink" Target="https://academy.gmj.ge/ch3-5-continuing-professional-development" TargetMode="External"/><Relationship Id="rIdujrgcpwjzs7ubbylo14vp" Type="http://schemas.openxmlformats.org/officeDocument/2006/relationships/hyperlink" Target="https://www.who.int/publications/i/item/9789240012455" TargetMode="External"/><Relationship Id="rIdv_5fmby_ezsuftdwipna2" Type="http://schemas.openxmlformats.org/officeDocument/2006/relationships/hyperlink" Target="https://www.who.int/publications/i/item/9221170018" TargetMode="External"/><Relationship Id="rIdj5yue-6hihi_omtihaopy" Type="http://schemas.openxmlformats.org/officeDocument/2006/relationships/hyperlink" Target="https://www.who.int/publications/i/item/9221134466" TargetMode="External"/><Relationship Id="rId21cufngnbidcnufrhwh3q" Type="http://schemas.openxmlformats.org/officeDocument/2006/relationships/hyperlink" Target="https://academy.gmj.ge/ch3-6-occupational-health-staff-safety" TargetMode="External"/><Relationship Id="rIdeor95usetq8j8yqqcypd_" Type="http://schemas.openxmlformats.org/officeDocument/2006/relationships/hyperlink" Target="https://www.who.int/publications/i/item/9789241511131" TargetMode="External"/><Relationship Id="rIdqtxcqm_neq7vfswzwbcge" Type="http://schemas.openxmlformats.org/officeDocument/2006/relationships/hyperlink" Target="https://iris.who.int/handle/10665/250330" TargetMode="External"/><Relationship Id="rIdcyyhjft68zhyvin1rpyin" Type="http://schemas.openxmlformats.org/officeDocument/2006/relationships/hyperlink" Target="https://www.amanet.org" TargetMode="External"/><Relationship Id="rIdi4vijbg46sdyqo9lyyhom" Type="http://schemas.openxmlformats.org/officeDocument/2006/relationships/hyperlink" Target="https://academy.gmj.ge/ch3-7-workforce-planning-succession" TargetMode="External"/><Relationship Id="rIdybv25sbqocicev1xnfaag" Type="http://schemas.openxmlformats.org/officeDocument/2006/relationships/hyperlink" Target="https://www.who.int/publications/i/item/9789240057944" TargetMode="External"/><Relationship Id="rIdngl34rupd0gnpjknmxyx3" Type="http://schemas.openxmlformats.org/officeDocument/2006/relationships/hyperlink" Target="https://doi.org/10.1002/wps.20311" TargetMode="External"/><Relationship Id="rIddtinqsp7yvsznhljr1mvu" Type="http://schemas.openxmlformats.org/officeDocument/2006/relationships/hyperlink" Target="https://www.who.int/news-room/fact-sheets/detail/mental-health-at-work" TargetMode="External"/><Relationship Id="rIdz0zdhmaotnhhmhygknivl" Type="http://schemas.openxmlformats.org/officeDocument/2006/relationships/hyperlink" Target="https://academy.gmj.ge/ch3-8-staff-wellbeing-mental-health" TargetMode="External"/><Relationship Id="rIda6n801u39tjs13jl2qujq" Type="http://schemas.openxmlformats.org/officeDocument/2006/relationships/hyperlink" Target="https://www.who.int/publications/i/item/9789241502214" TargetMode="External"/><Relationship Id="rIdglvauejigsatunr9jec8l" Type="http://schemas.openxmlformats.org/officeDocument/2006/relationships/hyperlink" Target="https://www.coe.int/en/web/human-rights-rule-of-law/-/protection-of-whistleblowers" TargetMode="External"/><Relationship Id="rIdkibwxzwcjke2rqcdsvd8b" Type="http://schemas.openxmlformats.org/officeDocument/2006/relationships/hyperlink" Target="https://www.gov.uk/government/publications/report-of-the-mid-staffordshire-nhs-foundation-trust-public-inquiry" TargetMode="External"/><Relationship Id="rIdcslfk84fxfatiemmt_xls" Type="http://schemas.openxmlformats.org/officeDocument/2006/relationships/hyperlink" Target="https://academy.gmj.ge/ch3-9-whistleblowing-staff-reporting" TargetMode="External"/><Relationship Id="rIddb_ahb-220qryjozkbgbg" Type="http://schemas.openxmlformats.org/officeDocument/2006/relationships/hyperlink" Target="https://www.who.int/publications/i/item/framework-for-action-on-interprofessional-education-collaborative-practice" TargetMode="External"/><Relationship Id="rIdze1arxgqc2xm4bxsp_us0" Type="http://schemas.openxmlformats.org/officeDocument/2006/relationships/hyperlink" Target="https://wfme.org/standards/bme/" TargetMode="External"/><Relationship Id="rIdsuld_rbv-pzkhehxz0ydg" Type="http://schemas.openxmlformats.org/officeDocument/2006/relationships/hyperlink" Target="https://www.jointcommissioninternational.org" TargetMode="External"/><Relationship Id="rIdtnml0ndqcldwfmoxfad38" Type="http://schemas.openxmlformats.org/officeDocument/2006/relationships/hyperlink" Target="https://academy.gmj.ge/ch3-10-volunteer-student-supervision" TargetMode="External"/><Relationship Id="rIdfdukhcq6e55iks6pfdk_x" Type="http://schemas.openxmlformats.org/officeDocument/2006/relationships/hyperlink" Target="https://www.who.int/publications/i/item/9789240010352" TargetMode="External"/><Relationship Id="rIdporeob3b5pvjlvz5oe6h9" Type="http://schemas.openxmlformats.org/officeDocument/2006/relationships/hyperlink" Target="https://www.jointcommissioninternational.org" TargetMode="External"/><Relationship Id="rIdcsvunfmggc1ybvemrh5vn" Type="http://schemas.openxmlformats.org/officeDocument/2006/relationships/hyperlink" Target="https://wfme.org/standards/bme/" TargetMode="External"/><Relationship Id="rIdzxbyrdvydzvsendpcavgx" Type="http://schemas.openxmlformats.org/officeDocument/2006/relationships/hyperlink" Target="https://www.who.int/health-topics/health-workforce" TargetMode="External"/><Relationship Id="rIdtkie52gnxmhdq0joakknm" Type="http://schemas.openxmlformats.org/officeDocument/2006/relationships/hyperlink" Target="https://iris.who.int/handle/10665/251730" TargetMode="External"/><Relationship Id="rId10nqbhxuyhmvggc8-qyqe" Type="http://schemas.openxmlformats.org/officeDocument/2006/relationships/hyperlink" Target="http://www.ihi.org/resources" TargetMode="External"/><Relationship Id="rId4eiolakuuzkztcuhgwdst" Type="http://schemas.openxmlformats.org/officeDocument/2006/relationships/hyperlink" Target="https://www.who.int/publications/i/item/9789241511131" TargetMode="External"/><Relationship Id="rIdzqoqmr7rrd0sghmumha-f" Type="http://schemas.openxmlformats.org/officeDocument/2006/relationships/hyperlink" Target="https://doi.org/10.1016/S0140-6736(13)62631-8" TargetMode="External"/><Relationship Id="rIdruxffy91pdapgl4w2octv" Type="http://schemas.openxmlformats.org/officeDocument/2006/relationships/hyperlink" Target="https://iris.who.int/handle/10665/250330" TargetMode="External"/><Relationship Id="rIdkqrkdxcxb6o7oszodt7my" Type="http://schemas.openxmlformats.org/officeDocument/2006/relationships/hyperlink" Target="https://www.who.int/health-topics/health-workforce" TargetMode="External"/><Relationship Id="rIdajb0mnbzoqbt_8rodvufq" Type="http://schemas.openxmlformats.org/officeDocument/2006/relationships/hyperlink" Target="https://doi.org/10.1111/j.1365-2702.2008.02636.x" TargetMode="External"/><Relationship Id="rIdcsc41ojptuerfjia-ugnz" Type="http://schemas.openxmlformats.org/officeDocument/2006/relationships/hyperlink" Target="https://wfme.org/standards/pgme/" TargetMode="External"/><Relationship Id="rIduou-mwgagsbsd4cron4nz" Type="http://schemas.openxmlformats.org/officeDocument/2006/relationships/hyperlink" Target="https://iris.who.int/handle/10665/93635" TargetMode="External"/><Relationship Id="rId1kg9l-loac4mhbsmlsgms" Type="http://schemas.openxmlformats.org/officeDocument/2006/relationships/hyperlink" Target="https://wfme.org/standards/cpd/" TargetMode="External"/><Relationship Id="rIda5ggxqrsvsb-usrsg53qf" Type="http://schemas.openxmlformats.org/officeDocument/2006/relationships/hyperlink" Target="https://doi.org/10.1001/jama.282.9.867" TargetMode="External"/><Relationship Id="rIdig7jfmdv0h2ntnvlclzmh" Type="http://schemas.openxmlformats.org/officeDocument/2006/relationships/hyperlink" Target="https://www.who.int/publications/i/item/9789240012455" TargetMode="External"/><Relationship Id="rIdvs5_5vmc39uoxs0mueuco" Type="http://schemas.openxmlformats.org/officeDocument/2006/relationships/hyperlink" Target="https://www.who.int/publications/i/item/9221170018" TargetMode="External"/><Relationship Id="rIdaotemyy0jh8leslcdosox" Type="http://schemas.openxmlformats.org/officeDocument/2006/relationships/hyperlink" Target="https://www.who.int/publications/i/item/9221134466" TargetMode="External"/><Relationship Id="rIdff7zqc7lkwxbyxj18cvnf" Type="http://schemas.openxmlformats.org/officeDocument/2006/relationships/hyperlink" Target="https://www.who.int/publications/i/item/9789241511131" TargetMode="External"/><Relationship Id="rIdflq_84acm52wov3vuzglq" Type="http://schemas.openxmlformats.org/officeDocument/2006/relationships/hyperlink" Target="https://iris.who.int/handle/10665/250330" TargetMode="External"/><Relationship Id="rIdbrwcrw_a4tdpoyvuwf4nf" Type="http://schemas.openxmlformats.org/officeDocument/2006/relationships/hyperlink" Target="https://www.amanet.org" TargetMode="External"/><Relationship Id="rIdpg0croexq9etvudv2jkuh" Type="http://schemas.openxmlformats.org/officeDocument/2006/relationships/hyperlink" Target="https://www.who.int/publications/i/item/9789240057944" TargetMode="External"/><Relationship Id="rIdjhiwfasg-kcsmfl0q8dhx" Type="http://schemas.openxmlformats.org/officeDocument/2006/relationships/hyperlink" Target="https://doi.org/10.1002/wps.20311" TargetMode="External"/><Relationship Id="rIdldmhgjhv7jdxf37vxmmiw" Type="http://schemas.openxmlformats.org/officeDocument/2006/relationships/hyperlink" Target="https://www.who.int/news-room/fact-sheets/detail/mental-health-at-work" TargetMode="External"/><Relationship Id="rIdpao4z5hdbpwjknx-swwb6" Type="http://schemas.openxmlformats.org/officeDocument/2006/relationships/hyperlink" Target="https://www.who.int/publications/i/item/9789241502214" TargetMode="External"/><Relationship Id="rIdhd00n8op_ptold8risolu" Type="http://schemas.openxmlformats.org/officeDocument/2006/relationships/hyperlink" Target="https://www.coe.int/en/web/human-rights-rule-of-law/-/protection-of-whistleblowers" TargetMode="External"/><Relationship Id="rIdzbtas37gqzraoy-minxmr" Type="http://schemas.openxmlformats.org/officeDocument/2006/relationships/hyperlink" Target="https://www.gov.uk/government/publications/report-of-the-mid-staffordshire-nhs-foundation-trust-public-inquiry" TargetMode="External"/><Relationship Id="rIdx5mbjkbs4vo8_wbim1fkt" Type="http://schemas.openxmlformats.org/officeDocument/2006/relationships/hyperlink" Target="https://www.who.int/publications/i/item/framework-for-action-on-interprofessional-education-collaborative-practice" TargetMode="External"/><Relationship Id="rIdiqkbaihu3zbz56oqdtwhc" Type="http://schemas.openxmlformats.org/officeDocument/2006/relationships/hyperlink" Target="https://wfme.org/standards/bme/" TargetMode="External"/><Relationship Id="rIdwierkywpfxfhwz-usott1" Type="http://schemas.openxmlformats.org/officeDocument/2006/relationships/hyperlink" Target="https://www.jointcommissioninternational.org"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2026-08-29T19:26:46.485Z</dcterms:created>
  <dcterms:modified xsi:type="dcterms:W3CDTF">2026-08-29T19:26:46.485Z</dcterms:modified>
</cp:coreProperties>
</file>

<file path=docProps/custom.xml><?xml version="1.0" encoding="utf-8"?>
<Properties xmlns="http://schemas.openxmlformats.org/officeDocument/2006/custom-properties" xmlns:vt="http://schemas.openxmlformats.org/officeDocument/2006/docPropsVTypes"/>
</file>