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12"/>
          <w:left w:val="single" w:color="c9a227" w:sz="12"/>
          <w:bottom w:val="single" w:color="c9a227" w:sz="12"/>
          <w:right w:val="single" w:color="c9a227" w:sz="12"/>
          <w:insideH w:val="single" w:color="auto" w:sz="4"/>
          <w:insideV w:val="single" w:color="auto" w:sz="4"/>
        </w:tblBorders>
      </w:tblPr>
      <w:tblGrid>
        <w:gridCol w:w="740"/>
        <w:gridCol w:w="8620"/>
      </w:tblGrid>
      <w:tr>
        <w:tc>
          <w:tcPr>
            <w:tcW w:type="dxa" w:w="740"/>
            <w:shd w:fill="0e2647" w:color="auto" w:val="clear"/>
            <w:tcMar>
              <w:top w:type="dxa" w:w="40"/>
              <w:left w:type="dxa" w:w="70"/>
              <w:bottom w:type="dxa" w:w="40"/>
              <w:right w:type="dxa" w:w="50"/>
            </w:tcMar>
            <w:vAlign w:val="center"/>
          </w:tcPr>
          <w:p>
            <w:pPr>
              <w:spacing w:after="0" w:before="0"/>
            </w:pPr>
            <w:r>
              <w:drawing>
                <wp:inline distT="0" distB="0" distL="0" distR="0">
                  <wp:extent cx="64770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47700" cy="647700"/>
                          </a:xfrm>
                          <a:prstGeom prst="rect">
                            <a:avLst/>
                          </a:prstGeom>
                        </pic:spPr>
                      </pic:pic>
                    </a:graphicData>
                  </a:graphic>
                </wp:inline>
              </w:drawing>
            </w:r>
          </w:p>
        </w:tc>
        <w:tc>
          <w:tcPr>
            <w:tcW w:type="dxa" w:w="8620"/>
            <w:shd w:fill="0e2647" w:color="auto" w:val="clear"/>
            <w:tcMar>
              <w:top w:type="dxa" w:w="60"/>
              <w:left w:type="dxa" w:w="50"/>
              <w:bottom w:type="dxa" w:w="55"/>
              <w:right w:type="dxa" w:w="130"/>
            </w:tcMar>
            <w:vAlign w:val="top"/>
          </w:tcPr>
          <w:p>
            <w:pPr>
              <w:spacing w:after="24" w:before="0"/>
            </w:pPr>
            <w:r>
              <w:rPr>
                <w:rFonts w:ascii="Helvetica" w:cs="Helvetica" w:eastAsia="Helvetica" w:hAnsi="Helvetica"/>
                <w:b/>
                <w:bCs/>
                <w:i w:val="false"/>
                <w:iCs w:val="false"/>
                <w:caps/>
                <w:color w:val="c9a227"/>
                <w:spacing w:val="60"/>
                <w:sz w:val="12"/>
                <w:szCs w:val="12"/>
              </w:rPr>
              <w:t xml:space="preserve">ACCRÉDITATION SANS FRONTIÈRES</w:t>
            </w:r>
          </w:p>
          <w:p>
            <w:pPr>
              <w:spacing w:after="12" w:before="0"/>
            </w:pPr>
            <w:r>
              <w:rPr>
                <w:rFonts w:ascii="Georgia" w:cs="Georgia" w:eastAsia="Georgia" w:hAnsi="Georgia"/>
                <w:b/>
                <w:bCs/>
                <w:i w:val="false"/>
                <w:iCs w:val="false"/>
                <w:caps w:val="false"/>
                <w:color w:val="0e2647"/>
                <w:sz w:val="32"/>
                <w:szCs w:val="32"/>
              </w:rPr>
              <w:t xml:space="preserve">ASF HOSPITAL STANDARDS  —  CHAPTER 4</w:t>
            </w:r>
          </w:p>
          <w:p>
            <w:pPr>
              <w:spacing w:after="28" w:before="0"/>
            </w:pPr>
            <w:r>
              <w:rPr>
                <w:rFonts w:ascii="Georgia" w:cs="Georgia" w:eastAsia="Georgia" w:hAnsi="Georgia"/>
                <w:b/>
                <w:bCs/>
                <w:i w:val="false"/>
                <w:iCs w:val="false"/>
                <w:caps w:val="false"/>
                <w:color w:val="c9a227"/>
                <w:sz w:val="24"/>
                <w:szCs w:val="24"/>
              </w:rPr>
              <w:t xml:space="preserve">INFECTION PREVENTION &amp; CONTROL</w:t>
            </w:r>
          </w:p>
          <w:p>
            <w:pPr>
              <w:spacing w:after="36" w:before="0"/>
            </w:pPr>
            <w:r>
              <w:rPr>
                <w:rFonts w:ascii="Arial" w:cs="Arial" w:eastAsia="Arial" w:hAnsi="Arial"/>
                <w:b w:val="false"/>
                <w:bCs w:val="false"/>
                <w:i/>
                <w:iCs/>
                <w:caps w:val="false"/>
                <w:color w:val="aaaaaa"/>
                <w:sz w:val="11"/>
                <w:szCs w:val="11"/>
              </w:rPr>
              <w:t xml:space="preserve">Version 2.0  ·  January 2025  ·  Open Standards  ·  Ref: ASF-CH4-IPC-v2.0  ·  Approved: Jan 2025  ·  Next Review: Jan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2200"/>
        <w:gridCol w:w="2200"/>
        <w:gridCol w:w="2360"/>
      </w:tblGrid>
      <w:tr>
        <w:tc>
          <w:tcPr>
            <w:tcW w:type="dxa" w:w="2200"/>
            <w:shd w:fill="f8fafc" w:color="auto" w:val="clear"/>
            <w:tcMar>
              <w:top w:type="dxa" w:w="52"/>
              <w:left w:type="dxa" w:w="110"/>
              <w:bottom w:type="dxa" w:w="52"/>
              <w:right w:type="dxa" w:w="75"/>
            </w:tcMar>
            <w:vAlign w:val="top"/>
          </w:tcPr>
          <w:p>
            <w:pPr>
              <w:spacing w:after="20" w:before="0"/>
            </w:pPr>
            <w:r>
              <w:rPr>
                <w:rFonts w:ascii="Helvetica" w:cs="Helvetica" w:eastAsia="Helvetica" w:hAnsi="Helvetica"/>
                <w:b/>
                <w:bCs/>
                <w:i w:val="false"/>
                <w:iCs w:val="false"/>
                <w:caps/>
                <w:color w:val="6b778c"/>
                <w:spacing w:val="40"/>
                <w:sz w:val="10"/>
                <w:szCs w:val="10"/>
              </w:rPr>
              <w:t xml:space="preserve">PUBLISHER</w:t>
            </w:r>
          </w:p>
          <w:p>
            <w:pPr>
              <w:spacing w:after="8" w:before="0"/>
            </w:pPr>
            <w:r>
              <w:rPr>
                <w:rFonts w:ascii="Arial" w:cs="Arial" w:eastAsia="Arial" w:hAnsi="Arial"/>
                <w:b/>
                <w:bCs/>
                <w:i w:val="false"/>
                <w:iCs w:val="false"/>
                <w:caps w:val="false"/>
                <w:color w:val="374151"/>
                <w:sz w:val="14"/>
                <w:szCs w:val="14"/>
              </w:rPr>
              <w:t xml:space="preserve">Accréditation Sans Frontières</w:t>
            </w:r>
          </w:p>
          <w:p>
            <w:pPr>
              <w:spacing w:after="5" w:before="0"/>
            </w:pPr>
            <w:hyperlink w:history="1" r:id="rIdl5fra74kks4peeqptazcv">
              <w:r>
                <w:rPr>
                  <w:rFonts w:ascii="Arial" w:cs="Arial" w:eastAsia="Arial" w:hAnsi="Arial"/>
                  <w:b/>
                  <w:bCs/>
                  <w:color w:val="c9a227"/>
                  <w:sz w:val="13"/>
                  <w:szCs w:val="13"/>
                  <w:u w:val="single"/>
                </w:rPr>
                <w:t xml:space="preserve">france-asf.fr</w:t>
              </w:r>
            </w:hyperlink>
          </w:p>
          <w:p>
            <w:pPr>
              <w:spacing w:after="36" w:before="0"/>
            </w:pPr>
            <w:hyperlink w:history="1" r:id="rIdaxwwqdornaz9zu8rslm4b">
              <w:r>
                <w:rPr>
                  <w:rFonts w:ascii="Arial" w:cs="Arial" w:eastAsia="Arial" w:hAnsi="Arial"/>
                  <w:b/>
                  <w:bCs/>
                  <w:color w:val="c9a227"/>
                  <w:sz w:val="13"/>
                  <w:szCs w:val="13"/>
                  <w:u w:val="single"/>
                </w:rPr>
                <w:t xml:space="preserve">info@france-asf.fr</w:t>
              </w:r>
            </w:hyperlink>
          </w:p>
        </w:tc>
        <w:tc>
          <w:tcPr>
            <w:tcW w:type="dxa" w:w="2200"/>
            <w:shd w:fill="f8fafc" w:color="auto" w:val="clear"/>
            <w:tcMar>
              <w:top w:type="dxa" w:w="52"/>
              <w:left w:type="dxa" w:w="80"/>
              <w:bottom w:type="dxa" w:w="52"/>
              <w:right w:type="dxa" w:w="75"/>
            </w:tcMar>
            <w:vAlign w:val="top"/>
          </w:tcPr>
          <w:p>
            <w:pPr>
              <w:spacing w:after="20" w:before="0"/>
            </w:pPr>
            <w:r>
              <w:rPr>
                <w:rFonts w:ascii="Helvetica" w:cs="Helvetica" w:eastAsia="Helvetica" w:hAnsi="Helvetica"/>
                <w:b/>
                <w:bCs/>
                <w:i w:val="false"/>
                <w:iCs w:val="false"/>
                <w:caps/>
                <w:color w:val="6b778c"/>
                <w:spacing w:val="40"/>
                <w:sz w:val="10"/>
                <w:szCs w:val="10"/>
              </w:rPr>
              <w:t xml:space="preserve">DOCUMENT REF</w:t>
            </w:r>
          </w:p>
          <w:p>
            <w:pPr>
              <w:spacing w:after="8" w:before="0"/>
            </w:pPr>
            <w:r>
              <w:rPr>
                <w:rFonts w:ascii="Arial" w:cs="Arial" w:eastAsia="Arial" w:hAnsi="Arial"/>
                <w:b/>
                <w:bCs/>
                <w:i w:val="false"/>
                <w:iCs w:val="false"/>
                <w:caps w:val="false"/>
                <w:color w:val="c9a227"/>
                <w:sz w:val="14"/>
                <w:szCs w:val="14"/>
              </w:rPr>
              <w:t xml:space="preserve">ASF-CH4-IPC-v2.0</w:t>
            </w:r>
          </w:p>
          <w:p>
            <w:pPr>
              <w:spacing w:after="36" w:before="0"/>
            </w:pPr>
            <w:r>
              <w:rPr>
                <w:rFonts w:ascii="Arial" w:cs="Arial" w:eastAsia="Arial" w:hAnsi="Arial"/>
                <w:b w:val="false"/>
                <w:bCs w:val="false"/>
                <w:i w:val="false"/>
                <w:iCs w:val="false"/>
                <w:caps w:val="false"/>
                <w:color w:val="374151"/>
                <w:sz w:val="13"/>
                <w:szCs w:val="13"/>
              </w:rPr>
              <w:t xml:space="preserve">ISSN: 3088-4322  ·  DOI: 10.66636</w:t>
            </w:r>
          </w:p>
        </w:tc>
        <w:tc>
          <w:tcPr>
            <w:tcW w:type="dxa" w:w="2200"/>
            <w:shd w:fill="f8fafc" w:color="auto" w:val="clear"/>
            <w:tcMar>
              <w:top w:type="dxa" w:w="52"/>
              <w:left w:type="dxa" w:w="80"/>
              <w:bottom w:type="dxa" w:w="52"/>
              <w:right w:type="dxa" w:w="75"/>
            </w:tcMar>
            <w:vAlign w:val="top"/>
          </w:tcPr>
          <w:p>
            <w:pPr>
              <w:spacing w:after="20" w:before="0"/>
            </w:pPr>
            <w:r>
              <w:rPr>
                <w:rFonts w:ascii="Helvetica" w:cs="Helvetica" w:eastAsia="Helvetica" w:hAnsi="Helvetica"/>
                <w:b/>
                <w:bCs/>
                <w:i w:val="false"/>
                <w:iCs w:val="false"/>
                <w:caps/>
                <w:color w:val="6b778c"/>
                <w:spacing w:val="40"/>
                <w:sz w:val="10"/>
                <w:szCs w:val="10"/>
              </w:rPr>
              <w:t xml:space="preserve">E-LEARNING</w:t>
            </w:r>
          </w:p>
          <w:p>
            <w:pPr>
              <w:spacing w:after="8" w:before="0"/>
            </w:pPr>
            <w:r>
              <w:rPr>
                <w:rFonts w:ascii="Arial" w:cs="Arial" w:eastAsia="Arial" w:hAnsi="Arial"/>
                <w:b w:val="false"/>
                <w:bCs w:val="false"/>
                <w:i w:val="false"/>
                <w:iCs w:val="false"/>
                <w:caps w:val="false"/>
                <w:color w:val="374151"/>
                <w:sz w:val="13"/>
                <w:szCs w:val="13"/>
              </w:rPr>
              <w:t xml:space="preserve">30 min per standard — free</w:t>
            </w:r>
          </w:p>
          <w:p>
            <w:pPr>
              <w:spacing w:after="36" w:before="0"/>
            </w:pPr>
            <w:hyperlink w:history="1" r:id="rIdk9ig1g4ovt1ihupyo_nzz">
              <w:r>
                <w:rPr>
                  <w:rFonts w:ascii="Arial" w:cs="Arial" w:eastAsia="Arial" w:hAnsi="Arial"/>
                  <w:b/>
                  <w:bCs/>
                  <w:color w:val="c9a227"/>
                  <w:sz w:val="13"/>
                  <w:szCs w:val="13"/>
                  <w:u w:val="single"/>
                </w:rPr>
                <w:t xml:space="preserve">academy.gmj.ge</w:t>
              </w:r>
            </w:hyperlink>
          </w:p>
        </w:tc>
        <w:tc>
          <w:tcPr>
            <w:tcW w:type="dxa" w:w="2360"/>
            <w:shd w:fill="f8fafc" w:color="auto" w:val="clear"/>
            <w:tcMar>
              <w:top w:type="dxa" w:w="52"/>
              <w:left w:type="dxa" w:w="80"/>
              <w:bottom w:type="dxa" w:w="52"/>
              <w:right w:type="dxa" w:w="90"/>
            </w:tcMar>
            <w:vAlign w:val="top"/>
          </w:tcPr>
          <w:p>
            <w:pPr>
              <w:spacing w:after="20" w:before="0"/>
            </w:pPr>
            <w:r>
              <w:rPr>
                <w:rFonts w:ascii="Helvetica" w:cs="Helvetica" w:eastAsia="Helvetica" w:hAnsi="Helvetica"/>
                <w:b/>
                <w:bCs/>
                <w:i w:val="false"/>
                <w:iCs w:val="false"/>
                <w:caps/>
                <w:color w:val="6b778c"/>
                <w:spacing w:val="40"/>
                <w:sz w:val="10"/>
                <w:szCs w:val="10"/>
              </w:rPr>
              <w:t xml:space="preserve">CITE AS</w:t>
            </w:r>
          </w:p>
          <w:p>
            <w:pPr>
              <w:spacing w:after="36" w:before="0"/>
            </w:pPr>
            <w:r>
              <w:rPr>
                <w:rFonts w:ascii="Arial" w:cs="Arial" w:eastAsia="Arial" w:hAnsi="Arial"/>
                <w:b w:val="false"/>
                <w:bCs w:val="false"/>
                <w:i/>
                <w:iCs/>
                <w:caps w:val="false"/>
                <w:color w:val="374151"/>
                <w:sz w:val="12"/>
                <w:szCs w:val="12"/>
              </w:rPr>
              <w:t xml:space="preserve">Accreditation Sans Frontieres. ASF Hospital Standards: Chapter 4 — IPC. Version 2.0. Paris: ASF; 2025.</w:t>
            </w:r>
          </w:p>
        </w:tc>
      </w:tr>
    </w:tbl>
    <w:p>
      <w:pPr>
        <w:spacing w:after="36" w:before="1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dce3ee" w:sz="2"/>
          <w:left w:val="none"/>
          <w:bottom w:val="single" w:color="dce3ee" w:sz="2"/>
          <w:right w:val="none"/>
          <w:insideH w:val="single" w:color="auto" w:sz="4"/>
          <w:insideV w:val="single" w:color="auto" w:sz="4"/>
        </w:tblBorders>
      </w:tblPr>
      <w:tblGrid>
        <w:gridCol w:w="9360"/>
      </w:tblGrid>
      <w:tr>
        <w:tc>
          <w:tcPr>
            <w:tcW w:type="dxa" w:w="9360"/>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aaaaaa"/>
                <w:sz w:val="11"/>
                <w:szCs w:val="11"/>
              </w:rPr>
              <w:t xml:space="preserve">© 2025 Accréditation Sans Frontières. Open standards licence. Free non-commercial reproduction with attribution. Commercial reproduction requires written ASF permission.</w:t>
            </w:r>
          </w:p>
        </w:tc>
      </w:tr>
    </w:tbl>
    <w:p>
      <w:pPr>
        <w:spacing w:after="36" w:before="2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p>
      <w:pPr>
        <w:spacing w:after="36" w:before="1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600"/>
        <w:gridCol w:w="4600"/>
      </w:tblGrid>
      <w:tr>
        <w:tc>
          <w:tcPr>
            <w:tcW w:type="dxa" w:w="4600"/>
            <w:shd w:fill="f8fafc" w:color="auto" w:val="clear"/>
            <w:tcMar>
              <w:top w:type="dxa" w:w="56"/>
              <w:left w:type="dxa" w:w="110"/>
              <w:bottom w:type="dxa" w:w="56"/>
              <w:right w:type="dxa" w:w="80"/>
            </w:tcMar>
            <w:vAlign w:val="top"/>
          </w:tcPr>
          <w:p>
            <w:pPr>
              <w:spacing w:after="18" w:before="0"/>
            </w:pPr>
            <w:r>
              <w:rPr>
                <w:rFonts w:ascii="Helvetica" w:cs="Helvetica" w:eastAsia="Helvetica" w:hAnsi="Helvetica"/>
                <w:b/>
                <w:bCs/>
                <w:i w:val="false"/>
                <w:iCs w:val="false"/>
                <w:caps/>
                <w:color w:val="6b778c"/>
                <w:spacing w:val="40"/>
                <w:sz w:val="10"/>
                <w:szCs w:val="10"/>
              </w:rPr>
              <w:t xml:space="preserve">PURPOSE</w:t>
            </w:r>
          </w:p>
          <w:p>
            <w:pPr>
              <w:spacing w:after="18" w:before="0"/>
            </w:pPr>
            <w:r>
              <w:rPr>
                <w:rFonts w:ascii="Arial" w:cs="Arial" w:eastAsia="Arial" w:hAnsi="Arial"/>
                <w:b w:val="false"/>
                <w:bCs w:val="false"/>
                <w:i w:val="false"/>
                <w:iCs w:val="false"/>
                <w:caps w:val="false"/>
                <w:color w:val="374151"/>
                <w:sz w:val="14"/>
                <w:szCs w:val="14"/>
              </w:rPr>
              <w:t xml:space="preserve">Twelve standards for infection prevention and control (IPC)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8" w:before="0"/>
            </w:pPr>
            <w:r>
              <w:rPr>
                <w:rFonts w:ascii="Helvetica" w:cs="Helvetica" w:eastAsia="Helvetica" w:hAnsi="Helvetica"/>
                <w:b/>
                <w:bCs/>
                <w:i w:val="false"/>
                <w:iCs w:val="false"/>
                <w:caps/>
                <w:color w:val="6b778c"/>
                <w:spacing w:val="40"/>
                <w:sz w:val="10"/>
                <w:szCs w:val="10"/>
              </w:rPr>
              <w:t xml:space="preserve">CROSS-CUTTING CONNECTIONS</w:t>
            </w:r>
          </w:p>
          <w:p>
            <w:pPr>
              <w:spacing w:after="36" w:before="0"/>
            </w:pPr>
            <w:r>
              <w:rPr>
                <w:rFonts w:ascii="Arial" w:cs="Arial" w:eastAsia="Arial" w:hAnsi="Arial"/>
                <w:b w:val="false"/>
                <w:bCs w:val="false"/>
                <w:i w:val="false"/>
                <w:iCs w:val="false"/>
                <w:caps w:val="false"/>
                <w:color w:val="374151"/>
                <w:sz w:val="14"/>
                <w:szCs w:val="14"/>
              </w:rPr>
              <w:t xml:space="preserve">These twelve standards connect to each other. Hand hygiene (4.1) is the foundation on which PPE (4.2), isolation (4.9), and outbreak response (4.7) all depend. Training (4.8) underpins every standard. Surveillance (4.6) measures the real-world effect of all others combined. ASF is developing a visual cross-cutting map showing which standards connect and where gaps in one standard create risk in others — available at france-asf.fr. When completing this assessment, treat each standard as part of a system, not a standalone checklist item.</w:t>
            </w:r>
          </w:p>
        </w:tc>
        <w:tc>
          <w:tcPr>
            <w:tcW w:type="dxa" w:w="4600"/>
            <w:shd w:fill="f0f4f8" w:color="auto" w:val="clear"/>
            <w:tcMar>
              <w:top w:type="dxa" w:w="56"/>
              <w:left w:type="dxa" w:w="80"/>
              <w:bottom w:type="dxa" w:w="56"/>
              <w:right w:type="dxa" w:w="110"/>
            </w:tcMar>
            <w:vAlign w:val="top"/>
          </w:tcPr>
          <w:p>
            <w:pPr>
              <w:spacing w:after="18" w:before="0"/>
            </w:pPr>
            <w:r>
              <w:rPr>
                <w:rFonts w:ascii="Helvetica" w:cs="Helvetica" w:eastAsia="Helvetica" w:hAnsi="Helvetica"/>
                <w:b/>
                <w:bCs/>
                <w:i w:val="false"/>
                <w:iCs w:val="false"/>
                <w:caps/>
                <w:color w:val="6b778c"/>
                <w:spacing w:val="40"/>
                <w:sz w:val="10"/>
                <w:szCs w:val="10"/>
              </w:rPr>
              <w:t xml:space="preserve">STATUS COLOURS</w:t>
            </w:r>
          </w:p>
          <w:p>
            <w:pPr>
              <w:spacing w:after="12"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2"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22"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18" w:before="0"/>
            </w:pPr>
            <w:r>
              <w:rPr>
                <w:rFonts w:ascii="Helvetica" w:cs="Helvetica" w:eastAsia="Helvetica" w:hAnsi="Helvetica"/>
                <w:b/>
                <w:bCs/>
                <w:i w:val="false"/>
                <w:iCs w:val="false"/>
                <w:caps/>
                <w:color w:val="6b778c"/>
                <w:spacing w:val="40"/>
                <w:sz w:val="10"/>
                <w:szCs w:val="10"/>
              </w:rPr>
              <w:t xml:space="preserve">HOW TO USE — FIVE STEPS</w:t>
            </w:r>
          </w:p>
          <w:p>
            <w:pPr>
              <w:spacing w:after="7" w:before="0"/>
            </w:pPr>
            <w:r>
              <w:rPr>
                <w:rFonts w:ascii="Arial" w:cs="Arial" w:eastAsia="Arial" w:hAnsi="Arial"/>
                <w:b/>
                <w:bCs/>
                <w:i w:val="false"/>
                <w:iCs w:val="false"/>
                <w:caps w:val="false"/>
                <w:color w:val="c9a227"/>
                <w:sz w:val="12"/>
                <w:szCs w:val="12"/>
              </w:rPr>
              <w:t xml:space="preserve">1  </w:t>
            </w:r>
            <w:r>
              <w:rPr>
                <w:rFonts w:ascii="Arial" w:cs="Arial" w:eastAsia="Arial" w:hAnsi="Arial"/>
                <w:b w:val="false"/>
                <w:bCs w:val="false"/>
                <w:i w:val="false"/>
                <w:iCs w:val="false"/>
                <w:caps w:val="false"/>
                <w:color w:val="374151"/>
                <w:sz w:val="13"/>
                <w:szCs w:val="13"/>
              </w:rPr>
              <w:t xml:space="preserve">Read this page first.</w:t>
            </w:r>
          </w:p>
          <w:p>
            <w:pPr>
              <w:spacing w:after="7" w:before="0"/>
            </w:pPr>
            <w:r>
              <w:rPr>
                <w:rFonts w:ascii="Arial" w:cs="Arial" w:eastAsia="Arial" w:hAnsi="Arial"/>
                <w:b/>
                <w:bCs/>
                <w:i w:val="false"/>
                <w:iCs w:val="false"/>
                <w:caps w:val="false"/>
                <w:color w:val="c9a227"/>
                <w:sz w:val="12"/>
                <w:szCs w:val="12"/>
              </w:rPr>
              <w:t xml:space="preserve">2  </w:t>
            </w:r>
            <w:r>
              <w:rPr>
                <w:rFonts w:ascii="Arial" w:cs="Arial" w:eastAsia="Arial" w:hAnsi="Arial"/>
                <w:b w:val="false"/>
                <w:bCs w:val="false"/>
                <w:i w:val="false"/>
                <w:iCs w:val="false"/>
                <w:caps w:val="false"/>
                <w:color w:val="374151"/>
                <w:sz w:val="13"/>
                <w:szCs w:val="13"/>
              </w:rPr>
              <w:t xml:space="preserve">Complete Page 1 self-assessment for each standard. Be honest.</w:t>
            </w:r>
          </w:p>
          <w:p>
            <w:pPr>
              <w:spacing w:after="7" w:before="0"/>
            </w:pPr>
            <w:r>
              <w:rPr>
                <w:rFonts w:ascii="Arial" w:cs="Arial" w:eastAsia="Arial" w:hAnsi="Arial"/>
                <w:b/>
                <w:bCs/>
                <w:i w:val="false"/>
                <w:iCs w:val="false"/>
                <w:caps w:val="false"/>
                <w:color w:val="c9a227"/>
                <w:sz w:val="12"/>
                <w:szCs w:val="12"/>
              </w:rPr>
              <w:t xml:space="preserve">3  </w:t>
            </w:r>
            <w:r>
              <w:rPr>
                <w:rFonts w:ascii="Arial" w:cs="Arial" w:eastAsia="Arial" w:hAnsi="Arial"/>
                <w:b w:val="false"/>
                <w:bCs w:val="false"/>
                <w:i w:val="false"/>
                <w:iCs w:val="false"/>
                <w:caps w:val="false"/>
                <w:color w:val="374151"/>
                <w:sz w:val="13"/>
                <w:szCs w:val="13"/>
              </w:rPr>
              <w:t xml:space="preserve">Do not understand a standard? Read Page 2.</w:t>
            </w:r>
          </w:p>
          <w:p>
            <w:pPr>
              <w:spacing w:after="7" w:before="0"/>
            </w:pPr>
            <w:r>
              <w:rPr>
                <w:rFonts w:ascii="Arial" w:cs="Arial" w:eastAsia="Arial" w:hAnsi="Arial"/>
                <w:b/>
                <w:bCs/>
                <w:i w:val="false"/>
                <w:iCs w:val="false"/>
                <w:caps w:val="false"/>
                <w:color w:val="c9a227"/>
                <w:sz w:val="12"/>
                <w:szCs w:val="12"/>
              </w:rPr>
              <w:t xml:space="preserve">4  </w:t>
            </w:r>
            <w:r>
              <w:rPr>
                <w:rFonts w:ascii="Arial" w:cs="Arial" w:eastAsia="Arial" w:hAnsi="Arial"/>
                <w:b w:val="false"/>
                <w:bCs w:val="false"/>
                <w:i w:val="false"/>
                <w:iCs w:val="false"/>
                <w:caps w:val="false"/>
                <w:color w:val="374151"/>
                <w:sz w:val="13"/>
                <w:szCs w:val="13"/>
              </w:rPr>
              <w:t xml:space="preserve">PARTIAL or NO? Write an improvement plan on Page 1.</w:t>
            </w:r>
          </w:p>
          <w:p>
            <w:pPr>
              <w:spacing w:after="20" w:before="0"/>
            </w:pPr>
            <w:r>
              <w:rPr>
                <w:rFonts w:ascii="Arial" w:cs="Arial" w:eastAsia="Arial" w:hAnsi="Arial"/>
                <w:b/>
                <w:bCs/>
                <w:i w:val="false"/>
                <w:iCs w:val="false"/>
                <w:caps w:val="false"/>
                <w:color w:val="c9a227"/>
                <w:sz w:val="12"/>
                <w:szCs w:val="12"/>
              </w:rPr>
              <w:t xml:space="preserve">5  </w:t>
            </w:r>
            <w:r>
              <w:rPr>
                <w:rFonts w:ascii="Arial" w:cs="Arial" w:eastAsia="Arial" w:hAnsi="Arial"/>
                <w:b w:val="false"/>
                <w:bCs w:val="false"/>
                <w:i w:val="false"/>
                <w:iCs w:val="false"/>
                <w:caps w:val="false"/>
                <w:color w:val="374151"/>
                <w:sz w:val="13"/>
                <w:szCs w:val="13"/>
              </w:rPr>
              <w:t xml:space="preserve">Deep learning: 30-min e-learning per standard at academy.gmj.ge.</w:t>
            </w:r>
          </w:p>
          <w:p>
            <w:pPr>
              <w:spacing w:after="18" w:before="0"/>
            </w:pPr>
            <w:r>
              <w:rPr>
                <w:rFonts w:ascii="Helvetica" w:cs="Helvetica" w:eastAsia="Helvetica" w:hAnsi="Helvetica"/>
                <w:b/>
                <w:bCs/>
                <w:i w:val="false"/>
                <w:iCs w:val="false"/>
                <w:caps/>
                <w:color w:val="6b778c"/>
                <w:spacing w:val="40"/>
                <w:sz w:val="10"/>
                <w:szCs w:val="10"/>
              </w:rPr>
              <w:t xml:space="preserve">ADVISORY SUPPORT</w:t>
            </w:r>
          </w:p>
          <w:p>
            <w:pPr>
              <w:spacing w:after="8" w:before="0"/>
            </w:pPr>
            <w:r>
              <w:rPr>
                <w:rFonts w:ascii="Arial" w:cs="Arial" w:eastAsia="Arial" w:hAnsi="Arial"/>
                <w:b w:val="false"/>
                <w:bCs w:val="false"/>
                <w:i w:val="false"/>
                <w:iCs w:val="false"/>
                <w:caps w:val="false"/>
                <w:color w:val="374151"/>
                <w:sz w:val="13"/>
                <w:szCs w:val="13"/>
              </w:rPr>
              <w:t xml:space="preserve">ASF advisers help at any stage — before self-assessment, before the survey, or when any standard is unclear.</w:t>
            </w:r>
          </w:p>
          <w:p>
            <w:pPr>
              <w:spacing w:after="36" w:before="0"/>
            </w:pPr>
            <w:hyperlink w:history="1" r:id="rIdsabwebubvlssalpiov1p_">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40"/>
                <w:sz w:val="13"/>
                <w:szCs w:val="13"/>
              </w:rPr>
              <w:t xml:space="preserve">CHAPTER 4: INFECTION PREVENTION &amp; CONTROL</w:t>
            </w:r>
          </w:p>
        </w:tc>
        <w:tc>
          <w:tcPr>
            <w:tcW w:type="dxa" w:w="1660"/>
            <w:shd w:fill="0e2647" w:color="auto" w:val="clear"/>
            <w:tcMar>
              <w:top w:type="dxa" w:w="60"/>
              <w:left w:type="dxa" w:w="70"/>
              <w:bottom w:type="dxa" w:w="60"/>
              <w:right w:type="dxa" w:w="75"/>
            </w:tcMar>
            <w:vAlign w:val="top"/>
          </w:tcPr>
          <w:p>
            <w:pPr>
              <w:spacing w:after="36" w:before="0"/>
            </w:pPr>
            <w:r>
              <w:rPr>
                <w:rFonts w:ascii="Arial" w:cs="Arial" w:eastAsia="Arial" w:hAnsi="Arial"/>
                <w:b w:val="false"/>
                <w:bCs w:val="false"/>
                <w:i/>
                <w:iCs/>
                <w:caps w:val="false"/>
                <w:color w:val="6b778c"/>
                <w:sz w:val="12"/>
                <w:szCs w:val="12"/>
              </w:rPr>
              <w:t xml:space="preserve">Table of Contents — Version 2.0</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p>
      <w:pPr>
        <w:spacing w:after="36" w:before="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500"/>
        <w:gridCol w:w="5640"/>
        <w:gridCol w:w="2480"/>
        <w:gridCol w:w="740"/>
      </w:tblGrid>
      <w:tr>
        <w:tc>
          <w:tcPr>
            <w:tcW w:type="dxa" w:w="500"/>
            <w:shd w:fill="f0f4f8" w:color="auto" w:val="clear"/>
            <w:tcMar>
              <w:top w:type="dxa" w:w="20"/>
              <w:left w:type="dxa" w:w="50"/>
              <w:bottom w:type="dxa" w:w="20"/>
              <w:right w:type="dxa" w:w="75"/>
            </w:tcMar>
            <w:vAlign w:val="top"/>
          </w:tcPr>
          <w:p>
            <w:pPr>
              <w:spacing w:after="36" w:before="0"/>
            </w:pPr>
            <w:r>
              <w:rPr>
                <w:rFonts w:ascii="Helvetica" w:cs="Helvetica" w:eastAsia="Helvetica" w:hAnsi="Helvetica"/>
                <w:b/>
                <w:bCs/>
                <w:i w:val="false"/>
                <w:iCs w:val="false"/>
                <w:caps w:val="false"/>
                <w:color w:val="aaaaaa"/>
                <w:sz w:val="10"/>
                <w:szCs w:val="10"/>
              </w:rPr>
              <w:t xml:space="preserve">STD</w:t>
            </w:r>
          </w:p>
        </w:tc>
        <w:tc>
          <w:tcPr>
            <w:tcW w:type="dxa" w:w="5640"/>
            <w:shd w:fill="f0f4f8" w:color="auto" w:val="clear"/>
            <w:tcMar>
              <w:top w:type="dxa" w:w="20"/>
              <w:left w:type="dxa" w:w="75"/>
              <w:bottom w:type="dxa" w:w="20"/>
              <w:right w:type="dxa" w:w="75"/>
            </w:tcMar>
            <w:vAlign w:val="top"/>
          </w:tcPr>
          <w:p>
            <w:pPr>
              <w:spacing w:after="36" w:before="0"/>
            </w:pPr>
            <w:r>
              <w:rPr>
                <w:rFonts w:ascii="Arial" w:cs="Arial" w:eastAsia="Arial" w:hAnsi="Arial"/>
                <w:b w:val="false"/>
                <w:bCs w:val="false"/>
                <w:i/>
                <w:iCs/>
                <w:caps w:val="false"/>
                <w:color w:val="aaaaaa"/>
                <w:sz w:val="10"/>
                <w:szCs w:val="10"/>
              </w:rPr>
              <w:t xml:space="preserve">STANDARD TITLE  and one-line description of what it covers</w:t>
            </w:r>
          </w:p>
        </w:tc>
        <w:tc>
          <w:tcPr>
            <w:tcW w:type="dxa" w:w="2480"/>
            <w:shd w:fill="f0f4f8" w:color="auto" w:val="clear"/>
            <w:tcMar>
              <w:top w:type="dxa" w:w="20"/>
              <w:left w:type="dxa" w:w="55"/>
              <w:bottom w:type="dxa" w:w="20"/>
              <w:right w:type="dxa" w:w="75"/>
            </w:tcMar>
            <w:vAlign w:val="top"/>
          </w:tcPr>
          <w:p>
            <w:pPr>
              <w:spacing w:after="36" w:before="0"/>
            </w:pPr>
            <w:r>
              <w:rPr>
                <w:rFonts w:ascii="Arial" w:cs="Arial" w:eastAsia="Arial" w:hAnsi="Arial"/>
                <w:b w:val="false"/>
                <w:bCs w:val="false"/>
                <w:i/>
                <w:iCs/>
                <w:caps w:val="false"/>
                <w:color w:val="aaaaaa"/>
                <w:sz w:val="10"/>
                <w:szCs w:val="10"/>
              </w:rPr>
              <w:t xml:space="preserve">REQUIREMENT — who must meet this standard</w:t>
            </w:r>
          </w:p>
        </w:tc>
        <w:tc>
          <w:tcPr>
            <w:tcW w:type="dxa" w:w="740"/>
            <w:shd w:fill="f0f4f8" w:color="auto" w:val="clear"/>
            <w:tcMar>
              <w:top w:type="dxa" w:w="20"/>
              <w:left w:type="dxa" w:w="46"/>
              <w:bottom w:type="dxa" w:w="20"/>
              <w:right w:type="dxa" w:w="75"/>
            </w:tcMar>
            <w:vAlign w:val="top"/>
          </w:tcPr>
          <w:p>
            <w:pPr>
              <w:spacing w:after="36" w:before="0"/>
            </w:pPr>
            <w:r>
              <w:rPr>
                <w:rFonts w:ascii="Helvetica" w:cs="Helvetica" w:eastAsia="Helvetica" w:hAnsi="Helvetica"/>
                <w:b/>
                <w:bCs/>
                <w:i w:val="false"/>
                <w:iCs w:val="false"/>
                <w:caps w:val="false"/>
                <w:color w:val="aaaaaa"/>
                <w:sz w:val="10"/>
                <w:szCs w:val="10"/>
              </w:rPr>
              <w:t xml:space="preserve">PAGE</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500"/>
        <w:gridCol w:w="5640"/>
        <w:gridCol w:w="2480"/>
        <w:gridCol w:w="740"/>
      </w:tblGrid>
      <w:tr>
        <w:tc>
          <w:tcPr>
            <w:tcW w:type="dxa" w:w="9360"/>
            <w:gridSpan w:val="4"/>
            <w:shd w:fill="14335c" w:color="auto" w:val="clear"/>
            <w:tcMar>
              <w:top w:type="dxa" w:w="28"/>
              <w:left w:type="dxa" w:w="110"/>
              <w:bottom w:type="dxa" w:w="28"/>
              <w:right w:type="dxa" w:w="90"/>
            </w:tcMar>
          </w:tcPr>
          <w:p>
            <w:pPr>
              <w:spacing w:after="36" w:before="0"/>
            </w:pPr>
            <w:r>
              <w:rPr>
                <w:rFonts w:ascii="Helvetica" w:cs="Helvetica" w:eastAsia="Helvetica" w:hAnsi="Helvetica"/>
                <w:b/>
                <w:bCs/>
                <w:i w:val="false"/>
                <w:iCs w:val="false"/>
                <w:caps w:val="false"/>
                <w:color w:val="ffffff"/>
                <w:sz w:val="11"/>
                <w:szCs w:val="11"/>
              </w:rPr>
              <w:t xml:space="preserve">INTRODUCTION</w:t>
            </w:r>
          </w:p>
        </w:tc>
      </w:tr>
      <w:tr>
        <w:tc>
          <w:tcPr>
            <w:tcW w:type="dxa" w:w="500"/>
            <w:shd w:fill="f0f4f8" w:color="auto" w:val="clear"/>
            <w:tcMar>
              <w:top w:type="dxa" w:w="38"/>
              <w:left w:type="dxa" w:w="50"/>
              <w:bottom w:type="dxa" w:w="38"/>
              <w:right w:type="dxa" w:w="75"/>
            </w:tcMar>
            <w:vAlign w:val="center"/>
          </w:tcPr>
          <w:p>
            <w:pPr>
              <w:spacing w:after="36" w:before="0"/>
            </w:pPr>
            <w:r>
              <w:rPr>
                <w:rFonts w:ascii="Arial" w:cs="Arial" w:eastAsia="Arial" w:hAnsi="Arial"/>
                <w:b w:val="false"/>
                <w:bCs w:val="false"/>
                <w:i w:val="false"/>
                <w:iCs w:val="false"/>
                <w:caps w:val="false"/>
                <w:color w:val="aaaaaa"/>
                <w:sz w:val="13"/>
                <w:szCs w:val="13"/>
              </w:rPr>
              <w:t xml:space="preserve">—</w:t>
            </w:r>
          </w:p>
        </w:tc>
        <w:tc>
          <w:tcPr>
            <w:tcW w:type="dxa" w:w="5640"/>
            <w:shd w:fill="f8fafc" w:color="auto" w:val="clear"/>
            <w:tcMar>
              <w:top w:type="dxa" w:w="38"/>
              <w:left w:type="dxa" w:w="75"/>
              <w:bottom w:type="dxa" w:w="38"/>
              <w:right w:type="dxa" w:w="75"/>
            </w:tcMar>
            <w:vAlign w:val="top"/>
          </w:tcPr>
          <w:p>
            <w:pPr>
              <w:spacing w:after="36" w:before="0"/>
            </w:pPr>
            <w:r>
              <w:rPr>
                <w:rFonts w:ascii="Arial" w:cs="Arial" w:eastAsia="Arial" w:hAnsi="Arial"/>
                <w:b w:val="false"/>
                <w:bCs w:val="false"/>
                <w:i w:val="false"/>
                <w:iCs w:val="false"/>
                <w:caps w:val="false"/>
                <w:color w:val="4b5563"/>
                <w:sz w:val="14"/>
                <w:szCs w:val="14"/>
              </w:rPr>
              <w:t xml:space="preserve">Title, Publisher, Citation, Copyright, Executive Summary, Cross-Cutting Note</w:t>
            </w:r>
          </w:p>
        </w:tc>
        <w:tc>
          <w:tcPr>
            <w:tcW w:type="dxa" w:w="2480"/>
            <w:shd w:fill="f8fafc" w:color="auto" w:val="clear"/>
            <w:tcMar>
              <w:top w:type="dxa" w:w="38"/>
              <w:left w:type="dxa" w:w="55"/>
              <w:bottom w:type="dxa" w:w="38"/>
              <w:right w:type="dxa" w:w="75"/>
            </w:tcMar>
            <w:vAlign w:val="top"/>
          </w:tcPr>
          <w:p>
            <w:pPr>
              <w:spacing w:after="36" w:before="0"/>
            </w:pPr>
            <w:r>
              <w:rPr>
                <w:rFonts w:ascii="Arial" w:cs="Arial" w:eastAsia="Arial" w:hAnsi="Arial"/>
                <w:b w:val="false"/>
                <w:bCs w:val="false"/>
                <w:i w:val="false"/>
                <w:iCs w:val="false"/>
                <w:caps w:val="false"/>
                <w:color w:val="aaaaaa"/>
                <w:sz w:val="10"/>
                <w:szCs w:val="10"/>
              </w:rPr>
              <w:t xml:space="preserve"/>
            </w:r>
          </w:p>
        </w:tc>
        <w:tc>
          <w:tcPr>
            <w:tcW w:type="dxa" w:w="740"/>
            <w:tcMar>
              <w:top w:type="dxa" w:w="38"/>
              <w:left w:type="dxa" w:w="46"/>
              <w:bottom w:type="dxa" w:w="38"/>
              <w:right w:type="dxa" w:w="75"/>
            </w:tcMar>
            <w:vAlign w:val="top"/>
          </w:tcPr>
          <w:p>
            <w:pPr>
              <w:spacing w:after="36" w:before="0"/>
            </w:pPr>
            <w:r>
              <w:rPr>
                <w:rFonts w:ascii="Arial" w:cs="Arial" w:eastAsia="Arial" w:hAnsi="Arial"/>
                <w:b w:val="false"/>
                <w:bCs w:val="false"/>
                <w:i/>
                <w:iCs/>
                <w:caps w:val="false"/>
                <w:color w:val="aaaaaa"/>
                <w:sz w:val="12"/>
                <w:szCs w:val="12"/>
              </w:rPr>
              <w:t xml:space="default"/>
            </w:r>
          </w:p>
        </w:tc>
      </w:tr>
      <w:tr>
        <w:tc>
          <w:tcPr>
            <w:tcW w:type="dxa" w:w="500"/>
            <w:shd w:fill="f0f4f8" w:color="auto" w:val="clear"/>
            <w:tcMar>
              <w:top w:type="dxa" w:w="38"/>
              <w:left w:type="dxa" w:w="50"/>
              <w:bottom w:type="dxa" w:w="38"/>
              <w:right w:type="dxa" w:w="75"/>
            </w:tcMar>
            <w:vAlign w:val="center"/>
          </w:tcPr>
          <w:p>
            <w:pPr>
              <w:spacing w:after="36" w:before="0"/>
            </w:pPr>
            <w:r>
              <w:rPr>
                <w:rFonts w:ascii="Arial" w:cs="Arial" w:eastAsia="Arial" w:hAnsi="Arial"/>
                <w:b w:val="false"/>
                <w:bCs w:val="false"/>
                <w:i w:val="false"/>
                <w:iCs w:val="false"/>
                <w:caps w:val="false"/>
                <w:color w:val="aaaaaa"/>
                <w:sz w:val="13"/>
                <w:szCs w:val="13"/>
              </w:rPr>
              <w:t xml:space="preserve">—</w:t>
            </w:r>
          </w:p>
        </w:tc>
        <w:tc>
          <w:tcPr>
            <w:tcW w:type="dxa" w:w="5640"/>
            <w:shd w:fill="f8fafc" w:color="auto" w:val="clear"/>
            <w:tcMar>
              <w:top w:type="dxa" w:w="38"/>
              <w:left w:type="dxa" w:w="75"/>
              <w:bottom w:type="dxa" w:w="38"/>
              <w:right w:type="dxa" w:w="75"/>
            </w:tcMar>
            <w:vAlign w:val="top"/>
          </w:tcPr>
          <w:p>
            <w:pPr>
              <w:spacing w:after="36" w:before="0"/>
            </w:pPr>
            <w:r>
              <w:rPr>
                <w:rFonts w:ascii="Arial" w:cs="Arial" w:eastAsia="Arial" w:hAnsi="Arial"/>
                <w:b w:val="false"/>
                <w:bCs w:val="false"/>
                <w:i w:val="false"/>
                <w:iCs w:val="false"/>
                <w:caps w:val="false"/>
                <w:color w:val="4b5563"/>
                <w:sz w:val="14"/>
                <w:szCs w:val="14"/>
              </w:rPr>
              <w:t xml:space="preserve">Table of Contents — all 12 standards described</w:t>
            </w:r>
          </w:p>
        </w:tc>
        <w:tc>
          <w:tcPr>
            <w:tcW w:type="dxa" w:w="2480"/>
            <w:shd w:fill="f8fafc" w:color="auto" w:val="clear"/>
            <w:tcMar>
              <w:top w:type="dxa" w:w="38"/>
              <w:left w:type="dxa" w:w="55"/>
              <w:bottom w:type="dxa" w:w="38"/>
              <w:right w:type="dxa" w:w="75"/>
            </w:tcMar>
            <w:vAlign w:val="top"/>
          </w:tcPr>
          <w:p>
            <w:pPr>
              <w:spacing w:after="36" w:before="0"/>
            </w:pPr>
            <w:r>
              <w:rPr>
                <w:rFonts w:ascii="Arial" w:cs="Arial" w:eastAsia="Arial" w:hAnsi="Arial"/>
                <w:b w:val="false"/>
                <w:bCs w:val="false"/>
                <w:i w:val="false"/>
                <w:iCs w:val="false"/>
                <w:caps w:val="false"/>
                <w:color w:val="aaaaaa"/>
                <w:sz w:val="10"/>
                <w:szCs w:val="10"/>
              </w:rPr>
              <w:t xml:space="preserve"/>
            </w:r>
          </w:p>
        </w:tc>
        <w:tc>
          <w:tcPr>
            <w:tcW w:type="dxa" w:w="740"/>
            <w:tcMar>
              <w:top w:type="dxa" w:w="38"/>
              <w:left w:type="dxa" w:w="46"/>
              <w:bottom w:type="dxa" w:w="38"/>
              <w:right w:type="dxa" w:w="75"/>
            </w:tcMar>
            <w:vAlign w:val="top"/>
          </w:tcPr>
          <w:p>
            <w:pPr>
              <w:spacing w:after="36" w:before="0"/>
            </w:pPr>
            <w:r>
              <w:rPr>
                <w:rFonts w:ascii="Arial" w:cs="Arial" w:eastAsia="Arial" w:hAnsi="Arial"/>
                <w:b w:val="false"/>
                <w:bCs w:val="false"/>
                <w:i/>
                <w:iCs/>
                <w:caps w:val="false"/>
                <w:color w:val="aaaaaa"/>
                <w:sz w:val="12"/>
                <w:szCs w:val="12"/>
              </w:rPr>
              <w:t xml:space="default"/>
            </w:r>
          </w:p>
        </w:tc>
      </w:tr>
      <w:tr>
        <w:tc>
          <w:tcPr>
            <w:tcW w:type="dxa" w:w="9360"/>
            <w:gridSpan w:val="4"/>
            <w:shd w:fill="14335c" w:color="auto" w:val="clear"/>
            <w:tcMar>
              <w:top w:type="dxa" w:w="28"/>
              <w:left w:type="dxa" w:w="110"/>
              <w:bottom w:type="dxa" w:w="28"/>
              <w:right w:type="dxa" w:w="90"/>
            </w:tcMar>
          </w:tcPr>
          <w:p>
            <w:pPr>
              <w:spacing w:after="36" w:before="0"/>
            </w:pPr>
            <w:r>
              <w:rPr>
                <w:rFonts w:ascii="Helvetica" w:cs="Helvetica" w:eastAsia="Helvetica" w:hAnsi="Helvetica"/>
                <w:b/>
                <w:bCs/>
                <w:i w:val="false"/>
                <w:iCs w:val="false"/>
                <w:caps w:val="false"/>
                <w:color w:val="ffffff"/>
                <w:sz w:val="11"/>
                <w:szCs w:val="11"/>
              </w:rPr>
              <w:t xml:space="preserve">LEVEL 1 — FOUNDATION  |  Standards 4.1 to 4.5</w:t>
            </w:r>
          </w:p>
        </w:tc>
      </w:tr>
      <w:tr>
        <w:tc>
          <w:tcPr>
            <w:tcW w:type="dxa" w:w="9360"/>
            <w:gridSpan w:val="4"/>
            <w:shd w:fill="d1fae5" w:color="auto" w:val="clear"/>
            <w:tcMar>
              <w:top w:type="dxa" w:w="20"/>
              <w:left w:type="dxa" w:w="110"/>
              <w:bottom w:type="dxa" w:w="20"/>
              <w:right w:type="dxa" w:w="90"/>
            </w:tcMar>
          </w:tcPr>
          <w:p>
            <w:pPr>
              <w:spacing w:after="36" w:before="0"/>
            </w:pPr>
            <w:r>
              <w:rPr>
                <w:rFonts w:ascii="Arial" w:cs="Arial" w:eastAsia="Arial" w:hAnsi="Arial"/>
                <w:b/>
                <w:bCs/>
                <w:i w:val="false"/>
                <w:iCs w:val="false"/>
                <w:caps w:val="false"/>
                <w:color w:val="374151"/>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seeing patients must fully meet all five. Standards 4.1, 4.2, and 4.3 are marked CORE — a NO finding on any of these three blocks accreditation until the gap is resolved. No exceptions.</w:t>
            </w:r>
          </w:p>
        </w:tc>
      </w:tr>
      <w:tr>
        <w:tc>
          <w:tcPr>
            <w:tcW w:type="dxa" w:w="500"/>
            <w:shd w:fill="0e2647"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4.1</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Hand Hygiene</w:t>
            </w:r>
          </w:p>
          <w:p>
            <w:pPr>
              <w:spacing w:after="36" w:before="0"/>
            </w:pPr>
            <w:r>
              <w:rPr>
                <w:rFonts w:ascii="Arial" w:cs="Arial" w:eastAsia="Arial" w:hAnsi="Arial"/>
                <w:b w:val="false"/>
                <w:bCs w:val="false"/>
                <w:i/>
                <w:iCs/>
                <w:caps w:val="false"/>
                <w:color w:val="4b5563"/>
                <w:sz w:val="12"/>
                <w:szCs w:val="12"/>
              </w:rPr>
              <w:t xml:space="preserve">Stations at every bed, ward entrance, and procedure point. Products always available. WHO 5 Moments training for all staff. Quarterly compliance audit.</w:t>
            </w:r>
          </w:p>
        </w:tc>
        <w:tc>
          <w:tcPr>
            <w:tcW w:type="dxa" w:w="2480"/>
            <w:shd w:fill="fee2e2"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b91c1c"/>
                <w:sz w:val="10"/>
                <w:szCs w:val="10"/>
              </w:rPr>
              <w:t xml:space="preserve">CORE  ·  Required for ALL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5</w:t>
            </w:r>
          </w:p>
        </w:tc>
      </w:tr>
      <w:tr>
        <w:tc>
          <w:tcPr>
            <w:tcW w:type="dxa" w:w="500"/>
            <w:shd w:fill="0e2647"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4.2</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Personal Protective Equipment</w:t>
            </w:r>
          </w:p>
          <w:p>
            <w:pPr>
              <w:spacing w:after="36" w:before="0"/>
            </w:pPr>
            <w:r>
              <w:rPr>
                <w:rFonts w:ascii="Arial" w:cs="Arial" w:eastAsia="Arial" w:hAnsi="Arial"/>
                <w:b w:val="false"/>
                <w:bCs w:val="false"/>
                <w:i/>
                <w:iCs/>
                <w:caps w:val="false"/>
                <w:color w:val="4b5563"/>
                <w:sz w:val="12"/>
                <w:szCs w:val="12"/>
              </w:rPr>
              <w:t xml:space="preserve">Correct PPE for every clinical task. Available at point of use. Staff trained in donning and safe removal (doffing). FFP2 mask accessible immediately.</w:t>
            </w:r>
          </w:p>
        </w:tc>
        <w:tc>
          <w:tcPr>
            <w:tcW w:type="dxa" w:w="2480"/>
            <w:shd w:fill="fee2e2"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b91c1c"/>
                <w:sz w:val="10"/>
                <w:szCs w:val="10"/>
              </w:rPr>
              <w:t xml:space="preserve">CORE  ·  Required for ALL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7</w:t>
            </w:r>
          </w:p>
        </w:tc>
      </w:tr>
      <w:tr>
        <w:tc>
          <w:tcPr>
            <w:tcW w:type="dxa" w:w="500"/>
            <w:shd w:fill="0e2647"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4.3</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Clinical Waste Management</w:t>
            </w:r>
          </w:p>
          <w:p>
            <w:pPr>
              <w:spacing w:after="36" w:before="0"/>
            </w:pPr>
            <w:r>
              <w:rPr>
                <w:rFonts w:ascii="Arial" w:cs="Arial" w:eastAsia="Arial" w:hAnsi="Arial"/>
                <w:b w:val="false"/>
                <w:bCs w:val="false"/>
                <w:i/>
                <w:iCs/>
                <w:caps w:val="false"/>
                <w:color w:val="4b5563"/>
                <w:sz w:val="12"/>
                <w:szCs w:val="12"/>
              </w:rPr>
              <w:t xml:space="preserve">Rigid sharps containers at point of use. Clinical waste in yellow bags. Pharmaceutical waste via licensed contractor. Government disposal permit current and valid.</w:t>
            </w:r>
          </w:p>
        </w:tc>
        <w:tc>
          <w:tcPr>
            <w:tcW w:type="dxa" w:w="2480"/>
            <w:shd w:fill="fee2e2"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b91c1c"/>
                <w:sz w:val="10"/>
                <w:szCs w:val="10"/>
              </w:rPr>
              <w:t xml:space="preserve">CORE  ·  Required for ALL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9</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4.4</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Equipment Decontamination and Sterilisation</w:t>
            </w:r>
          </w:p>
          <w:p>
            <w:pPr>
              <w:spacing w:after="36" w:before="0"/>
            </w:pPr>
            <w:r>
              <w:rPr>
                <w:rFonts w:ascii="Arial" w:cs="Arial" w:eastAsia="Arial" w:hAnsi="Arial"/>
                <w:b w:val="false"/>
                <w:bCs w:val="false"/>
                <w:i/>
                <w:iCs/>
                <w:caps w:val="false"/>
                <w:color w:val="4b5563"/>
                <w:sz w:val="12"/>
                <w:szCs w:val="12"/>
              </w:rPr>
              <w:t xml:space="preserve">Written protocol for all reusable equipment. Automated endoscope reprocessing. Autoclave with biological indicators. Correct sterile storage conditions.</w:t>
            </w:r>
          </w:p>
        </w:tc>
        <w:tc>
          <w:tcPr>
            <w:tcW w:type="dxa" w:w="2480"/>
            <w:shd w:fill="d1fae5"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15803d"/>
                <w:sz w:val="10"/>
                <w:szCs w:val="10"/>
              </w:rPr>
              <w:t xml:space="preserve">Required for ALL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11</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4.5</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IPC Programme Leadership and Accountability</w:t>
            </w:r>
          </w:p>
          <w:p>
            <w:pPr>
              <w:spacing w:after="36" w:before="0"/>
            </w:pPr>
            <w:r>
              <w:rPr>
                <w:rFonts w:ascii="Arial" w:cs="Arial" w:eastAsia="Arial" w:hAnsi="Arial"/>
                <w:b w:val="false"/>
                <w:bCs w:val="false"/>
                <w:i/>
                <w:iCs/>
                <w:caps w:val="false"/>
                <w:color w:val="4b5563"/>
                <w:sz w:val="12"/>
                <w:szCs w:val="12"/>
              </w:rPr>
              <w:t xml:space="preserve">Named IPC lead with written responsibilities and protected time. Regular audits. Quarterly IPC committee. Findings reported to senior leadership.</w:t>
            </w:r>
          </w:p>
        </w:tc>
        <w:tc>
          <w:tcPr>
            <w:tcW w:type="dxa" w:w="2480"/>
            <w:shd w:fill="d1fae5"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15803d"/>
                <w:sz w:val="10"/>
                <w:szCs w:val="10"/>
              </w:rPr>
              <w:t xml:space="preserve">Required for ALL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13</w:t>
            </w:r>
          </w:p>
        </w:tc>
      </w:tr>
      <w:tr>
        <w:tc>
          <w:tcPr>
            <w:tcW w:type="dxa" w:w="9360"/>
            <w:gridSpan w:val="4"/>
            <w:shd w:fill="14335c" w:color="auto" w:val="clear"/>
            <w:tcMar>
              <w:top w:type="dxa" w:w="28"/>
              <w:left w:type="dxa" w:w="110"/>
              <w:bottom w:type="dxa" w:w="28"/>
              <w:right w:type="dxa" w:w="90"/>
            </w:tcMar>
          </w:tcPr>
          <w:p>
            <w:pPr>
              <w:spacing w:after="36" w:before="0"/>
            </w:pPr>
            <w:r>
              <w:rPr>
                <w:rFonts w:ascii="Helvetica" w:cs="Helvetica" w:eastAsia="Helvetica" w:hAnsi="Helvetica"/>
                <w:b/>
                <w:bCs/>
                <w:i w:val="false"/>
                <w:iCs w:val="false"/>
                <w:caps w:val="false"/>
                <w:color w:val="ffffff"/>
                <w:sz w:val="11"/>
                <w:szCs w:val="11"/>
              </w:rPr>
              <w:t xml:space="preserve">LEVEL 2 — ACCREDITED  |  Standards 4.6 to 4.9</w:t>
            </w:r>
          </w:p>
        </w:tc>
      </w:tr>
      <w:tr>
        <w:tc>
          <w:tcPr>
            <w:tcW w:type="dxa" w:w="9360"/>
            <w:gridSpan w:val="4"/>
            <w:shd w:fill="fef3c7" w:color="auto" w:val="clear"/>
            <w:tcMar>
              <w:top w:type="dxa" w:w="20"/>
              <w:left w:type="dxa" w:w="110"/>
              <w:bottom w:type="dxa" w:w="20"/>
              <w:right w:type="dxa" w:w="90"/>
            </w:tcMar>
          </w:tcPr>
          <w:p>
            <w:pPr>
              <w:spacing w:after="36" w:before="0"/>
            </w:pPr>
            <w:r>
              <w:rPr>
                <w:rFonts w:ascii="Arial" w:cs="Arial" w:eastAsia="Arial" w:hAnsi="Arial"/>
                <w:b/>
                <w:bCs/>
                <w:i w:val="false"/>
                <w:iCs w:val="false"/>
                <w:caps w:val="false"/>
                <w:color w:val="374151"/>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prevents infections from worsening. An Accredited facility actively monitors infection rates, responds to outbreaks systematically, trains all staff with individual records, and can isolate infectious patients. These are the marks of a facility that manages IPC as a live system.</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4.6</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HAI Surveillance and Infection Rate Monitoring</w:t>
            </w:r>
          </w:p>
          <w:p>
            <w:pPr>
              <w:spacing w:after="36" w:before="0"/>
            </w:pPr>
            <w:r>
              <w:rPr>
                <w:rFonts w:ascii="Arial" w:cs="Arial" w:eastAsia="Arial" w:hAnsi="Arial"/>
                <w:b w:val="false"/>
                <w:bCs w:val="false"/>
                <w:i/>
                <w:iCs/>
                <w:caps w:val="false"/>
                <w:color w:val="4b5563"/>
                <w:sz w:val="12"/>
                <w:szCs w:val="12"/>
              </w:rPr>
              <w:t xml:space="preserve">Three infection indicators tracked monthly against a baseline. Data reviewed by IPC committee. Rising rates investigated. Clinical teams receive the data.</w:t>
            </w:r>
          </w:p>
        </w:tc>
        <w:tc>
          <w:tcPr>
            <w:tcW w:type="dxa" w:w="2480"/>
            <w:shd w:fill="fef3c7"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92400e"/>
                <w:sz w:val="10"/>
                <w:szCs w:val="10"/>
              </w:rPr>
              <w:t xml:space="preserve">Expected of ACCREDITED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15</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4.7</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Outbreak Detection and Response</w:t>
            </w:r>
          </w:p>
          <w:p>
            <w:pPr>
              <w:spacing w:after="36" w:before="0"/>
            </w:pPr>
            <w:r>
              <w:rPr>
                <w:rFonts w:ascii="Arial" w:cs="Arial" w:eastAsia="Arial" w:hAnsi="Arial"/>
                <w:b w:val="false"/>
                <w:bCs w:val="false"/>
                <w:i/>
                <w:iCs/>
                <w:caps w:val="false"/>
                <w:color w:val="4b5563"/>
                <w:sz w:val="12"/>
                <w:szCs w:val="12"/>
              </w:rPr>
              <w:t xml:space="preserve">Written plan with a specific trigger — not vague. Named incident commander. Public health authority contact with phone number. Isolation protocol. Plan reviewed every 2 years.</w:t>
            </w:r>
          </w:p>
        </w:tc>
        <w:tc>
          <w:tcPr>
            <w:tcW w:type="dxa" w:w="2480"/>
            <w:shd w:fill="fef3c7"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92400e"/>
                <w:sz w:val="10"/>
                <w:szCs w:val="10"/>
              </w:rPr>
              <w:t xml:space="preserve">Expected of ACCREDITED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17</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4.8</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IPC Training for All Clinical Staff</w:t>
            </w:r>
          </w:p>
          <w:p>
            <w:pPr>
              <w:spacing w:after="36" w:before="0"/>
            </w:pPr>
            <w:r>
              <w:rPr>
                <w:rFonts w:ascii="Arial" w:cs="Arial" w:eastAsia="Arial" w:hAnsi="Arial"/>
                <w:b w:val="false"/>
                <w:bCs w:val="false"/>
                <w:i/>
                <w:iCs/>
                <w:caps w:val="false"/>
                <w:color w:val="4b5563"/>
                <w:sz w:val="12"/>
                <w:szCs w:val="12"/>
              </w:rPr>
              <w:t xml:space="preserve">IPC induction within the first week of employment for every clinical staff member. Refresher every 24 months. Individual records. Four core topics. Tracking system for renewals.</w:t>
            </w:r>
          </w:p>
        </w:tc>
        <w:tc>
          <w:tcPr>
            <w:tcW w:type="dxa" w:w="2480"/>
            <w:shd w:fill="fef3c7"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92400e"/>
                <w:sz w:val="10"/>
                <w:szCs w:val="10"/>
              </w:rPr>
              <w:t xml:space="preserve">Expected of ACCREDITED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19</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4.9</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Patient Isolation and Transmission-Based Precautions</w:t>
            </w:r>
          </w:p>
          <w:p>
            <w:pPr>
              <w:spacing w:after="36" w:before="0"/>
            </w:pPr>
            <w:r>
              <w:rPr>
                <w:rFonts w:ascii="Arial" w:cs="Arial" w:eastAsia="Arial" w:hAnsi="Arial"/>
                <w:b w:val="false"/>
                <w:bCs w:val="false"/>
                <w:i/>
                <w:iCs/>
                <w:caps w:val="false"/>
                <w:color w:val="4b5563"/>
                <w:sz w:val="12"/>
                <w:szCs w:val="12"/>
              </w:rPr>
              <w:t xml:space="preserve">Written policy with trigger list. Single room with closing door. Hand hygiene at entrance. Dedicated equipment. Staff know correct PPE for TB. Patient given a clear explanation.</w:t>
            </w:r>
          </w:p>
        </w:tc>
        <w:tc>
          <w:tcPr>
            <w:tcW w:type="dxa" w:w="2480"/>
            <w:shd w:fill="fef3c7"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92400e"/>
                <w:sz w:val="10"/>
                <w:szCs w:val="10"/>
              </w:rPr>
              <w:t xml:space="preserve">Expected of ACCREDITED facilities</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21</w:t>
            </w:r>
          </w:p>
        </w:tc>
      </w:tr>
      <w:tr>
        <w:tc>
          <w:tcPr>
            <w:tcW w:type="dxa" w:w="9360"/>
            <w:gridSpan w:val="4"/>
            <w:shd w:fill="14335c" w:color="auto" w:val="clear"/>
            <w:tcMar>
              <w:top w:type="dxa" w:w="28"/>
              <w:left w:type="dxa" w:w="110"/>
              <w:bottom w:type="dxa" w:w="28"/>
              <w:right w:type="dxa" w:w="90"/>
            </w:tcMar>
          </w:tcPr>
          <w:p>
            <w:pPr>
              <w:spacing w:after="36" w:before="0"/>
            </w:pPr>
            <w:r>
              <w:rPr>
                <w:rFonts w:ascii="Helvetica" w:cs="Helvetica" w:eastAsia="Helvetica" w:hAnsi="Helvetica"/>
                <w:b/>
                <w:bCs/>
                <w:i w:val="false"/>
                <w:iCs w:val="false"/>
                <w:caps w:val="false"/>
                <w:color w:val="ffffff"/>
                <w:sz w:val="11"/>
                <w:szCs w:val="11"/>
              </w:rPr>
              <w:t xml:space="preserve">LEVEL 3 — ADVANCED  |  Standards 4.10 to 4.12</w:t>
            </w:r>
          </w:p>
        </w:tc>
      </w:tr>
      <w:tr>
        <w:tc>
          <w:tcPr>
            <w:tcW w:type="dxa" w:w="9360"/>
            <w:gridSpan w:val="4"/>
            <w:shd w:fill="dbeafe" w:color="auto" w:val="clear"/>
            <w:tcMar>
              <w:top w:type="dxa" w:w="20"/>
              <w:left w:type="dxa" w:w="110"/>
              <w:bottom w:type="dxa" w:w="20"/>
              <w:right w:type="dxa" w:w="90"/>
            </w:tcMar>
          </w:tcPr>
          <w:p>
            <w:pPr>
              <w:spacing w:after="36" w:before="0"/>
            </w:pPr>
            <w:r>
              <w:rPr>
                <w:rFonts w:ascii="Arial" w:cs="Arial" w:eastAsia="Arial" w:hAnsi="Arial"/>
                <w:b/>
                <w:bCs/>
                <w:i w:val="false"/>
                <w:iCs w:val="false"/>
                <w:caps w:val="false"/>
                <w:color w:val="374151"/>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 goes beyond its own walls. It controls antibiotic use to reduce resistance, compares its infection rates to other facilities and learns from the gap, and actively involves patients as partners in infection prevention. These mark a facility at international best practice level.</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4.10</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Antimicrobial Stewardship Programme</w:t>
            </w:r>
          </w:p>
          <w:p>
            <w:pPr>
              <w:spacing w:after="36" w:before="0"/>
            </w:pPr>
            <w:r>
              <w:rPr>
                <w:rFonts w:ascii="Arial" w:cs="Arial" w:eastAsia="Arial" w:hAnsi="Arial"/>
                <w:b w:val="false"/>
                <w:bCs w:val="false"/>
                <w:i/>
                <w:iCs/>
                <w:caps w:val="false"/>
                <w:color w:val="4b5563"/>
                <w:sz w:val="12"/>
                <w:szCs w:val="12"/>
              </w:rPr>
              <w:t xml:space="preserve">Restricted antibiotic list requiring senior approval. Weekly prescription review. Annual antibiogram using local data. Empirical prescribing guidelines based on local resistance patterns.</w:t>
            </w:r>
          </w:p>
        </w:tc>
        <w:tc>
          <w:tcPr>
            <w:tcW w:type="dxa" w:w="2480"/>
            <w:shd w:fill="dbeafe"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2563eb"/>
                <w:sz w:val="10"/>
                <w:szCs w:val="10"/>
              </w:rPr>
              <w:t xml:space="preserve">International BEST PRACTICE</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23</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4.11</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External Benchmarking and Peer Comparison</w:t>
            </w:r>
          </w:p>
          <w:p>
            <w:pPr>
              <w:spacing w:after="36" w:before="0"/>
            </w:pPr>
            <w:r>
              <w:rPr>
                <w:rFonts w:ascii="Arial" w:cs="Arial" w:eastAsia="Arial" w:hAnsi="Arial"/>
                <w:b w:val="false"/>
                <w:bCs w:val="false"/>
                <w:i/>
                <w:iCs/>
                <w:caps w:val="false"/>
                <w:color w:val="4b5563"/>
                <w:sz w:val="12"/>
                <w:szCs w:val="12"/>
              </w:rPr>
              <w:t xml:space="preserve">Participates in a national surveillance network or ASF benchmarking pool. Annual comparative report received. Unfavourable indicators investigated. Results shared with clinical teams.</w:t>
            </w:r>
          </w:p>
        </w:tc>
        <w:tc>
          <w:tcPr>
            <w:tcW w:type="dxa" w:w="2480"/>
            <w:shd w:fill="dbeafe"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2563eb"/>
                <w:sz w:val="10"/>
                <w:szCs w:val="10"/>
              </w:rPr>
              <w:t xml:space="preserve">International BEST PRACTICE</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25</w:t>
            </w:r>
          </w:p>
        </w:tc>
      </w:tr>
      <w:tr>
        <w:tc>
          <w:tcPr>
            <w:tcW w:type="dxa" w:w="500"/>
            <w:shd w:fill="14335c" w:color="auto" w:val="clear"/>
            <w:tcMar>
              <w:top w:type="dxa" w:w="44"/>
              <w:left w:type="dxa" w:w="50"/>
              <w:bottom w:type="dxa" w:w="44"/>
              <w:right w:type="dxa" w:w="36"/>
            </w:tcMar>
            <w:vAlign w:val="center"/>
          </w:tcPr>
          <w:p>
            <w:pPr>
              <w:spacing w:after="36" w:before="0"/>
            </w:pPr>
            <w:r>
              <w:rPr>
                <w:rFonts w:ascii="Georgia" w:cs="Georgia" w:eastAsia="Georgia" w:hAnsi="Georgia"/>
                <w:b/>
                <w:bCs/>
                <w:i w:val="false"/>
                <w:iCs w:val="false"/>
                <w:caps w:val="false"/>
                <w:color w:val="c9a227"/>
                <w:sz w:val="16"/>
                <w:szCs w:val="16"/>
              </w:rPr>
              <w:t xml:space="preserve">4.12</w:t>
            </w:r>
          </w:p>
        </w:tc>
        <w:tc>
          <w:tcPr>
            <w:tcW w:type="dxa" w:w="5640"/>
            <w:shd w:fill="fafafa" w:color="auto" w:val="clear"/>
            <w:tcMar>
              <w:top w:type="dxa" w:w="44"/>
              <w:left w:type="dxa" w:w="75"/>
              <w:bottom w:type="dxa" w:w="44"/>
              <w:right w:type="dxa" w:w="75"/>
            </w:tcMar>
            <w:vAlign w:val="top"/>
          </w:tcPr>
          <w:p>
            <w:pPr>
              <w:spacing w:after="5" w:before="0"/>
            </w:pPr>
            <w:r>
              <w:rPr>
                <w:rFonts w:ascii="Arial" w:cs="Arial" w:eastAsia="Arial" w:hAnsi="Arial"/>
                <w:b/>
                <w:bCs/>
                <w:i w:val="false"/>
                <w:iCs w:val="false"/>
                <w:caps w:val="false"/>
                <w:color w:val="14335c"/>
                <w:sz w:val="15"/>
                <w:szCs w:val="15"/>
              </w:rPr>
              <w:t xml:space="preserve">Patient and Family Engagement in IPC</w:t>
            </w:r>
          </w:p>
          <w:p>
            <w:pPr>
              <w:spacing w:after="36" w:before="0"/>
            </w:pPr>
            <w:r>
              <w:rPr>
                <w:rFonts w:ascii="Arial" w:cs="Arial" w:eastAsia="Arial" w:hAnsi="Arial"/>
                <w:b w:val="false"/>
                <w:bCs w:val="false"/>
                <w:i/>
                <w:iCs/>
                <w:caps w:val="false"/>
                <w:color w:val="4b5563"/>
                <w:sz w:val="12"/>
                <w:szCs w:val="12"/>
              </w:rPr>
              <w:t xml:space="preserve">Bedside notice — patient right to ask staff to clean hands. IPC question in the patient satisfaction survey. Results shared with clinical teams and reviewed by IPC lead.</w:t>
            </w:r>
          </w:p>
        </w:tc>
        <w:tc>
          <w:tcPr>
            <w:tcW w:type="dxa" w:w="2480"/>
            <w:shd w:fill="dbeafe" w:color="auto" w:val="clear"/>
            <w:tcMar>
              <w:top w:type="dxa" w:w="44"/>
              <w:left w:type="dxa" w:w="55"/>
              <w:bottom w:type="dxa" w:w="44"/>
              <w:right w:type="dxa" w:w="75"/>
            </w:tcMar>
            <w:vAlign w:val="center"/>
          </w:tcPr>
          <w:p>
            <w:pPr>
              <w:spacing w:after="36" w:before="0"/>
            </w:pPr>
            <w:r>
              <w:rPr>
                <w:rFonts w:ascii="Helvetica" w:cs="Helvetica" w:eastAsia="Helvetica" w:hAnsi="Helvetica"/>
                <w:b/>
                <w:bCs/>
                <w:i w:val="false"/>
                <w:iCs w:val="false"/>
                <w:caps w:val="false"/>
                <w:color w:val="2563eb"/>
                <w:sz w:val="10"/>
                <w:szCs w:val="10"/>
              </w:rPr>
              <w:t xml:space="preserve">International BEST PRACTICE</w:t>
            </w:r>
          </w:p>
        </w:tc>
        <w:tc>
          <w:tcPr>
            <w:tcW w:type="dxa" w:w="740"/>
            <w:tcMar>
              <w:top w:type="dxa" w:w="44"/>
              <w:left w:type="dxa" w:w="46"/>
              <w:bottom w:type="dxa" w:w="44"/>
              <w:right w:type="dxa" w:w="75"/>
            </w:tcMar>
            <w:vAlign w:val="center"/>
          </w:tcPr>
          <w:p>
            <w:pPr>
              <w:spacing w:after="36" w:before="0"/>
            </w:pPr>
            <w:r>
              <w:rPr>
                <w:rFonts w:ascii="Arial" w:cs="Arial" w:eastAsia="Arial" w:hAnsi="Arial"/>
                <w:b w:val="false"/>
                <w:bCs w:val="false"/>
                <w:i/>
                <w:iCs/>
                <w:caps w:val="false"/>
                <w:color w:val="aaaaaa"/>
                <w:sz w:val="12"/>
                <w:szCs w:val="12"/>
              </w:rPr>
              <w:t xml:space="preserve">27</w:t>
            </w:r>
          </w:p>
        </w:tc>
      </w:tr>
      <w:tr>
        <w:tc>
          <w:tcPr>
            <w:tcW w:type="dxa" w:w="9360"/>
            <w:gridSpan w:val="4"/>
            <w:shd w:fill="14335c" w:color="auto" w:val="clear"/>
            <w:tcMar>
              <w:top w:type="dxa" w:w="28"/>
              <w:left w:type="dxa" w:w="110"/>
              <w:bottom w:type="dxa" w:w="28"/>
              <w:right w:type="dxa" w:w="90"/>
            </w:tcMar>
          </w:tcPr>
          <w:p>
            <w:pPr>
              <w:spacing w:after="36" w:before="0"/>
            </w:pPr>
            <w:r>
              <w:rPr>
                <w:rFonts w:ascii="Helvetica" w:cs="Helvetica" w:eastAsia="Helvetica" w:hAnsi="Helvetica"/>
                <w:b/>
                <w:bCs/>
                <w:i w:val="false"/>
                <w:iCs w:val="false"/>
                <w:caps w:val="false"/>
                <w:color w:val="ffffff"/>
                <w:sz w:val="11"/>
                <w:szCs w:val="11"/>
              </w:rPr>
              <w:t xml:space="preserve">BACK MATTER</w:t>
            </w:r>
          </w:p>
        </w:tc>
      </w:tr>
      <w:tr>
        <w:tc>
          <w:tcPr>
            <w:tcW w:type="dxa" w:w="500"/>
            <w:shd w:fill="f0f4f8" w:color="auto" w:val="clear"/>
            <w:tcMar>
              <w:top w:type="dxa" w:w="38"/>
              <w:left w:type="dxa" w:w="50"/>
              <w:bottom w:type="dxa" w:w="38"/>
              <w:right w:type="dxa" w:w="75"/>
            </w:tcMar>
            <w:vAlign w:val="center"/>
          </w:tcPr>
          <w:p>
            <w:pPr>
              <w:spacing w:after="36" w:before="0"/>
            </w:pPr>
            <w:r>
              <w:rPr>
                <w:rFonts w:ascii="Arial" w:cs="Arial" w:eastAsia="Arial" w:hAnsi="Arial"/>
                <w:b w:val="false"/>
                <w:bCs w:val="false"/>
                <w:i w:val="false"/>
                <w:iCs w:val="false"/>
                <w:caps w:val="false"/>
                <w:color w:val="aaaaaa"/>
                <w:sz w:val="13"/>
                <w:szCs w:val="13"/>
              </w:rPr>
              <w:t xml:space="preserve">—</w:t>
            </w:r>
          </w:p>
        </w:tc>
        <w:tc>
          <w:tcPr>
            <w:tcW w:type="dxa" w:w="5640"/>
            <w:shd w:fill="f8fafc" w:color="auto" w:val="clear"/>
            <w:tcMar>
              <w:top w:type="dxa" w:w="38"/>
              <w:left w:type="dxa" w:w="75"/>
              <w:bottom w:type="dxa" w:w="38"/>
              <w:right w:type="dxa" w:w="75"/>
            </w:tcMar>
            <w:vAlign w:val="top"/>
          </w:tcPr>
          <w:p>
            <w:pPr>
              <w:spacing w:after="36" w:before="0"/>
            </w:pPr>
            <w:r>
              <w:rPr>
                <w:rFonts w:ascii="Arial" w:cs="Arial" w:eastAsia="Arial" w:hAnsi="Arial"/>
                <w:b w:val="false"/>
                <w:bCs w:val="false"/>
                <w:i w:val="false"/>
                <w:iCs w:val="false"/>
                <w:caps w:val="false"/>
                <w:color w:val="4b5563"/>
                <w:sz w:val="14"/>
                <w:szCs w:val="14"/>
              </w:rPr>
              <w:t xml:space="preserve">Combined References — 38 citations, Vancouver style, with full URL for each citation</w:t>
            </w:r>
          </w:p>
        </w:tc>
        <w:tc>
          <w:tcPr>
            <w:tcW w:type="dxa" w:w="2480"/>
            <w:shd w:fill="f8fafc" w:color="auto" w:val="clear"/>
            <w:tcMar>
              <w:top w:type="dxa" w:w="38"/>
              <w:left w:type="dxa" w:w="55"/>
              <w:bottom w:type="dxa" w:w="38"/>
              <w:right w:type="dxa" w:w="75"/>
            </w:tcMar>
            <w:vAlign w:val="top"/>
          </w:tcPr>
          <w:p>
            <w:pPr>
              <w:spacing w:after="36" w:before="0"/>
            </w:pPr>
            <w:r>
              <w:rPr>
                <w:rFonts w:ascii="Arial" w:cs="Arial" w:eastAsia="Arial" w:hAnsi="Arial"/>
                <w:b w:val="false"/>
                <w:bCs w:val="false"/>
                <w:i w:val="false"/>
                <w:iCs w:val="false"/>
                <w:caps w:val="false"/>
                <w:color w:val="aaaaaa"/>
                <w:sz w:val="10"/>
                <w:szCs w:val="10"/>
              </w:rPr>
              <w:t xml:space="preserve"/>
            </w:r>
          </w:p>
        </w:tc>
        <w:tc>
          <w:tcPr>
            <w:tcW w:type="dxa" w:w="740"/>
            <w:tcMar>
              <w:top w:type="dxa" w:w="38"/>
              <w:left w:type="dxa" w:w="46"/>
              <w:bottom w:type="dxa" w:w="38"/>
              <w:right w:type="dxa" w:w="75"/>
            </w:tcMar>
            <w:vAlign w:val="top"/>
          </w:tcPr>
          <w:p>
            <w:pPr>
              <w:spacing w:after="36" w:before="0"/>
            </w:pPr>
            <w:r>
              <w:rPr>
                <w:rFonts w:ascii="Arial" w:cs="Arial" w:eastAsia="Arial" w:hAnsi="Arial"/>
                <w:b w:val="false"/>
                <w:bCs w:val="false"/>
                <w:i/>
                <w:iCs/>
                <w:caps w:val="false"/>
                <w:color w:val="aaaaaa"/>
                <w:sz w:val="12"/>
                <w:szCs w:val="12"/>
              </w:rPr>
              <w:t xml:space="default"/>
            </w:r>
          </w:p>
        </w:tc>
      </w:tr>
      <w:tr>
        <w:tc>
          <w:tcPr>
            <w:tcW w:type="dxa" w:w="500"/>
            <w:shd w:fill="f0f4f8" w:color="auto" w:val="clear"/>
            <w:tcMar>
              <w:top w:type="dxa" w:w="38"/>
              <w:left w:type="dxa" w:w="50"/>
              <w:bottom w:type="dxa" w:w="38"/>
              <w:right w:type="dxa" w:w="75"/>
            </w:tcMar>
            <w:vAlign w:val="center"/>
          </w:tcPr>
          <w:p>
            <w:pPr>
              <w:spacing w:after="36" w:before="0"/>
            </w:pPr>
            <w:r>
              <w:rPr>
                <w:rFonts w:ascii="Arial" w:cs="Arial" w:eastAsia="Arial" w:hAnsi="Arial"/>
                <w:b w:val="false"/>
                <w:bCs w:val="false"/>
                <w:i w:val="false"/>
                <w:iCs w:val="false"/>
                <w:caps w:val="false"/>
                <w:color w:val="aaaaaa"/>
                <w:sz w:val="13"/>
                <w:szCs w:val="13"/>
              </w:rPr>
              <w:t xml:space="preserve">—</w:t>
            </w:r>
          </w:p>
        </w:tc>
        <w:tc>
          <w:tcPr>
            <w:tcW w:type="dxa" w:w="5640"/>
            <w:shd w:fill="f8fafc" w:color="auto" w:val="clear"/>
            <w:tcMar>
              <w:top w:type="dxa" w:w="38"/>
              <w:left w:type="dxa" w:w="75"/>
              <w:bottom w:type="dxa" w:w="38"/>
              <w:right w:type="dxa" w:w="75"/>
            </w:tcMar>
            <w:vAlign w:val="top"/>
          </w:tcPr>
          <w:p>
            <w:pPr>
              <w:spacing w:after="36" w:before="0"/>
            </w:pPr>
            <w:r>
              <w:rPr>
                <w:rFonts w:ascii="Arial" w:cs="Arial" w:eastAsia="Arial" w:hAnsi="Arial"/>
                <w:b w:val="false"/>
                <w:bCs w:val="false"/>
                <w:i w:val="false"/>
                <w:iCs w:val="false"/>
                <w:caps w:val="false"/>
                <w:color w:val="4b5563"/>
                <w:sz w:val="14"/>
                <w:szCs w:val="14"/>
              </w:rPr>
              <w:t xml:space="preserve">Keyword Index — 60 terms with standard cross-references, alphabetical</w:t>
            </w:r>
          </w:p>
        </w:tc>
        <w:tc>
          <w:tcPr>
            <w:tcW w:type="dxa" w:w="2480"/>
            <w:shd w:fill="f8fafc" w:color="auto" w:val="clear"/>
            <w:tcMar>
              <w:top w:type="dxa" w:w="38"/>
              <w:left w:type="dxa" w:w="55"/>
              <w:bottom w:type="dxa" w:w="38"/>
              <w:right w:type="dxa" w:w="75"/>
            </w:tcMar>
            <w:vAlign w:val="top"/>
          </w:tcPr>
          <w:p>
            <w:pPr>
              <w:spacing w:after="36" w:before="0"/>
            </w:pPr>
            <w:r>
              <w:rPr>
                <w:rFonts w:ascii="Arial" w:cs="Arial" w:eastAsia="Arial" w:hAnsi="Arial"/>
                <w:b w:val="false"/>
                <w:bCs w:val="false"/>
                <w:i w:val="false"/>
                <w:iCs w:val="false"/>
                <w:caps w:val="false"/>
                <w:color w:val="aaaaaa"/>
                <w:sz w:val="10"/>
                <w:szCs w:val="10"/>
              </w:rPr>
              <w:t xml:space="preserve"/>
            </w:r>
          </w:p>
        </w:tc>
        <w:tc>
          <w:tcPr>
            <w:tcW w:type="dxa" w:w="740"/>
            <w:tcMar>
              <w:top w:type="dxa" w:w="38"/>
              <w:left w:type="dxa" w:w="46"/>
              <w:bottom w:type="dxa" w:w="38"/>
              <w:right w:type="dxa" w:w="75"/>
            </w:tcMar>
            <w:vAlign w:val="top"/>
          </w:tcPr>
          <w:p>
            <w:pPr>
              <w:spacing w:after="36" w:before="0"/>
            </w:pPr>
            <w:r>
              <w:rPr>
                <w:rFonts w:ascii="Arial" w:cs="Arial" w:eastAsia="Arial" w:hAnsi="Arial"/>
                <w:b w:val="false"/>
                <w:bCs w:val="false"/>
                <w:i/>
                <w:iCs/>
                <w:caps w:val="false"/>
                <w:color w:val="aaaaaa"/>
                <w:sz w:val="12"/>
                <w:szCs w:val="12"/>
              </w:rPr>
              <w:t xml:space="defaul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9360"/>
      </w:tblGrid>
      <w:tr>
        <w:tc>
          <w:tcPr>
            <w:tcW w:type="dxa" w:w="9360"/>
            <w:shd w:fill="0e2647" w:color="auto" w:val="clear"/>
            <w:tcMar>
              <w:top w:type="dxa" w:w="44"/>
              <w:left w:type="dxa" w:w="110"/>
              <w:bottom w:type="dxa" w:w="44"/>
              <w:right w:type="dxa" w:w="75"/>
            </w:tcMar>
            <w:vAlign w:val="top"/>
          </w:tcPr>
          <w:p>
            <w:pPr>
              <w:spacing w:after="36" w:before="0"/>
            </w:pPr>
            <w:r>
              <w:rPr>
                <w:rFonts w:ascii="Arial" w:cs="Arial" w:eastAsia="Arial" w:hAnsi="Arial"/>
                <w:b/>
                <w:bCs/>
                <w:i w:val="false"/>
                <w:iCs w:val="false"/>
                <w:caps w:val="false"/>
                <w:color w:val="c9a227"/>
                <w:sz w:val="12"/>
                <w:szCs w:val="12"/>
              </w:rPr>
              <w:t xml:space="preserve">Cross-cutting map and digital standards: </w:t>
            </w:r>
            <w:hyperlink w:history="1" r:id="rIdghvcm_cudwoaey31mmjwo">
              <w:r>
                <w:rPr>
                  <w:rFonts w:ascii="Arial" w:cs="Arial" w:eastAsia="Arial" w:hAnsi="Arial"/>
                  <w:b/>
                  <w:bCs/>
                  <w:color w:val="c9a227"/>
                  <w:sz w:val="12"/>
                  <w:szCs w:val="12"/>
                  <w:u w:val="single"/>
                </w:rPr>
                <w:t xml:space="preserve">france-asf.fr</w:t>
              </w:r>
            </w:hyperlink>
            <w:r>
              <w:rPr>
                <w:rFonts w:ascii="Arial" w:cs="Arial" w:eastAsia="Arial" w:hAnsi="Arial"/>
                <w:b/>
                <w:bCs/>
                <w:i w:val="false"/>
                <w:iCs w:val="false"/>
                <w:caps w:val="false"/>
                <w:color w:val="c9a227"/>
                <w:sz w:val="12"/>
                <w:szCs w:val="12"/>
              </w:rPr>
              <w:t xml:space="preserve">   E-learning: </w:t>
            </w:r>
            <w:hyperlink w:history="1" r:id="rIdxoob9s6-imcgrgkfr2lio">
              <w:r>
                <w:rPr>
                  <w:rFonts w:ascii="Arial" w:cs="Arial" w:eastAsia="Arial" w:hAnsi="Arial"/>
                  <w:b/>
                  <w:bCs/>
                  <w:color w:val="c9a227"/>
                  <w:sz w:val="12"/>
                  <w:szCs w:val="12"/>
                  <w:u w:val="single"/>
                </w:rPr>
                <w:t xml:space="preserve">academy.gmj.ge</w:t>
              </w:r>
            </w:hyperlink>
            <w:r>
              <w:rPr>
                <w:rFonts w:ascii="Arial" w:cs="Arial" w:eastAsia="Arial" w:hAnsi="Arial"/>
                <w:b/>
                <w:bCs/>
                <w:i w:val="false"/>
                <w:iCs w:val="false"/>
                <w:caps w:val="false"/>
                <w:color w:val="c9a227"/>
                <w:sz w:val="12"/>
                <w:szCs w:val="12"/>
              </w:rPr>
              <w:t xml:space="preserve">   Advisory support: </w:t>
            </w:r>
            <w:hyperlink w:history="1" r:id="rIdetwlyvx9rzlpskbfdynaa">
              <w:r>
                <w:rPr>
                  <w:rFonts w:ascii="Arial" w:cs="Arial" w:eastAsia="Arial" w:hAnsi="Arial"/>
                  <w:b/>
                  <w:bCs/>
                  <w:color w:val="c9a227"/>
                  <w:sz w:val="12"/>
                  <w:szCs w:val="12"/>
                  <w:u w:val="single"/>
                </w:rPr>
                <w:t xml:space="preserve">info@france-asf.fr</w:t>
              </w:r>
            </w:hyperlink>
            <w:r>
              <w:rPr>
                <w:rFonts w:ascii="Arial" w:cs="Arial" w:eastAsia="Arial" w:hAnsi="Arial"/>
                <w:b w:val="false"/>
                <w:bCs w:val="false"/>
                <w:i/>
                <w:iCs/>
                <w:caps w:val="false"/>
                <w:color w:val="aaaaaa"/>
                <w:sz w:val="11"/>
                <w:szCs w:val="11"/>
              </w:rPr>
              <w:t xml:space="preserve">   ASF-CH4-IPC-v2.0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4: Infection Prevention &amp; Control</w:t>
            </w:r>
          </w:p>
          <w:p>
            <w:pPr>
              <w:spacing w:after="36" w:before="0"/>
            </w:pPr>
            <w:r>
              <w:rPr>
                <w:rFonts w:ascii="Arial" w:cs="Arial" w:eastAsia="Arial" w:hAnsi="Arial"/>
                <w:b/>
                <w:bCs/>
                <w:i w:val="false"/>
                <w:iCs w:val="false"/>
                <w:caps w:val="false"/>
                <w:color w:val="dce8f5"/>
                <w:sz w:val="12"/>
                <w:szCs w:val="12"/>
              </w:rPr>
              <w:t xml:space="preserve">Hand hygiene stations are present at every point of care, and products are always available during clinical hours.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Hand hygiene stations are present at every point of care, and products are always available during clinical hours.</w:t>
            </w:r>
          </w:p>
          <w:p>
            <w:pPr>
              <w:spacing w:after="36" w:before="0"/>
            </w:pPr>
            <w:r>
              <w:rPr>
                <w:rFonts w:ascii="Arial" w:cs="Arial" w:eastAsia="Arial" w:hAnsi="Arial"/>
                <w:b w:val="false"/>
                <w:bCs w:val="false"/>
                <w:i w:val="false"/>
                <w:iCs w:val="false"/>
                <w:caps w:val="false"/>
                <w:color w:val="4b5563"/>
                <w:sz w:val="15"/>
                <w:szCs w:val="15"/>
              </w:rPr>
              <w:t xml:space="preserve">Every bed, examination table, treatment trolley and clinical area entrance needs an alcohol-based hand rub dispenser or soap with running water. Never empty during clinical hours.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Hand hygiene station at every patient bed?</w:t>
            </w:r>
          </w:p>
          <w:p>
            <w:pPr>
              <w:spacing w:after="7" w:before="0"/>
            </w:pPr>
            <w:r>
              <w:rPr>
                <w:rFonts w:ascii="Arial" w:cs="Arial" w:eastAsia="Arial" w:hAnsi="Arial"/>
                <w:b w:val="false"/>
                <w:bCs w:val="false"/>
                <w:i/>
                <w:iCs/>
                <w:caps w:val="false"/>
                <w:color w:val="4b5563"/>
                <w:sz w:val="15"/>
                <w:szCs w:val="15"/>
              </w:rPr>
              <w:t xml:space="preserve">Station within arms reach or sink with soap within 3 metres.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Compliance audit last 3 months — upload to ASF portal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Station at entrance to every clinical ward or department?</w:t>
            </w:r>
          </w:p>
          <w:p>
            <w:pPr>
              <w:spacing w:after="36" w:before="0"/>
            </w:pPr>
            <w:r>
              <w:rPr>
                <w:rFonts w:ascii="Arial" w:cs="Arial" w:eastAsia="Arial" w:hAnsi="Arial"/>
                <w:b w:val="false"/>
                <w:bCs w:val="false"/>
                <w:i/>
                <w:iCs/>
                <w:caps w:val="false"/>
                <w:color w:val="4b5563"/>
                <w:sz w:val="15"/>
                <w:szCs w:val="15"/>
              </w:rPr>
              <w:t xml:space="preserve">Empty or missing entrance station = standard not maintained throughout the shift.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Dispensers checked and refilled daily — documented?</w:t>
            </w:r>
          </w:p>
          <w:p>
            <w:pPr>
              <w:spacing w:after="7" w:before="0"/>
            </w:pPr>
            <w:r>
              <w:rPr>
                <w:rFonts w:ascii="Arial" w:cs="Arial" w:eastAsia="Arial" w:hAnsi="Arial"/>
                <w:b w:val="false"/>
                <w:bCs w:val="false"/>
                <w:i/>
                <w:iCs/>
                <w:caps w:val="false"/>
                <w:color w:val="4b5563"/>
                <w:sz w:val="15"/>
                <w:szCs w:val="15"/>
              </w:rPr>
              <w:t xml:space="preserve">Full at 8am, empty at 2pm = NOT compliant. Named person per shift.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Refill log or shift checklist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Compliance audit done in last 3 months?</w:t>
            </w:r>
          </w:p>
          <w:p>
            <w:pPr>
              <w:spacing w:after="7" w:before="0"/>
            </w:pPr>
            <w:r>
              <w:rPr>
                <w:rFonts w:ascii="Arial" w:cs="Arial" w:eastAsia="Arial" w:hAnsi="Arial"/>
                <w:b w:val="false"/>
                <w:bCs w:val="false"/>
                <w:i/>
                <w:iCs/>
                <w:caps w:val="false"/>
                <w:color w:val="4b5563"/>
                <w:sz w:val="15"/>
                <w:szCs w:val="15"/>
              </w:rPr>
              <w:t xml:space="preserve">Observer watches staff and records hand hygiene events. A written policy is NOT an audit.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Most recent audit — compliance rate by ward and role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ALL clinical staff trained in WHO 5 Moments, with individual records?</w:t>
            </w:r>
          </w:p>
          <w:p>
            <w:pPr>
              <w:spacing w:after="7" w:before="0"/>
            </w:pPr>
            <w:r>
              <w:rPr>
                <w:rFonts w:ascii="Arial" w:cs="Arial" w:eastAsia="Arial" w:hAnsi="Arial"/>
                <w:b w:val="false"/>
                <w:bCs w:val="false"/>
                <w:i/>
                <w:iCs/>
                <w:caps w:val="false"/>
                <w:color w:val="4b5563"/>
                <w:sz w:val="15"/>
                <w:szCs w:val="15"/>
              </w:rPr>
              <w:t xml:space="preserve">Before patient contact, before procedure, after fluid exposure, after patient, after surroundings.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register — name and date for every staff member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Press every dispenser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Walk every clinical area. Press every dispenser — empty = finding regardless of log. Dispenser more than 3 metres from bed does not count as point-of-care.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Watch 5 interactions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 5 staff-patient interactions. Hand hygiene before touching? Before procedure? After? No interruption — real practice, not performance.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compliance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Open most recent audit. Done in last 3 months? Rate by ward and role? Result 80% or above? Shared with clinical teams?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frontline staff member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you needed to clean your hands and the nearest dispenser was empty — what would you do? Ask a nurse, NOT the quality manager.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4gwmp1-alnpyb9mklrcnz">
              <w:r>
                <w:rPr>
                  <w:rFonts w:ascii="Arial" w:cs="Arial" w:eastAsia="Arial" w:hAnsi="Arial"/>
                  <w:b/>
                  <w:bCs/>
                  <w:color w:val="c9a227"/>
                  <w:sz w:val="13"/>
                  <w:szCs w:val="13"/>
                  <w:u w:val="single"/>
                </w:rPr>
                <w:t xml:space="preserve">WHO (2009) Hand Hygiene Guidelines</w:t>
              </w:r>
            </w:hyperlink>
            <w:r>
              <w:rPr>
                <w:rFonts w:ascii="Arial" w:cs="Arial" w:eastAsia="Arial" w:hAnsi="Arial"/>
                <w:b/>
                <w:bCs/>
                <w:i w:val="false"/>
                <w:iCs w:val="false"/>
                <w:caps w:val="false"/>
                <w:color w:val="6b778c"/>
                <w:sz w:val="13"/>
                <w:szCs w:val="13"/>
              </w:rPr>
              <w:t xml:space="preserve">   2. </w:t>
            </w:r>
            <w:hyperlink w:history="1" r:id="rId2tvtxn5d6rurhapahdmfz">
              <w:r>
                <w:rPr>
                  <w:rFonts w:ascii="Arial" w:cs="Arial" w:eastAsia="Arial" w:hAnsi="Arial"/>
                  <w:b/>
                  <w:bCs/>
                  <w:color w:val="c9a227"/>
                  <w:sz w:val="13"/>
                  <w:szCs w:val="13"/>
                  <w:u w:val="single"/>
                </w:rPr>
                <w:t xml:space="preserve">WHO (2021) 5 Moments Brochure</w:t>
              </w:r>
            </w:hyperlink>
            <w:r>
              <w:rPr>
                <w:rFonts w:ascii="Arial" w:cs="Arial" w:eastAsia="Arial" w:hAnsi="Arial"/>
                <w:b/>
                <w:bCs/>
                <w:i w:val="false"/>
                <w:iCs w:val="false"/>
                <w:caps w:val="false"/>
                <w:color w:val="6b778c"/>
                <w:sz w:val="13"/>
                <w:szCs w:val="13"/>
              </w:rPr>
              <w:t xml:space="preserve">   3. </w:t>
            </w:r>
            <w:hyperlink w:history="1" r:id="rIdwgacexoiypigm9fqz3cwh">
              <w:r>
                <w:rPr>
                  <w:rFonts w:ascii="Arial" w:cs="Arial" w:eastAsia="Arial" w:hAnsi="Arial"/>
                  <w:b/>
                  <w:bCs/>
                  <w:color w:val="c9a227"/>
                  <w:sz w:val="13"/>
                  <w:szCs w:val="13"/>
                  <w:u w:val="single"/>
                </w:rPr>
                <w:t xml:space="preserve">Sphere (2018) Std 5.1.3</w:t>
              </w:r>
            </w:hyperlink>
            <w:r>
              <w:rPr>
                <w:rFonts w:ascii="Arial" w:cs="Arial" w:eastAsia="Arial" w:hAnsi="Arial"/>
                <w:b/>
                <w:bCs/>
                <w:i w:val="false"/>
                <w:iCs w:val="false"/>
                <w:caps w:val="false"/>
                <w:color w:val="6b778c"/>
                <w:sz w:val="13"/>
                <w:szCs w:val="13"/>
              </w:rPr>
              <w:t xml:space="preserve">   4. </w:t>
            </w:r>
            <w:hyperlink w:history="1" r:id="rIdpju05bv1me3pgft9f1yw7">
              <w:r>
                <w:rPr>
                  <w:rFonts w:ascii="Arial" w:cs="Arial" w:eastAsia="Arial" w:hAnsi="Arial"/>
                  <w:b/>
                  <w:bCs/>
                  <w:color w:val="c9a227"/>
                  <w:sz w:val="13"/>
                  <w:szCs w:val="13"/>
                  <w:u w:val="single"/>
                </w:rPr>
                <w:t xml:space="preserve">IOM (2020) IPC Migration Health</w:t>
              </w:r>
            </w:hyperlink>
            <w:r>
              <w:rPr>
                <w:rFonts w:ascii="Arial" w:cs="Arial" w:eastAsia="Arial" w:hAnsi="Arial"/>
                <w:b/>
                <w:bCs/>
                <w:i w:val="false"/>
                <w:iCs w:val="false"/>
                <w:caps w:val="false"/>
                <w:color w:val="6b778c"/>
                <w:sz w:val="13"/>
                <w:szCs w:val="13"/>
              </w:rPr>
              <w:t xml:space="preserve">   5. </w:t>
            </w:r>
            <w:hyperlink w:history="1" r:id="rId7mvimihngbzjtv6vlyzph">
              <w:r>
                <w:rPr>
                  <w:rFonts w:ascii="Arial" w:cs="Arial" w:eastAsia="Arial" w:hAnsi="Arial"/>
                  <w:b/>
                  <w:bCs/>
                  <w:color w:val="c9a227"/>
                  <w:sz w:val="13"/>
                  <w:szCs w:val="13"/>
                  <w:u w:val="single"/>
                </w:rPr>
                <w:t xml:space="preserve">Pittet D. Lancet 2000;356:1307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Hand hygiene is the single most effective action for preventing healthcare-associated infections. WHO estimates HAIs affect up to 1 in 4 patients in low- and middle-income countries — the majority preventable through hand hygiene alone.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Pittet et al. Geneva 2000 showed a structured hand hygiene programme reduced HAI rates by 50% over five years. No other single intervention delivers this return. This is why Standard 4.1 is CORE.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Dispenser beside every bed — full at every shift check</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clean hands automatically — habit, not performance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Audit done by an observer, results shared with the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new staff member trained in Week 1, records filed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patient confirms they have seen staff wash hands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Dispenser on wall, empty for two days — nobody refills 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clean hands when they think someone is watching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 form filled at the desk — no actual observation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Training records from 2019 — nothing since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Surveyor presses dispenser: nothing comes out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Audit exists on paper but was not actually conducted.</w:t>
            </w:r>
          </w:p>
          <w:p>
            <w:pPr>
              <w:spacing w:after="20" w:before="0"/>
            </w:pPr>
            <w:r>
              <w:rPr>
                <w:rFonts w:ascii="Arial" w:cs="Arial" w:eastAsia="Arial" w:hAnsi="Arial"/>
                <w:b w:val="false"/>
                <w:bCs w:val="false"/>
                <w:i/>
                <w:iCs/>
                <w:caps w:val="false"/>
                <w:color w:val="4b5563"/>
                <w:sz w:val="15"/>
                <w:szCs w:val="15"/>
              </w:rPr>
              <w:t xml:space="preserve">The form shows 90% compliance but nobody observed staff. Ask: who conducted it, when, how many interactions were observed? Vague answers = invalid audit.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Some areas compliant, one or two overlooked.</w:t>
            </w:r>
          </w:p>
          <w:p>
            <w:pPr>
              <w:spacing w:after="20" w:before="0"/>
            </w:pPr>
            <w:r>
              <w:rPr>
                <w:rFonts w:ascii="Arial" w:cs="Arial" w:eastAsia="Arial" w:hAnsi="Arial"/>
                <w:b w:val="false"/>
                <w:bCs w:val="false"/>
                <w:i/>
                <w:iCs/>
                <w:caps w:val="false"/>
                <w:color w:val="4b5563"/>
                <w:sz w:val="15"/>
                <w:szCs w:val="15"/>
              </w:rPr>
              <w:t xml:space="preserve">Main ward has dispensers. Treatment room at the end of the corridor ran out three weeks ago. Or the sluice room has no sink. Partial coverage = PARTIAL status.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Training records incomplete — some staff missing.</w:t>
            </w:r>
          </w:p>
          <w:p>
            <w:pPr>
              <w:spacing w:after="36" w:before="0"/>
            </w:pPr>
            <w:r>
              <w:rPr>
                <w:rFonts w:ascii="Arial" w:cs="Arial" w:eastAsia="Arial" w:hAnsi="Arial"/>
                <w:b w:val="false"/>
                <w:bCs w:val="false"/>
                <w:i/>
                <w:iCs/>
                <w:caps w:val="false"/>
                <w:color w:val="4b5563"/>
                <w:sz w:val="15"/>
                <w:szCs w:val="15"/>
              </w:rPr>
              <w:t xml:space="preserve">Most staff trained but three hired in the last six months have not completed induction. Or records exist for nurses but not doctors or cleaning staff.</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Walk every clinical area. List every bed, table, and treatment area. For each: is there a dispenser within arms reach? This map is your installation plan.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Install what is missing. Alcohol gel dispensers cost approximately 10 euros per unit. Assign one named person per shift for the refill check.</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Deliver the WHO 5 Moments training to all clinical staff. 20 minutes is sufficient. Use free WHO materials at who.int/handhygiene. Document attendance.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First compliance audit. One observer, 30 minutes, records events. Compliance rate = correct actions divided by total opportunities times 100.</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Repeat every 3 months. Below 80% means a system problem. Fix the system — not the individual.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Freshly moved dispensers.  </w:t>
            </w:r>
            <w:r>
              <w:rPr>
                <w:rFonts w:ascii="Arial" w:cs="Arial" w:eastAsia="Arial" w:hAnsi="Arial"/>
                <w:b w:val="false"/>
                <w:bCs w:val="false"/>
                <w:i w:val="false"/>
                <w:iCs w:val="false"/>
                <w:caps w:val="false"/>
                <w:color w:val="374151"/>
                <w:sz w:val="16"/>
                <w:szCs w:val="16"/>
              </w:rPr>
              <w:t xml:space="preserve">New wall marks or no wear = installed for the survey. Ask: when were these installed?</w:t>
            </w:r>
          </w:p>
          <w:p>
            <w:pPr>
              <w:spacing w:after="16" w:before="0"/>
            </w:pPr>
            <w:r>
              <w:rPr>
                <w:rFonts w:ascii="Arial" w:cs="Arial" w:eastAsia="Arial" w:hAnsi="Arial"/>
                <w:b/>
                <w:bCs/>
                <w:i w:val="false"/>
                <w:iCs w:val="false"/>
                <w:caps w:val="false"/>
                <w:color w:val="b91c1c"/>
                <w:sz w:val="15"/>
                <w:szCs w:val="15"/>
              </w:rPr>
              <w:t xml:space="preserve">The 95% audit.  </w:t>
            </w:r>
            <w:r>
              <w:rPr>
                <w:rFonts w:ascii="Arial" w:cs="Arial" w:eastAsia="Arial" w:hAnsi="Arial"/>
                <w:b w:val="false"/>
                <w:bCs w:val="false"/>
                <w:i w:val="false"/>
                <w:iCs w:val="false"/>
                <w:caps w:val="false"/>
                <w:color w:val="374151"/>
                <w:sz w:val="16"/>
                <w:szCs w:val="16"/>
              </w:rPr>
              <w:t xml:space="preserve">Perfect scores across all wards on one day = suspicious. Real audits show variation. Ask how it was conducted.</w:t>
            </w:r>
          </w:p>
          <w:p>
            <w:pPr>
              <w:spacing w:after="36" w:before="0"/>
            </w:pPr>
            <w:r>
              <w:rPr>
                <w:rFonts w:ascii="Arial" w:cs="Arial" w:eastAsia="Arial" w:hAnsi="Arial"/>
                <w:b/>
                <w:bCs/>
                <w:i w:val="false"/>
                <w:iCs w:val="false"/>
                <w:caps w:val="false"/>
                <w:color w:val="b91c1c"/>
                <w:sz w:val="15"/>
                <w:szCs w:val="15"/>
              </w:rPr>
              <w:t xml:space="preserve">The key moment.  </w:t>
            </w:r>
            <w:r>
              <w:rPr>
                <w:rFonts w:ascii="Arial" w:cs="Arial" w:eastAsia="Arial" w:hAnsi="Arial"/>
                <w:b w:val="false"/>
                <w:bCs w:val="false"/>
                <w:i w:val="false"/>
                <w:iCs w:val="false"/>
                <w:caps w:val="false"/>
                <w:color w:val="374151"/>
                <w:sz w:val="16"/>
                <w:szCs w:val="16"/>
              </w:rPr>
              <w:t xml:space="preserve">Stand quietly near a nursing station. Watch a staff member move from one patient to the next. Do they clean their hands between? This tells you more than any document.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jjdbmb9utbvcvlb07i2j">
              <w:r>
                <w:rPr>
                  <w:rFonts w:ascii="Arial" w:cs="Arial" w:eastAsia="Arial" w:hAnsi="Arial"/>
                  <w:b/>
                  <w:bCs/>
                  <w:color w:val="c9a227"/>
                  <w:sz w:val="NaN27"/>
                  <w:szCs w:val="NaN27"/>
                  <w:u w:val="single"/>
                </w:rPr>
                <w:t xml:space="preserve">academy.gmj.ge/ipc-4-1-hand-hygiene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4: Infection Prevention &amp; Control</w:t>
            </w:r>
          </w:p>
          <w:p>
            <w:pPr>
              <w:spacing w:after="36" w:before="0"/>
            </w:pPr>
            <w:r>
              <w:rPr>
                <w:rFonts w:ascii="Arial" w:cs="Arial" w:eastAsia="Arial" w:hAnsi="Arial"/>
                <w:b/>
                <w:bCs/>
                <w:i w:val="false"/>
                <w:iCs w:val="false"/>
                <w:caps w:val="false"/>
                <w:color w:val="dce8f5"/>
                <w:sz w:val="12"/>
                <w:szCs w:val="12"/>
              </w:rPr>
              <w:t xml:space="preserve">Every staff member who touches patients wears the correct personal protective equipment for the task being performed.</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Every staff member who touches patients wears the correct personal protective equipment for the task being performed.</w:t>
            </w:r>
          </w:p>
          <w:p>
            <w:pPr>
              <w:spacing w:after="36" w:before="0"/>
            </w:pPr>
            <w:r>
              <w:rPr>
                <w:rFonts w:ascii="Arial" w:cs="Arial" w:eastAsia="Arial" w:hAnsi="Arial"/>
                <w:b w:val="false"/>
                <w:bCs w:val="false"/>
                <w:i w:val="false"/>
                <w:iCs w:val="false"/>
                <w:caps w:val="false"/>
                <w:color w:val="4b5563"/>
                <w:sz w:val="15"/>
                <w:szCs w:val="15"/>
              </w:rPr>
              <w:t xml:space="preserve">Gloves for blood or body fluid contact. Surgical mask for aerosol-generating procedures. Apron when splashing is possible. PPE must be available at the point of use — not in a locked room — and disposed of correctly after each use.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PPE available at point of use in every clinical area?</w:t>
            </w:r>
          </w:p>
          <w:p>
            <w:pPr>
              <w:spacing w:after="7" w:before="0"/>
            </w:pPr>
            <w:r>
              <w:rPr>
                <w:rFonts w:ascii="Arial" w:cs="Arial" w:eastAsia="Arial" w:hAnsi="Arial"/>
                <w:b w:val="false"/>
                <w:bCs w:val="false"/>
                <w:i/>
                <w:iCs/>
                <w:caps w:val="false"/>
                <w:color w:val="4b5563"/>
                <w:sz w:val="15"/>
                <w:szCs w:val="15"/>
              </w:rPr>
              <w:t xml:space="preserve">Gloves, masks, aprons accessible without going to a store room.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PPE stock record — current inventory, no stockout in last 30 days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staff wear the correct PPE for the task being performed?</w:t>
            </w:r>
          </w:p>
          <w:p>
            <w:pPr>
              <w:spacing w:after="7" w:before="0"/>
            </w:pPr>
            <w:r>
              <w:rPr>
                <w:rFonts w:ascii="Arial" w:cs="Arial" w:eastAsia="Arial" w:hAnsi="Arial"/>
                <w:b w:val="false"/>
                <w:bCs w:val="false"/>
                <w:i/>
                <w:iCs/>
                <w:caps w:val="false"/>
                <w:color w:val="4b5563"/>
                <w:sz w:val="15"/>
                <w:szCs w:val="15"/>
              </w:rPr>
              <w:t xml:space="preserve">The PPE worn must match the risk of the specific task.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PPE policy specifying PPE required for each task</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PPE disposed of correctly after each patient or task?</w:t>
            </w:r>
          </w:p>
          <w:p>
            <w:pPr>
              <w:spacing w:after="7" w:before="0"/>
            </w:pPr>
            <w:r>
              <w:rPr>
                <w:rFonts w:ascii="Arial" w:cs="Arial" w:eastAsia="Arial" w:hAnsi="Arial"/>
                <w:b w:val="false"/>
                <w:bCs w:val="false"/>
                <w:i/>
                <w:iCs/>
                <w:caps w:val="false"/>
                <w:color w:val="4b5563"/>
                <w:sz w:val="15"/>
                <w:szCs w:val="15"/>
              </w:rPr>
              <w:t xml:space="preserve">Used PPE goes into clinical waste — not general waste, not reused.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Waste segregation audit or observation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FFP2/N95 mask immediately available when needed?</w:t>
            </w:r>
          </w:p>
          <w:p>
            <w:pPr>
              <w:spacing w:after="7" w:before="0"/>
            </w:pPr>
            <w:r>
              <w:rPr>
                <w:rFonts w:ascii="Arial" w:cs="Arial" w:eastAsia="Arial" w:hAnsi="Arial"/>
                <w:b w:val="false"/>
                <w:bCs w:val="false"/>
                <w:i/>
                <w:iCs/>
                <w:caps w:val="false"/>
                <w:color w:val="4b5563"/>
                <w:sz w:val="15"/>
                <w:szCs w:val="15"/>
              </w:rPr>
              <w:t xml:space="preserve">Not in a store across the building. Within 2 minutes at most.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Location log or designated emergency PPE kit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All clinical staff trained in PPE selection and donning and doffing?</w:t>
            </w:r>
          </w:p>
          <w:p>
            <w:pPr>
              <w:spacing w:after="7" w:before="0"/>
            </w:pPr>
            <w:r>
              <w:rPr>
                <w:rFonts w:ascii="Arial" w:cs="Arial" w:eastAsia="Arial" w:hAnsi="Arial"/>
                <w:b w:val="false"/>
                <w:bCs w:val="false"/>
                <w:i/>
                <w:iCs/>
                <w:caps w:val="false"/>
                <w:color w:val="4b5563"/>
                <w:sz w:val="15"/>
                <w:szCs w:val="15"/>
              </w:rPr>
              <w:t xml:space="preserve">Donning = putting on. Doffing = removing safely without self-contamination.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register — PPE competency for every clinical staff member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Observe clinical staff PPE use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During ward walk: note what PPE each staff member wears versus the task being performed. Any mismatch is recorded.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PPE at point of use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Each clinical area: gloves, masks, and aprons accessible? Multiple sizes? Not expired? Not in a locked cupboard?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PPE procurement records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Last 3 months procurement confirms adequate supply. No stockout recorded. PPE policy specifies requirements by task.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nurse: FFP2 location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a patient arrived right now with suspected TB — where is the FFP2 mask and how quickly can you get it? Answer must be specific and fast.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chj3j3bcbltikbpmajzhn">
              <w:r>
                <w:rPr>
                  <w:rFonts w:ascii="Arial" w:cs="Arial" w:eastAsia="Arial" w:hAnsi="Arial"/>
                  <w:b/>
                  <w:bCs/>
                  <w:color w:val="c9a227"/>
                  <w:sz w:val="13"/>
                  <w:szCs w:val="13"/>
                  <w:u w:val="single"/>
                </w:rPr>
                <w:t xml:space="preserve">WHO (2020) PPE Rational Use in Healthcare</w:t>
              </w:r>
            </w:hyperlink>
            <w:r>
              <w:rPr>
                <w:rFonts w:ascii="Arial" w:cs="Arial" w:eastAsia="Arial" w:hAnsi="Arial"/>
                <w:b/>
                <w:bCs/>
                <w:i w:val="false"/>
                <w:iCs w:val="false"/>
                <w:caps w:val="false"/>
                <w:color w:val="6b778c"/>
                <w:sz w:val="13"/>
                <w:szCs w:val="13"/>
              </w:rPr>
              <w:t xml:space="preserve">   2. </w:t>
            </w:r>
            <w:hyperlink w:history="1" r:id="rIdehisygnrfheqzv0ym4aob">
              <w:r>
                <w:rPr>
                  <w:rFonts w:ascii="Arial" w:cs="Arial" w:eastAsia="Arial" w:hAnsi="Arial"/>
                  <w:b/>
                  <w:bCs/>
                  <w:color w:val="c9a227"/>
                  <w:sz w:val="13"/>
                  <w:szCs w:val="13"/>
                  <w:u w:val="single"/>
                </w:rPr>
                <w:t xml:space="preserve">WHO (2016) Health Worker Occupational Health</w:t>
              </w:r>
            </w:hyperlink>
            <w:r>
              <w:rPr>
                <w:rFonts w:ascii="Arial" w:cs="Arial" w:eastAsia="Arial" w:hAnsi="Arial"/>
                <w:b/>
                <w:bCs/>
                <w:i w:val="false"/>
                <w:iCs w:val="false"/>
                <w:caps w:val="false"/>
                <w:color w:val="6b778c"/>
                <w:sz w:val="13"/>
                <w:szCs w:val="13"/>
              </w:rPr>
              <w:t xml:space="preserve">   3. </w:t>
            </w:r>
            <w:hyperlink w:history="1" r:id="rId-uhnwvxvvpyvj-jn4rwby">
              <w:r>
                <w:rPr>
                  <w:rFonts w:ascii="Arial" w:cs="Arial" w:eastAsia="Arial" w:hAnsi="Arial"/>
                  <w:b/>
                  <w:bCs/>
                  <w:color w:val="c9a227"/>
                  <w:sz w:val="13"/>
                  <w:szCs w:val="13"/>
                  <w:u w:val="single"/>
                </w:rPr>
                <w:t xml:space="preserve">IOM (2020) IPC Migration Health section 4.2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4.2</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PPE protects both patients and staff. A glove used for one patient then used for the next without changing transmits infection rather than preventing it. The removal — doffing — is the most dangerous step and the most commonly done incorrectly.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studies show that incorrect doffing is a leading cause of healthcare worker infection during outbreaks. The sequence — gloves first, then gown, then mask, then hand hygiene — must be practised, not assumed.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Gloves changed between every patient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PPE on a trolley at the bedside — not in a locked store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can state which PPE they need before starting a procedure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Doffing sequence posted in every treatment area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FFP2 masks accessible in under 2 minutes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Nurse wears same gloves to change dressing then adjust drip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PPE stored in a locked cupboard — staff do not bother getting 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Used gloves thrown in the general waste bin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cannot describe the doffing sequence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Maximum PPE worn for all tasks regardless of risk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PPE available but wrong size or expired.</w:t>
            </w:r>
          </w:p>
          <w:p>
            <w:pPr>
              <w:spacing w:after="20" w:before="0"/>
            </w:pPr>
            <w:r>
              <w:rPr>
                <w:rFonts w:ascii="Arial" w:cs="Arial" w:eastAsia="Arial" w:hAnsi="Arial"/>
                <w:b w:val="false"/>
                <w:bCs w:val="false"/>
                <w:i/>
                <w:iCs/>
                <w:caps w:val="false"/>
                <w:color w:val="4b5563"/>
                <w:sz w:val="15"/>
                <w:szCs w:val="15"/>
              </w:rPr>
              <w:t xml:space="preserve">Gloves in one size only so staff with large hands skip them. Or masks past expiry date still in circulation. Availability means right type, right size, in date.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PPE worn but removed incorrectly.</w:t>
            </w:r>
          </w:p>
          <w:p>
            <w:pPr>
              <w:spacing w:after="20" w:before="0"/>
            </w:pPr>
            <w:r>
              <w:rPr>
                <w:rFonts w:ascii="Arial" w:cs="Arial" w:eastAsia="Arial" w:hAnsi="Arial"/>
                <w:b w:val="false"/>
                <w:bCs w:val="false"/>
                <w:i/>
                <w:iCs/>
                <w:caps w:val="false"/>
                <w:color w:val="4b5563"/>
                <w:sz w:val="15"/>
                <w:szCs w:val="15"/>
              </w:rPr>
              <w:t xml:space="preserve">Staff put on gloves correctly but remove them by pulling from the fingertip — contaminating hands. Doffing is the failure point.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PPE policy exists but staff do not follow it or do not know it.</w:t>
            </w:r>
          </w:p>
          <w:p>
            <w:pPr>
              <w:spacing w:after="36" w:before="0"/>
            </w:pPr>
            <w:r>
              <w:rPr>
                <w:rFonts w:ascii="Arial" w:cs="Arial" w:eastAsia="Arial" w:hAnsi="Arial"/>
                <w:b w:val="false"/>
                <w:bCs w:val="false"/>
                <w:i/>
                <w:iCs/>
                <w:caps w:val="false"/>
                <w:color w:val="4b5563"/>
                <w:sz w:val="15"/>
                <w:szCs w:val="15"/>
              </w:rPr>
              <w:t xml:space="preserve">Policy document in the quality manager office. Staff on the ward have never seen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current PPE stock per clinical area: type, size, quantity, expiry date. Identify gaps.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Create a PPE station in each clinical area with minimum required types and sizes. Assign restocking to the shift checklist.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Deliver doffing training to all clinical staff. Practise the sequence: gloves off, gown off, hand hygiene, mask off, hand hygiene. 30 minutes with demonstration.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Spot observation audit: observer watches 10 staff don and doff PPE. Records correct versus incorrect sequence. Shares result with clinical lead.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Monthly stock check. Quarterly doffing observation audit.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PPE on request only.  </w:t>
            </w:r>
            <w:r>
              <w:rPr>
                <w:rFonts w:ascii="Arial" w:cs="Arial" w:eastAsia="Arial" w:hAnsi="Arial"/>
                <w:b w:val="false"/>
                <w:bCs w:val="false"/>
                <w:i w:val="false"/>
                <w:iCs w:val="false"/>
                <w:caps w:val="false"/>
                <w:color w:val="374151"/>
                <w:sz w:val="16"/>
                <w:szCs w:val="16"/>
              </w:rPr>
              <w:t xml:space="preserve">If staff have to ask for PPE before each procedure, they will sometimes skip it. Friction = non-compliance. PPE must be at the point of use.</w:t>
            </w:r>
          </w:p>
          <w:p>
            <w:pPr>
              <w:spacing w:after="16" w:before="0"/>
            </w:pPr>
            <w:r>
              <w:rPr>
                <w:rFonts w:ascii="Arial" w:cs="Arial" w:eastAsia="Arial" w:hAnsi="Arial"/>
                <w:b/>
                <w:bCs/>
                <w:i w:val="false"/>
                <w:iCs w:val="false"/>
                <w:caps w:val="false"/>
                <w:color w:val="b91c1c"/>
                <w:sz w:val="15"/>
                <w:szCs w:val="15"/>
              </w:rPr>
              <w:t xml:space="preserve">The doffing observation.  </w:t>
            </w:r>
            <w:r>
              <w:rPr>
                <w:rFonts w:ascii="Arial" w:cs="Arial" w:eastAsia="Arial" w:hAnsi="Arial"/>
                <w:b w:val="false"/>
                <w:bCs w:val="false"/>
                <w:i w:val="false"/>
                <w:iCs w:val="false"/>
                <w:caps w:val="false"/>
                <w:color w:val="374151"/>
                <w:sz w:val="16"/>
                <w:szCs w:val="16"/>
              </w:rPr>
              <w:t xml:space="preserve">Watch a staff member remove gloves after a procedure. Most common error: pulling from the fingertip, contaminating the wrist and forearm.</w:t>
            </w:r>
          </w:p>
          <w:p>
            <w:pPr>
              <w:spacing w:after="36" w:before="0"/>
            </w:pPr>
            <w:r>
              <w:rPr>
                <w:rFonts w:ascii="Arial" w:cs="Arial" w:eastAsia="Arial" w:hAnsi="Arial"/>
                <w:b/>
                <w:bCs/>
                <w:i w:val="false"/>
                <w:iCs w:val="false"/>
                <w:caps w:val="false"/>
                <w:color w:val="b91c1c"/>
                <w:sz w:val="15"/>
                <w:szCs w:val="15"/>
              </w:rPr>
              <w:t xml:space="preserve">Expired stock.  </w:t>
            </w:r>
            <w:r>
              <w:rPr>
                <w:rFonts w:ascii="Arial" w:cs="Arial" w:eastAsia="Arial" w:hAnsi="Arial"/>
                <w:b w:val="false"/>
                <w:bCs w:val="false"/>
                <w:i w:val="false"/>
                <w:iCs w:val="false"/>
                <w:caps w:val="false"/>
                <w:color w:val="374151"/>
                <w:sz w:val="16"/>
                <w:szCs w:val="16"/>
              </w:rPr>
              <w:t xml:space="preserve">Check expiry dates on at least 5 items during the walk. Expired PPE in active use = stock management failure affecting patient safety.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9z0aea6y7llqzrhxzjjr">
              <w:r>
                <w:rPr>
                  <w:rFonts w:ascii="Arial" w:cs="Arial" w:eastAsia="Arial" w:hAnsi="Arial"/>
                  <w:b/>
                  <w:bCs/>
                  <w:color w:val="c9a227"/>
                  <w:sz w:val="NaN27"/>
                  <w:szCs w:val="NaN27"/>
                  <w:u w:val="single"/>
                </w:rPr>
                <w:t xml:space="preserve">academy.gmj.ge/ipc-4-2-ppe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4: Infection Prevention &amp; Control</w:t>
            </w:r>
          </w:p>
          <w:p>
            <w:pPr>
              <w:spacing w:after="36" w:before="0"/>
            </w:pPr>
            <w:r>
              <w:rPr>
                <w:rFonts w:ascii="Arial" w:cs="Arial" w:eastAsia="Arial" w:hAnsi="Arial"/>
                <w:b/>
                <w:bCs/>
                <w:i w:val="false"/>
                <w:iCs w:val="false"/>
                <w:caps w:val="false"/>
                <w:color w:val="dce8f5"/>
                <w:sz w:val="12"/>
                <w:szCs w:val="12"/>
              </w:rPr>
              <w:t xml:space="preserve">All clinical waste is correctly identified, separated, and disposed of safely at every stage from generation to collection.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All clinical waste is correctly identified, separated, and disposed of safely at every stage from generation to collection.</w:t>
            </w:r>
          </w:p>
          <w:p>
            <w:pPr>
              <w:spacing w:after="36" w:before="0"/>
            </w:pPr>
            <w:r>
              <w:rPr>
                <w:rFonts w:ascii="Arial" w:cs="Arial" w:eastAsia="Arial" w:hAnsi="Arial"/>
                <w:b w:val="false"/>
                <w:bCs w:val="false"/>
                <w:i w:val="false"/>
                <w:iCs w:val="false"/>
                <w:caps w:val="false"/>
                <w:color w:val="4b5563"/>
                <w:sz w:val="15"/>
                <w:szCs w:val="15"/>
              </w:rPr>
              <w:t xml:space="preserve">Four categories: sharps in rigid yellow container never overfilled; clinical waste in yellow bags; pharmaceutical waste in separate labelled container; domestic waste in black bags. Colour-coding consistent throughout. Containers never overflow.</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Sharps in rigid puncture-proof yellow containers at point of use?</w:t>
            </w:r>
          </w:p>
          <w:p>
            <w:pPr>
              <w:spacing w:after="7" w:before="0"/>
            </w:pPr>
            <w:r>
              <w:rPr>
                <w:rFonts w:ascii="Arial" w:cs="Arial" w:eastAsia="Arial" w:hAnsi="Arial"/>
                <w:b w:val="false"/>
                <w:bCs w:val="false"/>
                <w:i/>
                <w:iCs/>
                <w:caps w:val="false"/>
                <w:color w:val="4b5563"/>
                <w:sz w:val="15"/>
                <w:szCs w:val="15"/>
              </w:rPr>
              <w:t xml:space="preserve">Container within arms reach. Fill to the line — never beyond.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Sharps container procurement records — last 3 months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Clinical waste in yellow bags, separated from domestic waste?</w:t>
            </w:r>
          </w:p>
          <w:p>
            <w:pPr>
              <w:spacing w:after="7" w:before="0"/>
            </w:pPr>
            <w:r>
              <w:rPr>
                <w:rFonts w:ascii="Arial" w:cs="Arial" w:eastAsia="Arial" w:hAnsi="Arial"/>
                <w:b w:val="false"/>
                <w:bCs w:val="false"/>
                <w:i/>
                <w:iCs/>
                <w:caps w:val="false"/>
                <w:color w:val="4b5563"/>
                <w:sz w:val="15"/>
                <w:szCs w:val="15"/>
              </w:rPr>
              <w:t xml:space="preserve">One mixed bag means the entire batch must be treated as clinical waste.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Waste segregation observation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Named person responsible for waste and documented collection schedule?</w:t>
            </w:r>
          </w:p>
          <w:p>
            <w:pPr>
              <w:spacing w:after="7" w:before="0"/>
            </w:pPr>
            <w:r>
              <w:rPr>
                <w:rFonts w:ascii="Arial" w:cs="Arial" w:eastAsia="Arial" w:hAnsi="Arial"/>
                <w:b w:val="false"/>
                <w:bCs w:val="false"/>
                <w:i/>
                <w:iCs/>
                <w:caps w:val="false"/>
                <w:color w:val="4b5563"/>
                <w:sz w:val="15"/>
                <w:szCs w:val="15"/>
              </w:rPr>
              <w:t xml:space="preserve">Waste collected from clinical areas daily. Storage area secure and ventilated.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Waste management policy with named person and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Pharmaceutical waste disposed of separately through licensed contractor?</w:t>
            </w:r>
          </w:p>
          <w:p>
            <w:pPr>
              <w:spacing w:after="7" w:before="0"/>
            </w:pPr>
            <w:r>
              <w:rPr>
                <w:rFonts w:ascii="Arial" w:cs="Arial" w:eastAsia="Arial" w:hAnsi="Arial"/>
                <w:b w:val="false"/>
                <w:bCs w:val="false"/>
                <w:i/>
                <w:iCs/>
                <w:caps w:val="false"/>
                <w:color w:val="4b5563"/>
                <w:sz w:val="15"/>
                <w:szCs w:val="15"/>
              </w:rPr>
              <w:t xml:space="preserve">Pharmaceutical waste requires a licensed contractor. Cannot go in yellow or black bag.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Pharmaceutical waste disposal contract with licensed contractor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Valid government permit or certificate for medical waste disposal?</w:t>
            </w:r>
          </w:p>
          <w:p>
            <w:pPr>
              <w:spacing w:after="7" w:before="0"/>
            </w:pPr>
            <w:r>
              <w:rPr>
                <w:rFonts w:ascii="Arial" w:cs="Arial" w:eastAsia="Arial" w:hAnsi="Arial"/>
                <w:b w:val="false"/>
                <w:bCs w:val="false"/>
                <w:i/>
                <w:iCs/>
                <w:caps w:val="false"/>
                <w:color w:val="4b5563"/>
                <w:sz w:val="15"/>
                <w:szCs w:val="15"/>
              </w:rPr>
              <w:t xml:space="preserve">Required by law in most countries.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Government medical waste permit or environmental health certificate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waste containers in every area</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Every clinical area: correct colour, content, fill level, labelling, not overflowing. Check the sluice room waste storage.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external waste storage area</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Locked, ventilated, waste types segregated, labelled, no cross-contamination, no overflow.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Check disposal contract and government permit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Licensed contractor contract present. Government permit current. Sharps injury log for last 12 months reviewed.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staff member: waste categories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 patient has just had a wound dressing changed. The used dressing, the needle, the packaging — where does each one go? Must name three different locations.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xs6bdxlgc040yge-frkpm">
              <w:r>
                <w:rPr>
                  <w:rFonts w:ascii="Arial" w:cs="Arial" w:eastAsia="Arial" w:hAnsi="Arial"/>
                  <w:b/>
                  <w:bCs/>
                  <w:color w:val="c9a227"/>
                  <w:sz w:val="13"/>
                  <w:szCs w:val="13"/>
                  <w:u w:val="single"/>
                </w:rPr>
                <w:t xml:space="preserve">WHO (2014) Safe Management of Healthcare Waste Ch.3-4</w:t>
              </w:r>
            </w:hyperlink>
            <w:r>
              <w:rPr>
                <w:rFonts w:ascii="Arial" w:cs="Arial" w:eastAsia="Arial" w:hAnsi="Arial"/>
                <w:b/>
                <w:bCs/>
                <w:i w:val="false"/>
                <w:iCs w:val="false"/>
                <w:caps w:val="false"/>
                <w:color w:val="6b778c"/>
                <w:sz w:val="13"/>
                <w:szCs w:val="13"/>
              </w:rPr>
              <w:t xml:space="preserve">   2. </w:t>
            </w:r>
            <w:hyperlink w:history="1" r:id="rId4ivdfsovltzpmibhgv5y4">
              <w:r>
                <w:rPr>
                  <w:rFonts w:ascii="Arial" w:cs="Arial" w:eastAsia="Arial" w:hAnsi="Arial"/>
                  <w:b/>
                  <w:bCs/>
                  <w:color w:val="c9a227"/>
                  <w:sz w:val="13"/>
                  <w:szCs w:val="13"/>
                  <w:u w:val="single"/>
                </w:rPr>
                <w:t xml:space="preserve">Sphere (2018) Appendix 5A Waste Management</w:t>
              </w:r>
            </w:hyperlink>
            <w:r>
              <w:rPr>
                <w:rFonts w:ascii="Arial" w:cs="Arial" w:eastAsia="Arial" w:hAnsi="Arial"/>
                <w:b/>
                <w:bCs/>
                <w:i w:val="false"/>
                <w:iCs w:val="false"/>
                <w:caps w:val="false"/>
                <w:color w:val="6b778c"/>
                <w:sz w:val="13"/>
                <w:szCs w:val="13"/>
              </w:rPr>
              <w:t xml:space="preserve">   3. </w:t>
            </w:r>
            <w:hyperlink w:history="1" r:id="rId8o3yqmz04wifg5azcskne">
              <w:r>
                <w:rPr>
                  <w:rFonts w:ascii="Arial" w:cs="Arial" w:eastAsia="Arial" w:hAnsi="Arial"/>
                  <w:b/>
                  <w:bCs/>
                  <w:color w:val="c9a227"/>
                  <w:sz w:val="13"/>
                  <w:szCs w:val="13"/>
                  <w:u w:val="single"/>
                </w:rPr>
                <w:t xml:space="preserve">WHO (2017) Sharps Waste Fact Sheet</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4.3</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Incorrectly segregated clinical waste causes infection in waste handlers, in the community, and within the facility. A needle-stick injury to a waste handler from an overfull sharps container is entirely preventable. The risk does not stop at the hospital door.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estimates that 15% of all healthcare waste is infectious, hazardous, or radioactive. When segregation fails, 100% of waste must be treated as hazardous — at far greater cost and environmental impact.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Rigid sharps container at every injection point — at the fill line, never beyond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Yellow bags in every treatment room — sealed and replaced daily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Pharmaceutical waste in a separate labelled container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External storage area locked and ventilated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Government waste permit current and displayed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Overfull sharps container — lid forced closed — needle-stick risk to handler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Yellow and black bags in the same bin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Expired medications in the general waste bin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Waste bags piled in a corridor not in a designated area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waste disposal contract — hospital disposes informally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Sharps containers not at point of use.</w:t>
            </w:r>
          </w:p>
          <w:p>
            <w:pPr>
              <w:spacing w:after="20" w:before="0"/>
            </w:pPr>
            <w:r>
              <w:rPr>
                <w:rFonts w:ascii="Arial" w:cs="Arial" w:eastAsia="Arial" w:hAnsi="Arial"/>
                <w:b w:val="false"/>
                <w:bCs w:val="false"/>
                <w:i/>
                <w:iCs/>
                <w:caps w:val="false"/>
                <w:color w:val="4b5563"/>
                <w:sz w:val="15"/>
                <w:szCs w:val="15"/>
              </w:rPr>
              <w:t xml:space="preserve">Container at the nursing station. Procedure performed at the bedside. Used needle carried across the room = needle-stick risk. Container must be at the point of generation.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Clinical and domestic waste mixed.</w:t>
            </w:r>
          </w:p>
          <w:p>
            <w:pPr>
              <w:spacing w:after="20" w:before="0"/>
            </w:pPr>
            <w:r>
              <w:rPr>
                <w:rFonts w:ascii="Arial" w:cs="Arial" w:eastAsia="Arial" w:hAnsi="Arial"/>
                <w:b w:val="false"/>
                <w:bCs w:val="false"/>
                <w:i/>
                <w:iCs/>
                <w:caps w:val="false"/>
                <w:color w:val="4b5563"/>
                <w:sz w:val="15"/>
                <w:szCs w:val="15"/>
              </w:rPr>
              <w:t xml:space="preserve">One member of staff puts domestic waste in a yellow bag. The entire yellow bag must now be treated as clinical waste — cost and handling risk multiplied.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No pharmaceutical waste system.</w:t>
            </w:r>
          </w:p>
          <w:p>
            <w:pPr>
              <w:spacing w:after="36" w:before="0"/>
            </w:pPr>
            <w:r>
              <w:rPr>
                <w:rFonts w:ascii="Arial" w:cs="Arial" w:eastAsia="Arial" w:hAnsi="Arial"/>
                <w:b w:val="false"/>
                <w:bCs w:val="false"/>
                <w:i/>
                <w:iCs/>
                <w:caps w:val="false"/>
                <w:color w:val="4b5563"/>
                <w:sz w:val="15"/>
                <w:szCs w:val="15"/>
              </w:rPr>
              <w:t xml:space="preserve">Expired medications accumulate in a drawer or go in the yellow bag. Cytotoxic waste requires specialist disposal. No system = likely legal violation.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Walk every clinical area and identify every waste generation point. For each: what waste is generated? Is the correct container present and within reach?</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Fill gaps. Install rigid sharps containers at every procedure point. Yellow bags in every treatment room. Label a container for pharmaceutical waste.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Brief all clinical and cleaning staff on the four categories. 15 minutes. Post a colour-coded reference card in each clinical area.</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First waste segregation audit. Observer checks 10 waste containers. Records correct versus incorrect segregation.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Daily sharps fill level check. Monthly waste audit. Annual permit renewal.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sharps fill level.  </w:t>
            </w:r>
            <w:r>
              <w:rPr>
                <w:rFonts w:ascii="Arial" w:cs="Arial" w:eastAsia="Arial" w:hAnsi="Arial"/>
                <w:b w:val="false"/>
                <w:bCs w:val="false"/>
                <w:i w:val="false"/>
                <w:iCs w:val="false"/>
                <w:caps w:val="false"/>
                <w:color w:val="374151"/>
                <w:sz w:val="16"/>
                <w:szCs w:val="16"/>
              </w:rPr>
              <w:t xml:space="preserve">Pull the lid of every sharps container during the walk. Any container with needles above the fill line is an immediate finding.</w:t>
            </w:r>
          </w:p>
          <w:p>
            <w:pPr>
              <w:spacing w:after="16" w:before="0"/>
            </w:pPr>
            <w:r>
              <w:rPr>
                <w:rFonts w:ascii="Arial" w:cs="Arial" w:eastAsia="Arial" w:hAnsi="Arial"/>
                <w:b/>
                <w:bCs/>
                <w:i w:val="false"/>
                <w:iCs w:val="false"/>
                <w:caps w:val="false"/>
                <w:color w:val="b91c1c"/>
                <w:sz w:val="15"/>
                <w:szCs w:val="15"/>
              </w:rPr>
              <w:t xml:space="preserve">The pharmaceutical drawer.  </w:t>
            </w:r>
            <w:r>
              <w:rPr>
                <w:rFonts w:ascii="Arial" w:cs="Arial" w:eastAsia="Arial" w:hAnsi="Arial"/>
                <w:b w:val="false"/>
                <w:bCs w:val="false"/>
                <w:i w:val="false"/>
                <w:iCs w:val="false"/>
                <w:caps w:val="false"/>
                <w:color w:val="374151"/>
                <w:sz w:val="16"/>
                <w:szCs w:val="16"/>
              </w:rPr>
              <w:t xml:space="preserve">Open medication storage. Any expired medications present = being used past expiry or awaiting disposal. Both are findings.</w:t>
            </w:r>
          </w:p>
          <w:p>
            <w:pPr>
              <w:spacing w:after="36" w:before="0"/>
            </w:pPr>
            <w:r>
              <w:rPr>
                <w:rFonts w:ascii="Arial" w:cs="Arial" w:eastAsia="Arial" w:hAnsi="Arial"/>
                <w:b/>
                <w:bCs/>
                <w:i w:val="false"/>
                <w:iCs w:val="false"/>
                <w:caps w:val="false"/>
                <w:color w:val="b91c1c"/>
                <w:sz w:val="15"/>
                <w:szCs w:val="15"/>
              </w:rPr>
              <w:t xml:space="preserve">The permit date.  </w:t>
            </w:r>
            <w:r>
              <w:rPr>
                <w:rFonts w:ascii="Arial" w:cs="Arial" w:eastAsia="Arial" w:hAnsi="Arial"/>
                <w:b w:val="false"/>
                <w:bCs w:val="false"/>
                <w:i w:val="false"/>
                <w:iCs w:val="false"/>
                <w:caps w:val="false"/>
                <w:color w:val="374151"/>
                <w:sz w:val="16"/>
                <w:szCs w:val="16"/>
              </w:rPr>
              <w:t xml:space="preserve">Check the expiry on the government certificate. An expired permit is a legal violation — not just a quality gap.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uqrhpe9g0kfblatkffq67">
              <w:r>
                <w:rPr>
                  <w:rFonts w:ascii="Arial" w:cs="Arial" w:eastAsia="Arial" w:hAnsi="Arial"/>
                  <w:b/>
                  <w:bCs/>
                  <w:color w:val="c9a227"/>
                  <w:sz w:val="NaN27"/>
                  <w:szCs w:val="NaN27"/>
                  <w:u w:val="single"/>
                </w:rPr>
                <w:t xml:space="preserve">academy.gmj.ge/ipc-4-3-waste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4.4</w:t>
            </w:r>
            <w:r>
              <w:rPr>
                <w:rFonts w:ascii="Arial" w:cs="Arial" w:eastAsia="Arial" w:hAnsi="Arial"/>
                <w:b w:val="false"/>
                <w:bCs w:val="false"/>
                <w:i/>
                <w:iCs/>
                <w:caps w:val="false"/>
                <w:color w:val="8fa8c8"/>
                <w:sz w:val="10"/>
                <w:szCs w:val="10"/>
              </w:rPr>
              <w:t xml:space="preserve">  ·  Level 1  ·  Chapter 4: Infection Prevention &amp; Control</w:t>
            </w:r>
          </w:p>
          <w:p>
            <w:pPr>
              <w:spacing w:after="36" w:before="0"/>
            </w:pPr>
            <w:r>
              <w:rPr>
                <w:rFonts w:ascii="Arial" w:cs="Arial" w:eastAsia="Arial" w:hAnsi="Arial"/>
                <w:b/>
                <w:bCs/>
                <w:i w:val="false"/>
                <w:iCs w:val="false"/>
                <w:caps w:val="false"/>
                <w:color w:val="dce8f5"/>
                <w:sz w:val="12"/>
                <w:szCs w:val="12"/>
              </w:rPr>
              <w:t xml:space="preserve">All reusable equipment is cleaned, and disinfected or sterilised between every patient use, using a written protocol.</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All reusable equipment is cleaned, and disinfected or sterilised between every patient use, using a written protocol.</w:t>
            </w:r>
          </w:p>
          <w:p>
            <w:pPr>
              <w:spacing w:after="36" w:before="0"/>
            </w:pPr>
            <w:r>
              <w:rPr>
                <w:rFonts w:ascii="Arial" w:cs="Arial" w:eastAsia="Arial" w:hAnsi="Arial"/>
                <w:b w:val="false"/>
                <w:bCs w:val="false"/>
                <w:i w:val="false"/>
                <w:iCs w:val="false"/>
                <w:caps w:val="false"/>
                <w:color w:val="4b5563"/>
                <w:sz w:val="15"/>
                <w:szCs w:val="15"/>
              </w:rPr>
              <w:t xml:space="preserve">Three levels by risk: sterilisation by autoclave for items entering the body; high-level disinfection for items touching mucous membranes including flexible endoscopes; cleaning plus low-level disinfection for items touching only intact skin.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Written decontamination protocol for every category of reusable equipment?</w:t>
            </w:r>
          </w:p>
          <w:p>
            <w:pPr>
              <w:spacing w:after="7" w:before="0"/>
            </w:pPr>
            <w:r>
              <w:rPr>
                <w:rFonts w:ascii="Arial" w:cs="Arial" w:eastAsia="Arial" w:hAnsi="Arial"/>
                <w:b w:val="false"/>
                <w:bCs w:val="false"/>
                <w:i/>
                <w:iCs/>
                <w:caps w:val="false"/>
                <w:color w:val="4b5563"/>
                <w:sz w:val="15"/>
                <w:szCs w:val="15"/>
              </w:rPr>
              <w:t xml:space="preserve">Protocol specifies: steps, chemical, concentration, contact time, responsible person, documentation method.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Decontamination protocol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Flexible endoscopes processed through automated endoscope reprocessor after every use?</w:t>
            </w:r>
          </w:p>
          <w:p>
            <w:pPr>
              <w:spacing w:after="7" w:before="0"/>
            </w:pPr>
            <w:r>
              <w:rPr>
                <w:rFonts w:ascii="Arial" w:cs="Arial" w:eastAsia="Arial" w:hAnsi="Arial"/>
                <w:b w:val="false"/>
                <w:bCs w:val="false"/>
                <w:i/>
                <w:iCs/>
                <w:caps w:val="false"/>
                <w:color w:val="4b5563"/>
                <w:sz w:val="15"/>
                <w:szCs w:val="15"/>
              </w:rPr>
              <w:t xml:space="preserve">Manual cleaning, automated reprocessor, leak test, drying, vertical storage — all documented per scope per session.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Endoscope reprocessing log — last 7 days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Autoclave serviced, validated, and load records kept?</w:t>
            </w:r>
          </w:p>
          <w:p>
            <w:pPr>
              <w:spacing w:after="7" w:before="0"/>
            </w:pPr>
            <w:r>
              <w:rPr>
                <w:rFonts w:ascii="Arial" w:cs="Arial" w:eastAsia="Arial" w:hAnsi="Arial"/>
                <w:b w:val="false"/>
                <w:bCs w:val="false"/>
                <w:i/>
                <w:iCs/>
                <w:caps w:val="false"/>
                <w:color w:val="4b5563"/>
                <w:sz w:val="15"/>
                <w:szCs w:val="15"/>
              </w:rPr>
              <w:t xml:space="preserve">Each load recorded. Biological indicator results filed. Service certificate current.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Autoclave service certificate and load records — last 3 months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Sterile equipment stored correctly — sealed, undamaged, within expiry?</w:t>
            </w:r>
          </w:p>
          <w:p>
            <w:pPr>
              <w:spacing w:after="7" w:before="0"/>
            </w:pPr>
            <w:r>
              <w:rPr>
                <w:rFonts w:ascii="Arial" w:cs="Arial" w:eastAsia="Arial" w:hAnsi="Arial"/>
                <w:b w:val="false"/>
                <w:bCs w:val="false"/>
                <w:i/>
                <w:iCs/>
                <w:caps w:val="false"/>
                <w:color w:val="4b5563"/>
                <w:sz w:val="15"/>
                <w:szCs w:val="15"/>
              </w:rPr>
              <w:t xml:space="preserve">Any breach in sterile packaging = item must be reprocessed. Storage must be clean, dry, and closed.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Storage inspection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All equipment reprocessing staff demonstrate correct technique with documented competency?</w:t>
            </w:r>
          </w:p>
          <w:p>
            <w:pPr>
              <w:spacing w:after="7" w:before="0"/>
            </w:pPr>
            <w:r>
              <w:rPr>
                <w:rFonts w:ascii="Arial" w:cs="Arial" w:eastAsia="Arial" w:hAnsi="Arial"/>
                <w:b w:val="false"/>
                <w:bCs w:val="false"/>
                <w:i/>
                <w:iCs/>
                <w:caps w:val="false"/>
                <w:color w:val="4b5563"/>
                <w:sz w:val="15"/>
                <w:szCs w:val="15"/>
              </w:rPr>
              <w:t xml:space="preserve">Competency documented — not just training attendance.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Competency assessment records for all decontamination staff</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endoscope reprocessing area</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Automated reprocessor present and functional. Scope drying cabinet used. Vertical storage confirmed. Reprocessing log checked for every scope every session.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sterile store — packaging and expiry</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Open 5 sterile items at random. Check: packaging intact, within expiry, stored away from moisture and contamination.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autoclave records and service certificate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Load records present for last 3 months with biological indicator results. Service certificate current.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Walk through the reprocessing sequence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Walk me through what happens to this instrument from the moment it comes back from the operating theatre. Steps must be correct and in sequence without prompting.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splexxnfjeygah6cd4lok">
              <w:r>
                <w:rPr>
                  <w:rFonts w:ascii="Arial" w:cs="Arial" w:eastAsia="Arial" w:hAnsi="Arial"/>
                  <w:b/>
                  <w:bCs/>
                  <w:color w:val="c9a227"/>
                  <w:sz w:val="13"/>
                  <w:szCs w:val="13"/>
                  <w:u w:val="single"/>
                </w:rPr>
                <w:t xml:space="preserve">WHO (2016) Decontamination of Medical Devices</w:t>
              </w:r>
            </w:hyperlink>
            <w:r>
              <w:rPr>
                <w:rFonts w:ascii="Arial" w:cs="Arial" w:eastAsia="Arial" w:hAnsi="Arial"/>
                <w:b/>
                <w:bCs/>
                <w:i w:val="false"/>
                <w:iCs w:val="false"/>
                <w:caps w:val="false"/>
                <w:color w:val="6b778c"/>
                <w:sz w:val="13"/>
                <w:szCs w:val="13"/>
              </w:rPr>
              <w:t xml:space="preserve">   2. </w:t>
            </w:r>
            <w:hyperlink w:history="1" r:id="rIdmudtbdr0hmla7d_p4siy3">
              <w:r>
                <w:rPr>
                  <w:rFonts w:ascii="Arial" w:cs="Arial" w:eastAsia="Arial" w:hAnsi="Arial"/>
                  <w:b/>
                  <w:bCs/>
                  <w:color w:val="c9a227"/>
                  <w:sz w:val="13"/>
                  <w:szCs w:val="13"/>
                  <w:u w:val="single"/>
                </w:rPr>
                <w:t xml:space="preserve">ESGE/ESGENA (2018) Endoscope Reprocessing Guideline</w:t>
              </w:r>
            </w:hyperlink>
            <w:r>
              <w:rPr>
                <w:rFonts w:ascii="Arial" w:cs="Arial" w:eastAsia="Arial" w:hAnsi="Arial"/>
                <w:b/>
                <w:bCs/>
                <w:i w:val="false"/>
                <w:iCs w:val="false"/>
                <w:caps w:val="false"/>
                <w:color w:val="6b778c"/>
                <w:sz w:val="13"/>
                <w:szCs w:val="13"/>
              </w:rPr>
              <w:t xml:space="preserve">   3. </w:t>
            </w:r>
            <w:hyperlink w:history="1" r:id="rIdxxjxavv0uffdadxm1r_8d">
              <w:r>
                <w:rPr>
                  <w:rFonts w:ascii="Arial" w:cs="Arial" w:eastAsia="Arial" w:hAnsi="Arial"/>
                  <w:b/>
                  <w:bCs/>
                  <w:color w:val="c9a227"/>
                  <w:sz w:val="13"/>
                  <w:szCs w:val="13"/>
                  <w:u w:val="single"/>
                </w:rPr>
                <w:t xml:space="preserve">WHO (2004) Practical Guidelines IPC Chapter 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4.4</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Equipment used on one patient then used on another without correct reprocessing transmits infection even when it looks clean. Visual inspection is unreliable — the organisms that cause infection are invisible. Flexible endoscopes are particularly high risk because they are used inside body cavities and are difficult to clean thoroughly.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Studies of endoscope-related infections show that the majority of outbreaks are caused not by equipment failure but by protocol failure — skipped steps, shortened contact times, or incorrect storage. The protocol must be followed every time, for every scope, without exception.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Each endoscope has a reprocessing log entry for every use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Autoclave biological indicator results filed for every load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Sterile packaging intact and within expiry on every item checked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CSSD staff walk through the sequence without prompting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Scope drying cabinet in use — not scopes stored in a bag or case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Scope rinsed and stored immediately after use — no reprocessing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Autoclave records exist but no biological indicator results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Sterile items stored on open shelving near the sluice sink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say the process takes too long so steps are shortened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One autoclave used for all items with no cycle differentiation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Reprocessing steps documented but not consistently followed.</w:t>
            </w:r>
          </w:p>
          <w:p>
            <w:pPr>
              <w:spacing w:after="20" w:before="0"/>
            </w:pPr>
            <w:r>
              <w:rPr>
                <w:rFonts w:ascii="Arial" w:cs="Arial" w:eastAsia="Arial" w:hAnsi="Arial"/>
                <w:b w:val="false"/>
                <w:bCs w:val="false"/>
                <w:i/>
                <w:iCs/>
                <w:caps w:val="false"/>
                <w:color w:val="4b5563"/>
                <w:sz w:val="15"/>
                <w:szCs w:val="15"/>
              </w:rPr>
              <w:t xml:space="preserve">The protocol says 45-minute disinfection contact time. In practice staff reduce it to 20 minutes when the department is busy. Outcome: inadequate disinfection.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Autoclave records exist but biological indicator results are missing.</w:t>
            </w:r>
          </w:p>
          <w:p>
            <w:pPr>
              <w:spacing w:after="20" w:before="0"/>
            </w:pPr>
            <w:r>
              <w:rPr>
                <w:rFonts w:ascii="Arial" w:cs="Arial" w:eastAsia="Arial" w:hAnsi="Arial"/>
                <w:b w:val="false"/>
                <w:bCs w:val="false"/>
                <w:i/>
                <w:iCs/>
                <w:caps w:val="false"/>
                <w:color w:val="4b5563"/>
                <w:sz w:val="15"/>
                <w:szCs w:val="15"/>
              </w:rPr>
              <w:t xml:space="preserve">Physical and chemical indicators change colour but do not confirm sterility. Only biological indicators using spore-forming organisms confirm the process worked.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Sterile store is shared with non-sterile items.</w:t>
            </w:r>
          </w:p>
          <w:p>
            <w:pPr>
              <w:spacing w:after="36" w:before="0"/>
            </w:pPr>
            <w:r>
              <w:rPr>
                <w:rFonts w:ascii="Arial" w:cs="Arial" w:eastAsia="Arial" w:hAnsi="Arial"/>
                <w:b w:val="false"/>
                <w:bCs w:val="false"/>
                <w:i/>
                <w:iCs/>
                <w:caps w:val="false"/>
                <w:color w:val="4b5563"/>
                <w:sz w:val="15"/>
                <w:szCs w:val="15"/>
              </w:rPr>
              <w:t xml:space="preserve">Sterile instruments stored beside cleaning chemicals or near a sink. Any moisture compromises sterility. Storage must be separate and controlled.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all reusable equipment categories. For each: what cleaning protocol is used? Is it written? Is it followed? Is it documented?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Write or update the decontamination protocol for each category. Include chemical, concentration, contact time, steps, responsible person.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Competency assessment for all staff who reprocess equipment. Observe each person performing the process. Document the assessment.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First reprocessing audit. Random check of 5 cycles across different equipment types. Compare actual steps against protocol.</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Monthly review of endoscope reprocessing logs. Quarterly autoclave biological indicator review.</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Scope storage.  </w:t>
            </w:r>
            <w:r>
              <w:rPr>
                <w:rFonts w:ascii="Arial" w:cs="Arial" w:eastAsia="Arial" w:hAnsi="Arial"/>
                <w:b w:val="false"/>
                <w:bCs w:val="false"/>
                <w:i w:val="false"/>
                <w:iCs w:val="false"/>
                <w:caps w:val="false"/>
                <w:color w:val="374151"/>
                <w:sz w:val="16"/>
                <w:szCs w:val="16"/>
              </w:rPr>
              <w:t xml:space="preserve">Open the endoscope storage cabinet. Are scopes hanging vertically in a ventilated cabinet? Horizontal storage in a case = moisture retention = biofilm risk.</w:t>
            </w:r>
          </w:p>
          <w:p>
            <w:pPr>
              <w:spacing w:after="16" w:before="0"/>
            </w:pPr>
            <w:r>
              <w:rPr>
                <w:rFonts w:ascii="Arial" w:cs="Arial" w:eastAsia="Arial" w:hAnsi="Arial"/>
                <w:b/>
                <w:bCs/>
                <w:i w:val="false"/>
                <w:iCs w:val="false"/>
                <w:caps w:val="false"/>
                <w:color w:val="b91c1c"/>
                <w:sz w:val="15"/>
                <w:szCs w:val="15"/>
              </w:rPr>
              <w:t xml:space="preserve">The biological indicator.  </w:t>
            </w:r>
            <w:r>
              <w:rPr>
                <w:rFonts w:ascii="Arial" w:cs="Arial" w:eastAsia="Arial" w:hAnsi="Arial"/>
                <w:b w:val="false"/>
                <w:bCs w:val="false"/>
                <w:i w:val="false"/>
                <w:iCs w:val="false"/>
                <w:caps w:val="false"/>
                <w:color w:val="374151"/>
                <w:sz w:val="16"/>
                <w:szCs w:val="16"/>
              </w:rPr>
              <w:t xml:space="preserve">Ask to see biological indicator results for the last 10 autoclave loads. If records exist but BI results are missing, the autoclave process cannot be verified.</w:t>
            </w:r>
          </w:p>
          <w:p>
            <w:pPr>
              <w:spacing w:after="36" w:before="0"/>
            </w:pPr>
            <w:r>
              <w:rPr>
                <w:rFonts w:ascii="Arial" w:cs="Arial" w:eastAsia="Arial" w:hAnsi="Arial"/>
                <w:b/>
                <w:bCs/>
                <w:i w:val="false"/>
                <w:iCs w:val="false"/>
                <w:caps w:val="false"/>
                <w:color w:val="b91c1c"/>
                <w:sz w:val="15"/>
                <w:szCs w:val="15"/>
              </w:rPr>
              <w:t xml:space="preserve">The protocol and the practice.  </w:t>
            </w:r>
            <w:r>
              <w:rPr>
                <w:rFonts w:ascii="Arial" w:cs="Arial" w:eastAsia="Arial" w:hAnsi="Arial"/>
                <w:b w:val="false"/>
                <w:bCs w:val="false"/>
                <w:i w:val="false"/>
                <w:iCs w:val="false"/>
                <w:caps w:val="false"/>
                <w:color w:val="374151"/>
                <w:sz w:val="16"/>
                <w:szCs w:val="16"/>
              </w:rPr>
              <w:t xml:space="preserve">Ask a staff member to perform the first three steps of the endoscope reprocessing protocol while you observe. Any deviation is a finding regardless of explanation.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0slph5w7yfpjatlwfhsmw">
              <w:r>
                <w:rPr>
                  <w:rFonts w:ascii="Arial" w:cs="Arial" w:eastAsia="Arial" w:hAnsi="Arial"/>
                  <w:b/>
                  <w:bCs/>
                  <w:color w:val="c9a227"/>
                  <w:sz w:val="NaN27"/>
                  <w:szCs w:val="NaN27"/>
                  <w:u w:val="single"/>
                </w:rPr>
                <w:t xml:space="preserve">academy.gmj.ge/ipc-4-4-decontamination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4.5</w:t>
            </w:r>
            <w:r>
              <w:rPr>
                <w:rFonts w:ascii="Arial" w:cs="Arial" w:eastAsia="Arial" w:hAnsi="Arial"/>
                <w:b w:val="false"/>
                <w:bCs w:val="false"/>
                <w:i/>
                <w:iCs/>
                <w:caps w:val="false"/>
                <w:color w:val="8fa8c8"/>
                <w:sz w:val="10"/>
                <w:szCs w:val="10"/>
              </w:rPr>
              <w:t xml:space="preserve">  ·  Level 1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has a named IPC lead with documented responsibilities, and an active IPC programme with regular meetings and reports to leadership.</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has a named IPC lead with documented responsibilities, and an active IPC programme with regular meetings and reports to leadership.</w:t>
            </w:r>
          </w:p>
          <w:p>
            <w:pPr>
              <w:spacing w:after="36" w:before="0"/>
            </w:pPr>
            <w:r>
              <w:rPr>
                <w:rFonts w:ascii="Arial" w:cs="Arial" w:eastAsia="Arial" w:hAnsi="Arial"/>
                <w:b w:val="false"/>
                <w:bCs w:val="false"/>
                <w:i w:val="false"/>
                <w:iCs w:val="false"/>
                <w:caps w:val="false"/>
                <w:color w:val="4b5563"/>
                <w:sz w:val="15"/>
                <w:szCs w:val="15"/>
              </w:rPr>
              <w:t xml:space="preserve">One named person is accountable for IPC across the facility. Their responsibilities are in writing. IPC is discussed at a formal meeting at least every three months. Results go to senior leadership.</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Named IPC lead with written job description or terms of reference?</w:t>
            </w:r>
          </w:p>
          <w:p>
            <w:pPr>
              <w:spacing w:after="7" w:before="0"/>
            </w:pPr>
            <w:r>
              <w:rPr>
                <w:rFonts w:ascii="Arial" w:cs="Arial" w:eastAsia="Arial" w:hAnsi="Arial"/>
                <w:b w:val="false"/>
                <w:bCs w:val="false"/>
                <w:i/>
                <w:iCs/>
                <w:caps w:val="false"/>
                <w:color w:val="4b5563"/>
                <w:sz w:val="15"/>
                <w:szCs w:val="15"/>
              </w:rPr>
              <w:t xml:space="preserve">Name, role, and responsibilities in writing. Not just a verbal understanding.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Letter of appointment or job description for the IPC lead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IPC lead conducts regular audits and tracks infection indicators?</w:t>
            </w:r>
          </w:p>
          <w:p>
            <w:pPr>
              <w:spacing w:after="7" w:before="0"/>
            </w:pPr>
            <w:r>
              <w:rPr>
                <w:rFonts w:ascii="Arial" w:cs="Arial" w:eastAsia="Arial" w:hAnsi="Arial"/>
                <w:b w:val="false"/>
                <w:bCs w:val="false"/>
                <w:i/>
                <w:iCs/>
                <w:caps w:val="false"/>
                <w:color w:val="4b5563"/>
                <w:sz w:val="15"/>
                <w:szCs w:val="15"/>
              </w:rPr>
              <w:t xml:space="preserve">At minimum: hand hygiene compliance audit quarterly, infection rate data monthly.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Audit records for last 12 months — at least 4 hand hygiene audits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IPC committee or equivalent meets at least quarterly?</w:t>
            </w:r>
          </w:p>
          <w:p>
            <w:pPr>
              <w:spacing w:after="7" w:before="0"/>
            </w:pPr>
            <w:r>
              <w:rPr>
                <w:rFonts w:ascii="Arial" w:cs="Arial" w:eastAsia="Arial" w:hAnsi="Arial"/>
                <w:b w:val="false"/>
                <w:bCs w:val="false"/>
                <w:i/>
                <w:iCs/>
                <w:caps w:val="false"/>
                <w:color w:val="4b5563"/>
                <w:sz w:val="15"/>
                <w:szCs w:val="15"/>
              </w:rPr>
              <w:t xml:space="preserve">Meeting minutes show attendance, agenda, decisions, and named actions with deadlines.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Meeting minutes — last 4 meetings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IPC findings reported to senior leadership — director level?</w:t>
            </w:r>
          </w:p>
          <w:p>
            <w:pPr>
              <w:spacing w:after="7" w:before="0"/>
            </w:pPr>
            <w:r>
              <w:rPr>
                <w:rFonts w:ascii="Arial" w:cs="Arial" w:eastAsia="Arial" w:hAnsi="Arial"/>
                <w:b w:val="false"/>
                <w:bCs w:val="false"/>
                <w:i/>
                <w:iCs/>
                <w:caps w:val="false"/>
                <w:color w:val="4b5563"/>
                <w:sz w:val="15"/>
                <w:szCs w:val="15"/>
              </w:rPr>
              <w:t xml:space="preserve">A report only seen by the quality manager is not governance. It must reach decision-makers.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IPC report presented to leadership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Annual IPC work plan or programme document?</w:t>
            </w:r>
          </w:p>
          <w:p>
            <w:pPr>
              <w:spacing w:after="7" w:before="0"/>
            </w:pPr>
            <w:r>
              <w:rPr>
                <w:rFonts w:ascii="Arial" w:cs="Arial" w:eastAsia="Arial" w:hAnsi="Arial"/>
                <w:b w:val="false"/>
                <w:bCs w:val="false"/>
                <w:i/>
                <w:iCs/>
                <w:caps w:val="false"/>
                <w:color w:val="4b5563"/>
                <w:sz w:val="15"/>
                <w:szCs w:val="15"/>
              </w:rPr>
              <w:t xml:space="preserve">Plan states what will be done, by whom, by when. Reviewed at year end.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Current year IPC work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Brief conversation with the IPC lead</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5-minute conversation: who are you, what is your role, what was the last IPC problem you identified and what did you do about it?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IPC committee meeting minutes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Last 4 meetings. Quorum present, IPC data discussed, actions agreed with names, follow-up from previous meeting recorded.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IPC work plan and annual report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Work plan shows measurable objectives. Annual report shows progress. Evidence of leadership sign-off.</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any clinical staff: name the IPC lead</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Who is responsible for infection prevention in this hospital? Any clinical staff member should name the person without hesitation.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gmsjaetig7i3jjun_znwz">
              <w:r>
                <w:rPr>
                  <w:rFonts w:ascii="Arial" w:cs="Arial" w:eastAsia="Arial" w:hAnsi="Arial"/>
                  <w:b/>
                  <w:bCs/>
                  <w:color w:val="c9a227"/>
                  <w:sz w:val="13"/>
                  <w:szCs w:val="13"/>
                  <w:u w:val="single"/>
                </w:rPr>
                <w:t xml:space="preserve">WHO (2016) Core Components IPC Programme Chapter 3</w:t>
              </w:r>
            </w:hyperlink>
            <w:r>
              <w:rPr>
                <w:rFonts w:ascii="Arial" w:cs="Arial" w:eastAsia="Arial" w:hAnsi="Arial"/>
                <w:b/>
                <w:bCs/>
                <w:i w:val="false"/>
                <w:iCs w:val="false"/>
                <w:caps w:val="false"/>
                <w:color w:val="6b778c"/>
                <w:sz w:val="13"/>
                <w:szCs w:val="13"/>
              </w:rPr>
              <w:t xml:space="preserve">   2. </w:t>
            </w:r>
            <w:hyperlink w:history="1" r:id="rIdxuqjubhcdc9qtlberjtnb">
              <w:r>
                <w:rPr>
                  <w:rFonts w:ascii="Arial" w:cs="Arial" w:eastAsia="Arial" w:hAnsi="Arial"/>
                  <w:b/>
                  <w:bCs/>
                  <w:color w:val="c9a227"/>
                  <w:sz w:val="13"/>
                  <w:szCs w:val="13"/>
                  <w:u w:val="single"/>
                </w:rPr>
                <w:t xml:space="preserve">WHO GLASS (2022) AMR Surveillance</w:t>
              </w:r>
            </w:hyperlink>
            <w:r>
              <w:rPr>
                <w:rFonts w:ascii="Arial" w:cs="Arial" w:eastAsia="Arial" w:hAnsi="Arial"/>
                <w:b/>
                <w:bCs/>
                <w:i w:val="false"/>
                <w:iCs w:val="false"/>
                <w:caps w:val="false"/>
                <w:color w:val="6b778c"/>
                <w:sz w:val="13"/>
                <w:szCs w:val="13"/>
              </w:rPr>
              <w:t xml:space="preserve">   3. </w:t>
            </w:r>
            <w:hyperlink w:history="1" r:id="rIdd70ofxmz6bvjdwnhdng7f">
              <w:r>
                <w:rPr>
                  <w:rFonts w:ascii="Arial" w:cs="Arial" w:eastAsia="Arial" w:hAnsi="Arial"/>
                  <w:b/>
                  <w:bCs/>
                  <w:color w:val="c9a227"/>
                  <w:sz w:val="13"/>
                  <w:szCs w:val="13"/>
                  <w:u w:val="single"/>
                </w:rPr>
                <w:t xml:space="preserve">IOM (2020) IPC Migration Health section 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4.5</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IPC does not happen without accountability. Infection rates do not fall because of a policy document. They fall because a named person monitors them, investigates when they rise, trains staff, and reports to someone with power to act. Without a named IPC lead, IPC is everyones responsibility — which means nobodys.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core component data shows that facilities with a dedicated IPC programme reduce HAI rates by 30 to 70 percent compared to facilities with no structured programme. The IPC lead is not a bureaucratic requirement — it is the mechanism through which patient safety improvement actually happens.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lead states the current compliance rate immediately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Meeting minutes show real discussion with named actions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findings presented to the director in the last quarter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Annual work plan has specific measurable targets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clinical staff member knows who the IPC lead is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IPC lead is a part-time title with no protected time for IPC work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Meetings happen but minutes record only attendance — no actions agreed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IPC report goes to quality department only — leadership never see infection data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Work plan written in January not reviewed again until next January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IPC lead has been in post 3 months and has not met most ward staff</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IPC lead exists in title only — no protected time, no authority.</w:t>
            </w:r>
          </w:p>
          <w:p>
            <w:pPr>
              <w:spacing w:after="20" w:before="0"/>
            </w:pPr>
            <w:r>
              <w:rPr>
                <w:rFonts w:ascii="Arial" w:cs="Arial" w:eastAsia="Arial" w:hAnsi="Arial"/>
                <w:b w:val="false"/>
                <w:bCs w:val="false"/>
                <w:i/>
                <w:iCs/>
                <w:caps w:val="false"/>
                <w:color w:val="4b5563"/>
                <w:sz w:val="15"/>
                <w:szCs w:val="15"/>
              </w:rPr>
              <w:t xml:space="preserve">The IPC lead is a senior nurse expected to run the programme alongside a full clinical workload. IPC audits happen when she is not needed on the ward — which is rarely. Title without time = programme without results.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IPC committee meets but makes no decisions.</w:t>
            </w:r>
          </w:p>
          <w:p>
            <w:pPr>
              <w:spacing w:after="20" w:before="0"/>
            </w:pPr>
            <w:r>
              <w:rPr>
                <w:rFonts w:ascii="Arial" w:cs="Arial" w:eastAsia="Arial" w:hAnsi="Arial"/>
                <w:b w:val="false"/>
                <w:bCs w:val="false"/>
                <w:i/>
                <w:iCs/>
                <w:caps w:val="false"/>
                <w:color w:val="4b5563"/>
                <w:sz w:val="15"/>
                <w:szCs w:val="15"/>
              </w:rPr>
              <w:t xml:space="preserve">Minutes record attendance and a data summary. No actions agreed, no persons named, no deadlines set. The committee meeting is a performance, not governance.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Infection rate data collected but not acted on.</w:t>
            </w:r>
          </w:p>
          <w:p>
            <w:pPr>
              <w:spacing w:after="36" w:before="0"/>
            </w:pPr>
            <w:r>
              <w:rPr>
                <w:rFonts w:ascii="Arial" w:cs="Arial" w:eastAsia="Arial" w:hAnsi="Arial"/>
                <w:b w:val="false"/>
                <w:bCs w:val="false"/>
                <w:i/>
                <w:iCs/>
                <w:caps w:val="false"/>
                <w:color w:val="4b5563"/>
                <w:sz w:val="15"/>
                <w:szCs w:val="15"/>
              </w:rPr>
              <w:t xml:space="preserve">Monthly data shows CAUTI rate rising for three consecutive months. Nobody investigates. Monitoring without action is not an IPC programme.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Formally appoint the IPC lead in writing. Protect at least 20% of working time for IPC activities. Put it in the job description.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Define the IPC programme: what will be audited, how often, who is responsible, who receives results, who is accountable for improvement.</w:t>
            </w:r>
          </w:p>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First IPC committee meeting. Agree terms of reference, membership, frequency, reporting line. Ensure a senior leader receives the report.</w:t>
            </w:r>
          </w:p>
          <w:p>
            <w:pPr>
              <w:spacing w:after="16" w:before="0"/>
            </w:pPr>
            <w:r>
              <w:rPr>
                <w:rFonts w:ascii="Helvetica" w:cs="Helvetica" w:eastAsia="Helvetica" w:hAnsi="Helvetica"/>
                <w:b/>
                <w:bCs/>
                <w:i w:val="false"/>
                <w:iCs w:val="false"/>
                <w:caps/>
                <w:color w:val="c9a227"/>
                <w:sz w:val="13"/>
                <w:szCs w:val="13"/>
              </w:rPr>
              <w:t xml:space="preserve">MONTH 3  </w:t>
            </w:r>
            <w:r>
              <w:rPr>
                <w:rFonts w:ascii="Arial" w:cs="Arial" w:eastAsia="Arial" w:hAnsi="Arial"/>
                <w:b w:val="false"/>
                <w:bCs w:val="false"/>
                <w:i w:val="false"/>
                <w:iCs w:val="false"/>
                <w:caps w:val="false"/>
                <w:color w:val="374151"/>
                <w:sz w:val="16"/>
                <w:szCs w:val="16"/>
              </w:rPr>
              <w:t xml:space="preserve">First formal report to leadership. Present infection rate data, compliance audit results, one improvement initiative, and one planned change.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Quarterly meetings minimum. Annual programme review. IPC lead presents to leadership at least twice yearly.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5-minute conversation.  </w:t>
            </w:r>
            <w:r>
              <w:rPr>
                <w:rFonts w:ascii="Arial" w:cs="Arial" w:eastAsia="Arial" w:hAnsi="Arial"/>
                <w:b w:val="false"/>
                <w:bCs w:val="false"/>
                <w:i w:val="false"/>
                <w:iCs w:val="false"/>
                <w:caps w:val="false"/>
                <w:color w:val="374151"/>
                <w:sz w:val="16"/>
                <w:szCs w:val="16"/>
              </w:rPr>
              <w:t xml:space="preserve">Ask the IPC lead: what was the last infection-related problem you identified and what did you do about it? A specific recent answer with a named action = active IPC. A general answer about policies = passive IPC.</w:t>
            </w:r>
          </w:p>
          <w:p>
            <w:pPr>
              <w:spacing w:after="16" w:before="0"/>
            </w:pPr>
            <w:r>
              <w:rPr>
                <w:rFonts w:ascii="Arial" w:cs="Arial" w:eastAsia="Arial" w:hAnsi="Arial"/>
                <w:b/>
                <w:bCs/>
                <w:i w:val="false"/>
                <w:iCs w:val="false"/>
                <w:caps w:val="false"/>
                <w:color w:val="b91c1c"/>
                <w:sz w:val="15"/>
                <w:szCs w:val="15"/>
              </w:rPr>
              <w:t xml:space="preserve">The reporting chain.  </w:t>
            </w:r>
            <w:r>
              <w:rPr>
                <w:rFonts w:ascii="Arial" w:cs="Arial" w:eastAsia="Arial" w:hAnsi="Arial"/>
                <w:b w:val="false"/>
                <w:bCs w:val="false"/>
                <w:i w:val="false"/>
                <w:iCs w:val="false"/>
                <w:caps w:val="false"/>
                <w:color w:val="374151"/>
                <w:sz w:val="16"/>
                <w:szCs w:val="16"/>
              </w:rPr>
              <w:t xml:space="preserve">Ask: does the hospital director receive regular IPC reports? Ask to see the most recent one. If it does not exist, IPC has no governance.</w:t>
            </w:r>
          </w:p>
          <w:p>
            <w:pPr>
              <w:spacing w:after="36" w:before="0"/>
            </w:pPr>
            <w:r>
              <w:rPr>
                <w:rFonts w:ascii="Arial" w:cs="Arial" w:eastAsia="Arial" w:hAnsi="Arial"/>
                <w:b/>
                <w:bCs/>
                <w:i w:val="false"/>
                <w:iCs w:val="false"/>
                <w:caps w:val="false"/>
                <w:color w:val="b91c1c"/>
                <w:sz w:val="15"/>
                <w:szCs w:val="15"/>
              </w:rPr>
              <w:t xml:space="preserve">Staff awareness.  </w:t>
            </w:r>
            <w:r>
              <w:rPr>
                <w:rFonts w:ascii="Arial" w:cs="Arial" w:eastAsia="Arial" w:hAnsi="Arial"/>
                <w:b w:val="false"/>
                <w:bCs w:val="false"/>
                <w:i w:val="false"/>
                <w:iCs w:val="false"/>
                <w:caps w:val="false"/>
                <w:color w:val="374151"/>
                <w:sz w:val="16"/>
                <w:szCs w:val="16"/>
              </w:rPr>
              <w:t xml:space="preserve">Ask three clinical staff members on different wards to name the IPC lead. Fewer than two correct answers = programme has no visible presence on the clinical floor.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9yfd0gyymcyptyppixqlb">
              <w:r>
                <w:rPr>
                  <w:rFonts w:ascii="Arial" w:cs="Arial" w:eastAsia="Arial" w:hAnsi="Arial"/>
                  <w:b/>
                  <w:bCs/>
                  <w:color w:val="c9a227"/>
                  <w:sz w:val="NaN27"/>
                  <w:szCs w:val="NaN27"/>
                  <w:u w:val="single"/>
                </w:rPr>
                <w:t xml:space="preserve">academy.gmj.ge/ipc-4-5-programme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4.6</w:t>
            </w:r>
            <w:r>
              <w:rPr>
                <w:rFonts w:ascii="Arial" w:cs="Arial" w:eastAsia="Arial" w:hAnsi="Arial"/>
                <w:b w:val="false"/>
                <w:bCs w:val="false"/>
                <w:i/>
                <w:iCs/>
                <w:caps w:val="false"/>
                <w:color w:val="8fa8c8"/>
                <w:sz w:val="10"/>
                <w:szCs w:val="10"/>
              </w:rPr>
              <w:t xml:space="preserve">  ·  Level 2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monitors infection rates for at least three indicator infections and uses the data to identify problems and improve practice.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monitors infection rates for at least three indicator infections and uses the data to identify problems and improve practice.</w:t>
            </w:r>
          </w:p>
          <w:p>
            <w:pPr>
              <w:spacing w:after="36" w:before="0"/>
            </w:pPr>
            <w:r>
              <w:rPr>
                <w:rFonts w:ascii="Arial" w:cs="Arial" w:eastAsia="Arial" w:hAnsi="Arial"/>
                <w:b w:val="false"/>
                <w:bCs w:val="false"/>
                <w:i w:val="false"/>
                <w:iCs w:val="false"/>
                <w:caps w:val="false"/>
                <w:color w:val="4b5563"/>
                <w:sz w:val="15"/>
                <w:szCs w:val="15"/>
              </w:rPr>
              <w:t xml:space="preserve">Select three indicators relevant to your patient population. In surgical facilities: SSI, CAUTI, HAP. In non-surgical: CAUTI, HAP, bloodstream infections. Data collected monthly. Reviewed at IPC committee. Action taken when rates rise above baseline.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Three infection indicator rates tracked monthly with a documented method?</w:t>
            </w:r>
          </w:p>
          <w:p>
            <w:pPr>
              <w:spacing w:after="7" w:before="0"/>
            </w:pPr>
            <w:r>
              <w:rPr>
                <w:rFonts w:ascii="Arial" w:cs="Arial" w:eastAsia="Arial" w:hAnsi="Arial"/>
                <w:b w:val="false"/>
                <w:bCs w:val="false"/>
                <w:i/>
                <w:iCs/>
                <w:caps w:val="false"/>
                <w:color w:val="4b5563"/>
                <w:sz w:val="15"/>
                <w:szCs w:val="15"/>
              </w:rPr>
              <w:t xml:space="preserve">Method must be written: who collects, how, what denominator is used.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Monthly infection rate log — last 12 months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Data reviewed at IPC committee and presented to clinical teams?</w:t>
            </w:r>
          </w:p>
          <w:p>
            <w:pPr>
              <w:spacing w:after="7" w:before="0"/>
            </w:pPr>
            <w:r>
              <w:rPr>
                <w:rFonts w:ascii="Arial" w:cs="Arial" w:eastAsia="Arial" w:hAnsi="Arial"/>
                <w:b w:val="false"/>
                <w:bCs w:val="false"/>
                <w:i/>
                <w:iCs/>
                <w:caps w:val="false"/>
                <w:color w:val="4b5563"/>
                <w:sz w:val="15"/>
                <w:szCs w:val="15"/>
              </w:rPr>
              <w:t xml:space="preserve">Data that is collected but not discussed cannot drive improvement.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IPC meeting minutes showing infection data discussed — last 4 meetings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When rates rise above baseline, is there a documented investigation and corrective action?</w:t>
            </w:r>
          </w:p>
          <w:p>
            <w:pPr>
              <w:spacing w:after="7" w:before="0"/>
            </w:pPr>
            <w:r>
              <w:rPr>
                <w:rFonts w:ascii="Arial" w:cs="Arial" w:eastAsia="Arial" w:hAnsi="Arial"/>
                <w:b w:val="false"/>
                <w:bCs w:val="false"/>
                <w:i/>
                <w:iCs/>
                <w:caps w:val="false"/>
                <w:color w:val="4b5563"/>
                <w:sz w:val="15"/>
                <w:szCs w:val="15"/>
              </w:rPr>
              <w:t xml:space="preserve">Trend up for 2 consecutive months = investigation required. Action documented with named person and deadline.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At least one investigation report in last 12 months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Baseline established for each indicator?</w:t>
            </w:r>
          </w:p>
          <w:p>
            <w:pPr>
              <w:spacing w:after="7" w:before="0"/>
            </w:pPr>
            <w:r>
              <w:rPr>
                <w:rFonts w:ascii="Arial" w:cs="Arial" w:eastAsia="Arial" w:hAnsi="Arial"/>
                <w:b w:val="false"/>
                <w:bCs w:val="false"/>
                <w:i/>
                <w:iCs/>
                <w:caps w:val="false"/>
                <w:color w:val="4b5563"/>
                <w:sz w:val="15"/>
                <w:szCs w:val="15"/>
              </w:rPr>
              <w:t xml:space="preserve">Baseline = average rate over previous 12 months. Without baseline you cannot know if rate is rising.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Baseline calculation document for each indicator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Rates shared with clinical staff on wards — not just quality management?</w:t>
            </w:r>
          </w:p>
          <w:p>
            <w:pPr>
              <w:spacing w:after="7" w:before="0"/>
            </w:pPr>
            <w:r>
              <w:rPr>
                <w:rFonts w:ascii="Arial" w:cs="Arial" w:eastAsia="Arial" w:hAnsi="Arial"/>
                <w:b w:val="false"/>
                <w:bCs w:val="false"/>
                <w:i/>
                <w:iCs/>
                <w:caps w:val="false"/>
                <w:color w:val="4b5563"/>
                <w:sz w:val="15"/>
                <w:szCs w:val="15"/>
              </w:rPr>
              <w:t xml:space="preserve">Staff cannot improve what they do not know. Infection rate data must reach the clinical team.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rate communicated to clinical teams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Ask IPC lead for current rates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 for the current month rate for each of the three indicators. Answer should be immediate — a number, a trend, and an interpretation.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infection rate log — 12 months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Monthly data for three indicators. Denominator documented. Baseline established. Trend visible. Any rises investigated.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one investigation report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When a rate rose above baseline: what was investigated, what was found, what was changed, what happened to the rate afterwards?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a ward nurse: compliance rate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What was the hand hygiene compliance rate on this ward last quarter? A well-run ward should know this number.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xc-mff2d0h0emsvfnnpij">
              <w:r>
                <w:rPr>
                  <w:rFonts w:ascii="Arial" w:cs="Arial" w:eastAsia="Arial" w:hAnsi="Arial"/>
                  <w:b/>
                  <w:bCs/>
                  <w:color w:val="c9a227"/>
                  <w:sz w:val="13"/>
                  <w:szCs w:val="13"/>
                  <w:u w:val="single"/>
                </w:rPr>
                <w:t xml:space="preserve">WHO (2022) Global IPC Report Chapter 5</w:t>
              </w:r>
            </w:hyperlink>
            <w:r>
              <w:rPr>
                <w:rFonts w:ascii="Arial" w:cs="Arial" w:eastAsia="Arial" w:hAnsi="Arial"/>
                <w:b/>
                <w:bCs/>
                <w:i w:val="false"/>
                <w:iCs w:val="false"/>
                <w:caps w:val="false"/>
                <w:color w:val="6b778c"/>
                <w:sz w:val="13"/>
                <w:szCs w:val="13"/>
              </w:rPr>
              <w:t xml:space="preserve">   2. </w:t>
            </w:r>
            <w:hyperlink w:history="1" r:id="rIdsczcukwdxnqvdzxzqxg9e">
              <w:r>
                <w:rPr>
                  <w:rFonts w:ascii="Arial" w:cs="Arial" w:eastAsia="Arial" w:hAnsi="Arial"/>
                  <w:b/>
                  <w:bCs/>
                  <w:color w:val="c9a227"/>
                  <w:sz w:val="13"/>
                  <w:szCs w:val="13"/>
                  <w:u w:val="single"/>
                </w:rPr>
                <w:t xml:space="preserve">CDC NHSN Surveillance Definitions</w:t>
              </w:r>
            </w:hyperlink>
            <w:r>
              <w:rPr>
                <w:rFonts w:ascii="Arial" w:cs="Arial" w:eastAsia="Arial" w:hAnsi="Arial"/>
                <w:b/>
                <w:bCs/>
                <w:i w:val="false"/>
                <w:iCs w:val="false"/>
                <w:caps w:val="false"/>
                <w:color w:val="6b778c"/>
                <w:sz w:val="13"/>
                <w:szCs w:val="13"/>
              </w:rPr>
              <w:t xml:space="preserve">   3. </w:t>
            </w:r>
            <w:hyperlink w:history="1" r:id="rId2bgybsy755_8tqhid8nxr">
              <w:r>
                <w:rPr>
                  <w:rFonts w:ascii="Arial" w:cs="Arial" w:eastAsia="Arial" w:hAnsi="Arial"/>
                  <w:b/>
                  <w:bCs/>
                  <w:color w:val="c9a227"/>
                  <w:sz w:val="13"/>
                  <w:szCs w:val="13"/>
                  <w:u w:val="single"/>
                </w:rPr>
                <w:t xml:space="preserve">IOM (2019) Infection Surveillance Migration Health</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4.6</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You cannot improve what you do not measure. Infection surveillance is the mechanism through which a facility identifies problems before they become crises and demonstrates improvement over time. Without data, IPC is opinion. With data, IPC is evidence-based practice.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 facility that monitors its SSI rate and finds it rising from 2% to 4% over three months has a system failure somewhere. Without measurement, this failure continues indefinitely. With measurement, it can be found and fixed.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lead states current rates immediately without looking anything up</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Monthly data shows trend over 12 months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When rate rose, investigation completed and rate subsequently fell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Clinical teams know their infection rate data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Baseline established from at least 12 months of historical data</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 collected once for an accreditation visit — no ongoing monitoring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Rates presented in a report that nobody reads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Rate rose — no investigation, no action, no follow-up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Denominator incorrect — rates not comparable across time periods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on the ward have never seen an infection rate figure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Data collected but denominator incorrect — rates not comparable.</w:t>
            </w:r>
          </w:p>
          <w:p>
            <w:pPr>
              <w:spacing w:after="20" w:before="0"/>
            </w:pPr>
            <w:r>
              <w:rPr>
                <w:rFonts w:ascii="Arial" w:cs="Arial" w:eastAsia="Arial" w:hAnsi="Arial"/>
                <w:b w:val="false"/>
                <w:bCs w:val="false"/>
                <w:i/>
                <w:iCs/>
                <w:caps w:val="false"/>
                <w:color w:val="4b5563"/>
                <w:sz w:val="15"/>
                <w:szCs w:val="15"/>
              </w:rPr>
              <w:t xml:space="preserve">SSI rate reported as number of infections per month. A month with more operations will always show a higher number. Rate must be per 100 surgical procedures for fair comparison.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Rate rises but investigation reveals nothing actionable.</w:t>
            </w:r>
          </w:p>
          <w:p>
            <w:pPr>
              <w:spacing w:after="20" w:before="0"/>
            </w:pPr>
            <w:r>
              <w:rPr>
                <w:rFonts w:ascii="Arial" w:cs="Arial" w:eastAsia="Arial" w:hAnsi="Arial"/>
                <w:b w:val="false"/>
                <w:bCs w:val="false"/>
                <w:i/>
                <w:iCs/>
                <w:caps w:val="false"/>
                <w:color w:val="4b5563"/>
                <w:sz w:val="15"/>
                <w:szCs w:val="15"/>
              </w:rPr>
              <w:t xml:space="preserve">Investigation lists possible causes but does not identify a specific cause with evidence. Investigation must follow the data: review cases, interview staff, inspect environment.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Data exists at quality department but does not reach clinical teams.</w:t>
            </w:r>
          </w:p>
          <w:p>
            <w:pPr>
              <w:spacing w:after="36" w:before="0"/>
            </w:pPr>
            <w:r>
              <w:rPr>
                <w:rFonts w:ascii="Arial" w:cs="Arial" w:eastAsia="Arial" w:hAnsi="Arial"/>
                <w:b w:val="false"/>
                <w:bCs w:val="false"/>
                <w:i/>
                <w:iCs/>
                <w:caps w:val="false"/>
                <w:color w:val="4b5563"/>
                <w:sz w:val="15"/>
                <w:szCs w:val="15"/>
              </w:rPr>
              <w:t xml:space="preserve">Clinical staff drive the practice that determines infection rates. If they never see the data, they have no feedback loop.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Select three indicators based on your patient population. Define denominator for each.</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Define data collection method in writing: who collects, from which source, by when, to whom it is reported.</w:t>
            </w:r>
          </w:p>
          <w:p>
            <w:pPr>
              <w:spacing w:after="16" w:before="0"/>
            </w:pPr>
            <w:r>
              <w:rPr>
                <w:rFonts w:ascii="Helvetica" w:cs="Helvetica" w:eastAsia="Helvetica" w:hAnsi="Helvetica"/>
                <w:b/>
                <w:bCs/>
                <w:i w:val="false"/>
                <w:iCs w:val="false"/>
                <w:caps/>
                <w:color w:val="c9a227"/>
                <w:sz w:val="13"/>
                <w:szCs w:val="13"/>
              </w:rPr>
              <w:t xml:space="preserve">MONTH 3  </w:t>
            </w:r>
            <w:r>
              <w:rPr>
                <w:rFonts w:ascii="Arial" w:cs="Arial" w:eastAsia="Arial" w:hAnsi="Arial"/>
                <w:b w:val="false"/>
                <w:bCs w:val="false"/>
                <w:i w:val="false"/>
                <w:iCs w:val="false"/>
                <w:caps w:val="false"/>
                <w:color w:val="374151"/>
                <w:sz w:val="16"/>
                <w:szCs w:val="16"/>
              </w:rPr>
              <w:t xml:space="preserve">Collect first data point. Establish baseline from any available historical records. Confirm calculation method. Present to IPC committee.</w:t>
            </w:r>
          </w:p>
          <w:p>
            <w:pPr>
              <w:spacing w:after="16" w:before="0"/>
            </w:pPr>
            <w:r>
              <w:rPr>
                <w:rFonts w:ascii="Helvetica" w:cs="Helvetica" w:eastAsia="Helvetica" w:hAnsi="Helvetica"/>
                <w:b/>
                <w:bCs/>
                <w:i w:val="false"/>
                <w:iCs w:val="false"/>
                <w:caps/>
                <w:color w:val="c9a227"/>
                <w:sz w:val="13"/>
                <w:szCs w:val="13"/>
              </w:rPr>
              <w:t xml:space="preserve">MONTH 6  </w:t>
            </w:r>
            <w:r>
              <w:rPr>
                <w:rFonts w:ascii="Arial" w:cs="Arial" w:eastAsia="Arial" w:hAnsi="Arial"/>
                <w:b w:val="false"/>
                <w:bCs w:val="false"/>
                <w:i w:val="false"/>
                <w:iCs w:val="false"/>
                <w:caps w:val="false"/>
                <w:color w:val="374151"/>
                <w:sz w:val="16"/>
                <w:szCs w:val="16"/>
              </w:rPr>
              <w:t xml:space="preserve">After 6 months you have enough data to see a trend. Present to leadership and clinical teams. Investigate any outlier months.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Monthly collection, quarterly review at committee, annual baseline recalculation, annual report to leadership.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immediate answer test.  </w:t>
            </w:r>
            <w:r>
              <w:rPr>
                <w:rFonts w:ascii="Arial" w:cs="Arial" w:eastAsia="Arial" w:hAnsi="Arial"/>
                <w:b w:val="false"/>
                <w:bCs w:val="false"/>
                <w:i w:val="false"/>
                <w:iCs w:val="false"/>
                <w:caps w:val="false"/>
                <w:color w:val="374151"/>
                <w:sz w:val="16"/>
                <w:szCs w:val="16"/>
              </w:rPr>
              <w:t xml:space="preserve">Ask the IPC lead for the current CAUTI rate. If they need to leave the room to check, data is not embedded in practice. Immediate specific answer = surveillance working.</w:t>
            </w:r>
          </w:p>
          <w:p>
            <w:pPr>
              <w:spacing w:after="16" w:before="0"/>
            </w:pPr>
            <w:r>
              <w:rPr>
                <w:rFonts w:ascii="Arial" w:cs="Arial" w:eastAsia="Arial" w:hAnsi="Arial"/>
                <w:b/>
                <w:bCs/>
                <w:i w:val="false"/>
                <w:iCs w:val="false"/>
                <w:caps w:val="false"/>
                <w:color w:val="b91c1c"/>
                <w:sz w:val="15"/>
                <w:szCs w:val="15"/>
              </w:rPr>
              <w:t xml:space="preserve">The denominator.  </w:t>
            </w:r>
            <w:r>
              <w:rPr>
                <w:rFonts w:ascii="Arial" w:cs="Arial" w:eastAsia="Arial" w:hAnsi="Arial"/>
                <w:b w:val="false"/>
                <w:bCs w:val="false"/>
                <w:i w:val="false"/>
                <w:iCs w:val="false"/>
                <w:caps w:val="false"/>
                <w:color w:val="374151"/>
                <w:sz w:val="16"/>
                <w:szCs w:val="16"/>
              </w:rPr>
              <w:t xml:space="preserve">Ask to see how the rate is calculated. Number of infections divided by what? If denominator is just a time period, the rate cannot be interpreted or compared.</w:t>
            </w:r>
          </w:p>
          <w:p>
            <w:pPr>
              <w:spacing w:after="36" w:before="0"/>
            </w:pPr>
            <w:r>
              <w:rPr>
                <w:rFonts w:ascii="Arial" w:cs="Arial" w:eastAsia="Arial" w:hAnsi="Arial"/>
                <w:b/>
                <w:bCs/>
                <w:i w:val="false"/>
                <w:iCs w:val="false"/>
                <w:caps w:val="false"/>
                <w:color w:val="b91c1c"/>
                <w:sz w:val="15"/>
                <w:szCs w:val="15"/>
              </w:rPr>
              <w:t xml:space="preserve">The action after a rise.  </w:t>
            </w:r>
            <w:r>
              <w:rPr>
                <w:rFonts w:ascii="Arial" w:cs="Arial" w:eastAsia="Arial" w:hAnsi="Arial"/>
                <w:b w:val="false"/>
                <w:bCs w:val="false"/>
                <w:i w:val="false"/>
                <w:iCs w:val="false"/>
                <w:caps w:val="false"/>
                <w:color w:val="374151"/>
                <w:sz w:val="16"/>
                <w:szCs w:val="16"/>
              </w:rPr>
              <w:t xml:space="preserve">Ask: when did the rate last rise above baseline and what happened? If no action was taken, surveillance has no consequence — which means it will not improve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h5_6wbzr-syrho6y_pqkh">
              <w:r>
                <w:rPr>
                  <w:rFonts w:ascii="Arial" w:cs="Arial" w:eastAsia="Arial" w:hAnsi="Arial"/>
                  <w:b/>
                  <w:bCs/>
                  <w:color w:val="c9a227"/>
                  <w:sz w:val="NaN27"/>
                  <w:szCs w:val="NaN27"/>
                  <w:u w:val="single"/>
                </w:rPr>
                <w:t xml:space="preserve">academy.gmj.ge/ipc-4-6-surveillance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4.7</w:t>
            </w:r>
            <w:r>
              <w:rPr>
                <w:rFonts w:ascii="Arial" w:cs="Arial" w:eastAsia="Arial" w:hAnsi="Arial"/>
                <w:b w:val="false"/>
                <w:bCs w:val="false"/>
                <w:i/>
                <w:iCs/>
                <w:caps w:val="false"/>
                <w:color w:val="8fa8c8"/>
                <w:sz w:val="10"/>
                <w:szCs w:val="10"/>
              </w:rPr>
              <w:t xml:space="preserve">  ·  Level 2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has a written outbreak response plan naming who does what when an unusual cluster of infections is identified, reviewed in the last two years.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has a written outbreak response plan naming who does what when an unusual cluster of infections is identified, reviewed in the last two years.</w:t>
            </w:r>
          </w:p>
          <w:p>
            <w:pPr>
              <w:spacing w:after="36" w:before="0"/>
            </w:pPr>
            <w:r>
              <w:rPr>
                <w:rFonts w:ascii="Arial" w:cs="Arial" w:eastAsia="Arial" w:hAnsi="Arial"/>
                <w:b w:val="false"/>
                <w:bCs w:val="false"/>
                <w:i w:val="false"/>
                <w:iCs w:val="false"/>
                <w:caps w:val="false"/>
                <w:color w:val="4b5563"/>
                <w:sz w:val="15"/>
                <w:szCs w:val="15"/>
              </w:rPr>
              <w:t xml:space="preserve">Trigger: three or more patients with the same infection in 72 hours, or any notifiable disease case. Plan answers: who declares the outbreak, who leads the response, who notifies public health authority, how patients are isolated, how it is communicated.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Written outbreak response plan exists with a specific trigger definition?</w:t>
            </w:r>
          </w:p>
          <w:p>
            <w:pPr>
              <w:spacing w:after="7" w:before="0"/>
            </w:pPr>
            <w:r>
              <w:rPr>
                <w:rFonts w:ascii="Arial" w:cs="Arial" w:eastAsia="Arial" w:hAnsi="Arial"/>
                <w:b w:val="false"/>
                <w:bCs w:val="false"/>
                <w:i/>
                <w:iCs/>
                <w:caps w:val="false"/>
                <w:color w:val="4b5563"/>
                <w:sz w:val="15"/>
                <w:szCs w:val="15"/>
              </w:rPr>
              <w:t xml:space="preserve">Trigger must be specific — not just when the IPC lead thinks there is a problem.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Outbreak response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Plan names a specific incident commander and specific public health authority contact?</w:t>
            </w:r>
          </w:p>
          <w:p>
            <w:pPr>
              <w:spacing w:after="7" w:before="0"/>
            </w:pPr>
            <w:r>
              <w:rPr>
                <w:rFonts w:ascii="Arial" w:cs="Arial" w:eastAsia="Arial" w:hAnsi="Arial"/>
                <w:b w:val="false"/>
                <w:bCs w:val="false"/>
                <w:i/>
                <w:iCs/>
                <w:caps w:val="false"/>
                <w:color w:val="4b5563"/>
                <w:sz w:val="15"/>
                <w:szCs w:val="15"/>
              </w:rPr>
              <w:t xml:space="preserve">A phone number, not just a department name.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Outbreak plan with named persons and phone numbers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Plan describes how affected patients will be isolated and how clean areas will be protected?</w:t>
            </w:r>
          </w:p>
          <w:p>
            <w:pPr>
              <w:spacing w:after="7" w:before="0"/>
            </w:pPr>
            <w:r>
              <w:rPr>
                <w:rFonts w:ascii="Arial" w:cs="Arial" w:eastAsia="Arial" w:hAnsi="Arial"/>
                <w:b w:val="false"/>
                <w:bCs w:val="false"/>
                <w:i/>
                <w:iCs/>
                <w:caps w:val="false"/>
                <w:color w:val="4b5563"/>
                <w:sz w:val="15"/>
                <w:szCs w:val="15"/>
              </w:rPr>
              <w:t xml:space="preserve">Isolation room identified, PPE specified, movement of patients and staff defined.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Isolation protocol within the outbreak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Plan reviewed and updated in the last two years?</w:t>
            </w:r>
          </w:p>
          <w:p>
            <w:pPr>
              <w:spacing w:after="7" w:before="0"/>
            </w:pPr>
            <w:r>
              <w:rPr>
                <w:rFonts w:ascii="Arial" w:cs="Arial" w:eastAsia="Arial" w:hAnsi="Arial"/>
                <w:b w:val="false"/>
                <w:bCs w:val="false"/>
                <w:i/>
                <w:iCs/>
                <w:caps w:val="false"/>
                <w:color w:val="4b5563"/>
                <w:sz w:val="15"/>
                <w:szCs w:val="15"/>
              </w:rPr>
              <w:t xml:space="preserve">Must be reviewed after every outbreak and at least every 2 years.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date on plan — must be within last 2 years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Clinical staff briefed on plan — know the trigger and first steps?</w:t>
            </w:r>
          </w:p>
          <w:p>
            <w:pPr>
              <w:spacing w:after="7" w:before="0"/>
            </w:pPr>
            <w:r>
              <w:rPr>
                <w:rFonts w:ascii="Arial" w:cs="Arial" w:eastAsia="Arial" w:hAnsi="Arial"/>
                <w:b w:val="false"/>
                <w:bCs w:val="false"/>
                <w:i/>
                <w:iCs/>
                <w:caps w:val="false"/>
                <w:color w:val="4b5563"/>
                <w:sz w:val="15"/>
                <w:szCs w:val="15"/>
              </w:rPr>
              <w:t xml:space="preserve">Staff must know: what triggers it and who to call. They do not need to memorise the whole plan.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staff briefing — meeting or training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the outbreak response plan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Document present. Specific trigger defined. Named incident commander. Public health contact with phone number. Isolation protocol. Review date within 2 years.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Check whether a previous outbreak was managed per plan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Has there been an outbreak in the last 2 years? If yes, was the plan followed? Post-outbreak review documented?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ward nurse: three cases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three patients on this ward developed bloody diarrhoea overnight, what would you do in the first 30 minutes? Answer must include: notify a named person and describe patient isolation.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the IPC lead: public health authority number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Without looking at the plan — what is the number for the public health authority you would call? If they need the plan, the plan needs to be better communicated.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2fe7m0vtzuebcnrq77c7p">
              <w:r>
                <w:rPr>
                  <w:rFonts w:ascii="Arial" w:cs="Arial" w:eastAsia="Arial" w:hAnsi="Arial"/>
                  <w:b/>
                  <w:bCs/>
                  <w:color w:val="c9a227"/>
                  <w:sz w:val="13"/>
                  <w:szCs w:val="13"/>
                  <w:u w:val="single"/>
                </w:rPr>
                <w:t xml:space="preserve">WHO (2018) Managing Epidemics Chapter 2</w:t>
              </w:r>
            </w:hyperlink>
            <w:r>
              <w:rPr>
                <w:rFonts w:ascii="Arial" w:cs="Arial" w:eastAsia="Arial" w:hAnsi="Arial"/>
                <w:b/>
                <w:bCs/>
                <w:i w:val="false"/>
                <w:iCs w:val="false"/>
                <w:caps w:val="false"/>
                <w:color w:val="6b778c"/>
                <w:sz w:val="13"/>
                <w:szCs w:val="13"/>
              </w:rPr>
              <w:t xml:space="preserve">   2. </w:t>
            </w:r>
            <w:hyperlink w:history="1" r:id="rId8l2a1sy-bshck0iwg5uep">
              <w:r>
                <w:rPr>
                  <w:rFonts w:ascii="Arial" w:cs="Arial" w:eastAsia="Arial" w:hAnsi="Arial"/>
                  <w:b/>
                  <w:bCs/>
                  <w:color w:val="c9a227"/>
                  <w:sz w:val="13"/>
                  <w:szCs w:val="13"/>
                  <w:u w:val="single"/>
                </w:rPr>
                <w:t xml:space="preserve">IHR (2005) Article 13 Public Health Response</w:t>
              </w:r>
            </w:hyperlink>
            <w:r>
              <w:rPr>
                <w:rFonts w:ascii="Arial" w:cs="Arial" w:eastAsia="Arial" w:hAnsi="Arial"/>
                <w:b/>
                <w:bCs/>
                <w:i w:val="false"/>
                <w:iCs w:val="false"/>
                <w:caps w:val="false"/>
                <w:color w:val="6b778c"/>
                <w:sz w:val="13"/>
                <w:szCs w:val="13"/>
              </w:rPr>
              <w:t xml:space="preserve">   3. </w:t>
            </w:r>
            <w:hyperlink w:history="1" r:id="rId4zw2juaxp_g3jp7ykhaz-">
              <w:r>
                <w:rPr>
                  <w:rFonts w:ascii="Arial" w:cs="Arial" w:eastAsia="Arial" w:hAnsi="Arial"/>
                  <w:b/>
                  <w:bCs/>
                  <w:color w:val="c9a227"/>
                  <w:sz w:val="13"/>
                  <w:szCs w:val="13"/>
                  <w:u w:val="single"/>
                </w:rPr>
                <w:t xml:space="preserve">Sphere (2018) Standard 5.1 Key Action 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4.7</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When an outbreak occurs in a healthcare facility, every hour of delayed response means additional patients exposed. Without a plan, the response is chaotic: nobody knows who is in charge, who calls the public health authority, or whether to close the ward.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The 2014-2016 West Africa Ebola outbreak killed more than 500 healthcare workers. Post-outbreak analysis identified delayed response, unclear command structures, and inadequate isolation as key drivers. Healthcare facilities with functioning outbreak response plans consistently contained outbreaks faster and with fewer secondary cases.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When told the scenario, nurse immediately names the IPC lead and describes isolation steps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Public health authority phone number known by the IPC lead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Isolation room identified in the plan and accessible within 30 minutes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Plan reviewed after a real event in the last 24 months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Post-outbreak review completed with documented lessons learned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Outbreak plan exists but is in a folder nobody has read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Trigger defined as unusual number of infections — not specific enough to act 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Last review date is five years ago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Incident commander named in plan no longer works at the facility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have never heard of the plan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Plan exists but trigger is vague.</w:t>
            </w:r>
          </w:p>
          <w:p>
            <w:pPr>
              <w:spacing w:after="20" w:before="0"/>
            </w:pPr>
            <w:r>
              <w:rPr>
                <w:rFonts w:ascii="Arial" w:cs="Arial" w:eastAsia="Arial" w:hAnsi="Arial"/>
                <w:b w:val="false"/>
                <w:bCs w:val="false"/>
                <w:i/>
                <w:iCs/>
                <w:caps w:val="false"/>
                <w:color w:val="4b5563"/>
                <w:sz w:val="15"/>
                <w:szCs w:val="15"/>
              </w:rPr>
              <w:t xml:space="preserve">Without a specific trigger, declaring an outbreak is subjective. One person says three cases in 72 hours is a cluster. Another says it needs five cases over a week. The team spends 24 hours debating instead of responding.</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Incident commander named in plan is no longer employed.</w:t>
            </w:r>
          </w:p>
          <w:p>
            <w:pPr>
              <w:spacing w:after="20" w:before="0"/>
            </w:pPr>
            <w:r>
              <w:rPr>
                <w:rFonts w:ascii="Arial" w:cs="Arial" w:eastAsia="Arial" w:hAnsi="Arial"/>
                <w:b w:val="false"/>
                <w:bCs w:val="false"/>
                <w:i/>
                <w:iCs/>
                <w:caps w:val="false"/>
                <w:color w:val="4b5563"/>
                <w:sz w:val="15"/>
                <w:szCs w:val="15"/>
              </w:rPr>
              <w:t xml:space="preserve">Plan updated two years ago. Since then the named person left. Plans must be reviewed when key personnel change.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Staff have never been briefed — plan is known only to the IPC lead.</w:t>
            </w:r>
          </w:p>
          <w:p>
            <w:pPr>
              <w:spacing w:after="36" w:before="0"/>
            </w:pPr>
            <w:r>
              <w:rPr>
                <w:rFonts w:ascii="Arial" w:cs="Arial" w:eastAsia="Arial" w:hAnsi="Arial"/>
                <w:b w:val="false"/>
                <w:bCs w:val="false"/>
                <w:i/>
                <w:iCs/>
                <w:caps w:val="false"/>
                <w:color w:val="4b5563"/>
                <w:sz w:val="15"/>
                <w:szCs w:val="15"/>
              </w:rPr>
              <w:t xml:space="preserve">When the ward nurse faces three cases at 2am, she does not know about the plan. She calls the on-call doctor. An hour is lost.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Draft the five-question outline: trigger, incident commander, public health contact, isolation protocol, communication plan. Two pages maximum.</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Walk through the plan with the clinical leadership team. Test: can they answer all five questions from memory after one read?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Brief ward staff: the trigger and the first step. Three cases in 72 hours = call the IPC lead immediately.</w:t>
            </w:r>
          </w:p>
          <w:p>
            <w:pPr>
              <w:spacing w:after="16" w:before="0"/>
            </w:pPr>
            <w:r>
              <w:rPr>
                <w:rFonts w:ascii="Helvetica" w:cs="Helvetica" w:eastAsia="Helvetica" w:hAnsi="Helvetica"/>
                <w:b/>
                <w:bCs/>
                <w:i w:val="false"/>
                <w:iCs w:val="false"/>
                <w:caps/>
                <w:color w:val="c9a227"/>
                <w:sz w:val="13"/>
                <w:szCs w:val="13"/>
              </w:rPr>
              <w:t xml:space="preserve">ANNUALLY  </w:t>
            </w:r>
            <w:r>
              <w:rPr>
                <w:rFonts w:ascii="Arial" w:cs="Arial" w:eastAsia="Arial" w:hAnsi="Arial"/>
                <w:b w:val="false"/>
                <w:bCs w:val="false"/>
                <w:i w:val="false"/>
                <w:iCs w:val="false"/>
                <w:caps w:val="false"/>
                <w:color w:val="374151"/>
                <w:sz w:val="16"/>
                <w:szCs w:val="16"/>
              </w:rPr>
              <w:t xml:space="preserve">Review the plan. Update named persons. Check that the public health authority contact is still current.</w:t>
            </w:r>
          </w:p>
          <w:p>
            <w:pPr>
              <w:spacing w:after="36" w:before="0"/>
            </w:pPr>
            <w:r>
              <w:rPr>
                <w:rFonts w:ascii="Helvetica" w:cs="Helvetica" w:eastAsia="Helvetica" w:hAnsi="Helvetica"/>
                <w:b/>
                <w:bCs/>
                <w:i w:val="false"/>
                <w:iCs w:val="false"/>
                <w:caps/>
                <w:color w:val="c9a227"/>
                <w:sz w:val="13"/>
                <w:szCs w:val="13"/>
              </w:rPr>
              <w:t xml:space="preserve">AFTER AN OUTBREAK  </w:t>
            </w:r>
            <w:r>
              <w:rPr>
                <w:rFonts w:ascii="Arial" w:cs="Arial" w:eastAsia="Arial" w:hAnsi="Arial"/>
                <w:b w:val="false"/>
                <w:bCs w:val="false"/>
                <w:i w:val="false"/>
                <w:iCs w:val="false"/>
                <w:caps w:val="false"/>
                <w:color w:val="374151"/>
                <w:sz w:val="16"/>
                <w:szCs w:val="16"/>
              </w:rPr>
              <w:t xml:space="preserve">Complete a post-outbreak review within 30 days. Document what happened, what the plan said, and what changed.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specificity test.  </w:t>
            </w:r>
            <w:r>
              <w:rPr>
                <w:rFonts w:ascii="Arial" w:cs="Arial" w:eastAsia="Arial" w:hAnsi="Arial"/>
                <w:b w:val="false"/>
                <w:bCs w:val="false"/>
                <w:i w:val="false"/>
                <w:iCs w:val="false"/>
                <w:caps w:val="false"/>
                <w:color w:val="374151"/>
                <w:sz w:val="16"/>
                <w:szCs w:val="16"/>
              </w:rPr>
              <w:t xml:space="preserve">Read the trigger definition. Can a ward nurse apply it unambiguously on a night shift without calling anyone? If it requires judgment, the trigger is not specific enough.</w:t>
            </w:r>
          </w:p>
          <w:p>
            <w:pPr>
              <w:spacing w:after="16" w:before="0"/>
            </w:pPr>
            <w:r>
              <w:rPr>
                <w:rFonts w:ascii="Arial" w:cs="Arial" w:eastAsia="Arial" w:hAnsi="Arial"/>
                <w:b/>
                <w:bCs/>
                <w:i w:val="false"/>
                <w:iCs w:val="false"/>
                <w:caps w:val="false"/>
                <w:color w:val="b91c1c"/>
                <w:sz w:val="15"/>
                <w:szCs w:val="15"/>
              </w:rPr>
              <w:t xml:space="preserve">The personnel check.  </w:t>
            </w:r>
            <w:r>
              <w:rPr>
                <w:rFonts w:ascii="Arial" w:cs="Arial" w:eastAsia="Arial" w:hAnsi="Arial"/>
                <w:b w:val="false"/>
                <w:bCs w:val="false"/>
                <w:i w:val="false"/>
                <w:iCs w:val="false"/>
                <w:caps w:val="false"/>
                <w:color w:val="374151"/>
                <w:sz w:val="16"/>
                <w:szCs w:val="16"/>
              </w:rPr>
              <w:t xml:space="preserve">Ask for the name of the incident commander in the plan. Then ask a receptionist whether that person still works there. Surprising number of plans name former employees.</w:t>
            </w:r>
          </w:p>
          <w:p>
            <w:pPr>
              <w:spacing w:after="36" w:before="0"/>
            </w:pPr>
            <w:r>
              <w:rPr>
                <w:rFonts w:ascii="Arial" w:cs="Arial" w:eastAsia="Arial" w:hAnsi="Arial"/>
                <w:b/>
                <w:bCs/>
                <w:i w:val="false"/>
                <w:iCs w:val="false"/>
                <w:caps w:val="false"/>
                <w:color w:val="b91c1c"/>
                <w:sz w:val="15"/>
                <w:szCs w:val="15"/>
              </w:rPr>
              <w:t xml:space="preserve">The night shift scenario.  </w:t>
            </w:r>
            <w:r>
              <w:rPr>
                <w:rFonts w:ascii="Arial" w:cs="Arial" w:eastAsia="Arial" w:hAnsi="Arial"/>
                <w:b w:val="false"/>
                <w:bCs w:val="false"/>
                <w:i w:val="false"/>
                <w:iCs w:val="false"/>
                <w:caps w:val="false"/>
                <w:color w:val="374151"/>
                <w:sz w:val="16"/>
                <w:szCs w:val="16"/>
              </w:rPr>
              <w:t xml:space="preserve">Ask: if this event happened at 3am on a Saturday, who would the first nurse to notice call? Follow the chain. How many steps before the incident commander is reached?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r_aje0cuqjphybuoiaxfc">
              <w:r>
                <w:rPr>
                  <w:rFonts w:ascii="Arial" w:cs="Arial" w:eastAsia="Arial" w:hAnsi="Arial"/>
                  <w:b/>
                  <w:bCs/>
                  <w:color w:val="c9a227"/>
                  <w:sz w:val="NaN27"/>
                  <w:szCs w:val="NaN27"/>
                  <w:u w:val="single"/>
                </w:rPr>
                <w:t xml:space="preserve">academy.gmj.ge/ipc-4-7-outbreak</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4.8</w:t>
            </w:r>
            <w:r>
              <w:rPr>
                <w:rFonts w:ascii="Arial" w:cs="Arial" w:eastAsia="Arial" w:hAnsi="Arial"/>
                <w:b w:val="false"/>
                <w:bCs w:val="false"/>
                <w:i/>
                <w:iCs/>
                <w:caps w:val="false"/>
                <w:color w:val="8fa8c8"/>
                <w:sz w:val="10"/>
                <w:szCs w:val="10"/>
              </w:rPr>
              <w:t xml:space="preserve">  ·  Level 2  ·  Chapter 4: Infection Prevention &amp; Control</w:t>
            </w:r>
          </w:p>
          <w:p>
            <w:pPr>
              <w:spacing w:after="36" w:before="0"/>
            </w:pPr>
            <w:r>
              <w:rPr>
                <w:rFonts w:ascii="Arial" w:cs="Arial" w:eastAsia="Arial" w:hAnsi="Arial"/>
                <w:b/>
                <w:bCs/>
                <w:i w:val="false"/>
                <w:iCs w:val="false"/>
                <w:caps w:val="false"/>
                <w:color w:val="dce8f5"/>
                <w:sz w:val="12"/>
                <w:szCs w:val="12"/>
              </w:rPr>
              <w:t xml:space="preserve">All clinical staff complete IPC training at induction and a refresher at least every two years, with individual records maintained.</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All clinical staff complete IPC training at induction and a refresher at least every two years, with individual records maintained.</w:t>
            </w:r>
          </w:p>
          <w:p>
            <w:pPr>
              <w:spacing w:after="36" w:before="0"/>
            </w:pPr>
            <w:r>
              <w:rPr>
                <w:rFonts w:ascii="Arial" w:cs="Arial" w:eastAsia="Arial" w:hAnsi="Arial"/>
                <w:b w:val="false"/>
                <w:bCs w:val="false"/>
                <w:i w:val="false"/>
                <w:iCs w:val="false"/>
                <w:caps w:val="false"/>
                <w:color w:val="4b5563"/>
                <w:sz w:val="15"/>
                <w:szCs w:val="15"/>
              </w:rPr>
              <w:t xml:space="preserve">Induction IPC training within the first week of employment. Refresher every 24 months minimum. Content covers: hand hygiene, PPE, waste management, and facility-specific protocols. A record exists for every staff member.</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Every clinical staff member has a record of IPC induction within their first week?</w:t>
            </w:r>
          </w:p>
          <w:p>
            <w:pPr>
              <w:spacing w:after="7" w:before="0"/>
            </w:pPr>
            <w:r>
              <w:rPr>
                <w:rFonts w:ascii="Arial" w:cs="Arial" w:eastAsia="Arial" w:hAnsi="Arial"/>
                <w:b w:val="false"/>
                <w:bCs w:val="false"/>
                <w:i/>
                <w:iCs/>
                <w:caps w:val="false"/>
                <w:color w:val="4b5563"/>
                <w:sz w:val="15"/>
                <w:szCs w:val="15"/>
              </w:rPr>
              <w:t xml:space="preserve">Induction training before first patient contact is the standard.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register — all clinical staff with induction date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Every clinical staff member has a record of IPC refresher in last 24 months?</w:t>
            </w:r>
          </w:p>
          <w:p>
            <w:pPr>
              <w:spacing w:after="7" w:before="0"/>
            </w:pPr>
            <w:r>
              <w:rPr>
                <w:rFonts w:ascii="Arial" w:cs="Arial" w:eastAsia="Arial" w:hAnsi="Arial"/>
                <w:b w:val="false"/>
                <w:bCs w:val="false"/>
                <w:i/>
                <w:iCs/>
                <w:caps w:val="false"/>
                <w:color w:val="4b5563"/>
                <w:sz w:val="15"/>
                <w:szCs w:val="15"/>
              </w:rPr>
              <w:t xml:space="preserve">No exceptions. Doctors, nurses, allied health, cleaning staff who enter clinical areas.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register — refresher dates for all clinical staff</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Training covers the four core IPC topics?</w:t>
            </w:r>
          </w:p>
          <w:p>
            <w:pPr>
              <w:spacing w:after="7" w:before="0"/>
            </w:pPr>
            <w:r>
              <w:rPr>
                <w:rFonts w:ascii="Arial" w:cs="Arial" w:eastAsia="Arial" w:hAnsi="Arial"/>
                <w:b w:val="false"/>
                <w:bCs w:val="false"/>
                <w:i/>
                <w:iCs/>
                <w:caps w:val="false"/>
                <w:color w:val="4b5563"/>
                <w:sz w:val="15"/>
                <w:szCs w:val="15"/>
              </w:rPr>
              <w:t xml:space="preserve">Hand hygiene, PPE selection and use, waste segregation, isolation precautions. Plus facility protocols.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curriculum or content outline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Training attendance recorded with full name, date, and trainer or platform?</w:t>
            </w:r>
          </w:p>
          <w:p>
            <w:pPr>
              <w:spacing w:after="7" w:before="0"/>
            </w:pPr>
            <w:r>
              <w:rPr>
                <w:rFonts w:ascii="Arial" w:cs="Arial" w:eastAsia="Arial" w:hAnsi="Arial"/>
                <w:b w:val="false"/>
                <w:bCs w:val="false"/>
                <w:i/>
                <w:iCs/>
                <w:caps w:val="false"/>
                <w:color w:val="4b5563"/>
                <w:sz w:val="15"/>
                <w:szCs w:val="15"/>
              </w:rPr>
              <w:t xml:space="preserve">A list of names without dates, or dates without names, is not a valid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Signed attendance sheet or platform completion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System in place to track and alert when refresher is due?</w:t>
            </w:r>
          </w:p>
          <w:p>
            <w:pPr>
              <w:spacing w:after="7" w:before="0"/>
            </w:pPr>
            <w:r>
              <w:rPr>
                <w:rFonts w:ascii="Arial" w:cs="Arial" w:eastAsia="Arial" w:hAnsi="Arial"/>
                <w:b w:val="false"/>
                <w:bCs w:val="false"/>
                <w:i/>
                <w:iCs/>
                <w:caps w:val="false"/>
                <w:color w:val="4b5563"/>
                <w:sz w:val="15"/>
                <w:szCs w:val="15"/>
              </w:rPr>
              <w:t xml:space="preserve">A spreadsheet, HR system, or the ASF Training Passport — any system that generates alerts.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Tracking system evidence — screenshot or report showing upcoming renewals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Spot-check one recently hired staff member</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Find a staff member who joined in the last 3 months. Ask: when did you complete your IPC induction training and what did it cover? Answer must be specific and recent.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training register for completeness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Every clinical staff member listed. Induction date present. Refresher date present and within 24 months. No blank rows for active staff.</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Check training content covers four core topics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Curriculum confirms: hand hygiene, PPE, waste, and isolation. Facility-specific protocols included.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doctor: WHO 5 Moments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Can you name the five WHO moments for hand hygiene? Doctors are frequently undertrained in IPC compared to nursing staff. This is a known gap.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rmzyftenspgo8bnlnfl5">
              <w:r>
                <w:rPr>
                  <w:rFonts w:ascii="Arial" w:cs="Arial" w:eastAsia="Arial" w:hAnsi="Arial"/>
                  <w:b/>
                  <w:bCs/>
                  <w:color w:val="c9a227"/>
                  <w:sz w:val="13"/>
                  <w:szCs w:val="13"/>
                  <w:u w:val="single"/>
                </w:rPr>
                <w:t xml:space="preserve">WHO (2016) Core Components IPC Chapter 5 Education</w:t>
              </w:r>
            </w:hyperlink>
            <w:r>
              <w:rPr>
                <w:rFonts w:ascii="Arial" w:cs="Arial" w:eastAsia="Arial" w:hAnsi="Arial"/>
                <w:b/>
                <w:bCs/>
                <w:i w:val="false"/>
                <w:iCs w:val="false"/>
                <w:caps w:val="false"/>
                <w:color w:val="6b778c"/>
                <w:sz w:val="13"/>
                <w:szCs w:val="13"/>
              </w:rPr>
              <w:t xml:space="preserve">   2. </w:t>
            </w:r>
            <w:hyperlink w:history="1" r:id="rIdejdg2_e_iyssy_mralwzs">
              <w:r>
                <w:rPr>
                  <w:rFonts w:ascii="Arial" w:cs="Arial" w:eastAsia="Arial" w:hAnsi="Arial"/>
                  <w:b/>
                  <w:bCs/>
                  <w:color w:val="c9a227"/>
                  <w:sz w:val="13"/>
                  <w:szCs w:val="13"/>
                  <w:u w:val="single"/>
                </w:rPr>
                <w:t xml:space="preserve">IOM (2020) IPC Training Standards Migration Health</w:t>
              </w:r>
            </w:hyperlink>
            <w:r>
              <w:rPr>
                <w:rFonts w:ascii="Arial" w:cs="Arial" w:eastAsia="Arial" w:hAnsi="Arial"/>
                <w:b/>
                <w:bCs/>
                <w:i w:val="false"/>
                <w:iCs w:val="false"/>
                <w:caps w:val="false"/>
                <w:color w:val="6b778c"/>
                <w:sz w:val="13"/>
                <w:szCs w:val="13"/>
              </w:rPr>
              <w:t xml:space="preserve">   3. </w:t>
            </w:r>
            <w:hyperlink w:history="1" r:id="rIdxq3p3higar4absaodmmpb">
              <w:r>
                <w:rPr>
                  <w:rFonts w:ascii="Arial" w:cs="Arial" w:eastAsia="Arial" w:hAnsi="Arial"/>
                  <w:b/>
                  <w:bCs/>
                  <w:color w:val="c9a227"/>
                  <w:sz w:val="13"/>
                  <w:szCs w:val="13"/>
                  <w:u w:val="single"/>
                </w:rPr>
                <w:t xml:space="preserve">ASF Academy IPC Curriculum</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4.8</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IPC knowledge goes stale. A nurse trained in hand hygiene in 2015 may be using techniques now known to be inadequate. A doctor who has never received formal IPC training — common in many healthcare systems — may not know the WHO 5 Moments. Training is not a bureaucratic requirement. It is the mechanism through which evidence reaches practice.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Studies consistently show that structured IPC training programmes reduce HAI rates. The most effective programmes combine knowledge, practised technique, and feedback from compliance audit results shared with staff. Training without feedback is only one third of the intervention.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Recently hired staff member describes IPC induction without prompting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staff member has a refresher date within 24 months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Doctors are on the training register — not just nurses and cleaning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Training includes practical demonstration, not just a lecture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Alerts generated automatically when refresher is due in next 60 days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Training records for nurses but doctors not included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Most recent refresher date for 40% of staff is more than 3 years ago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Training marked complete but no attendance record or signature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New staff start with patients before completing induction training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tracking system — IPC lead does not know who is overdue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Training records exist but not all staff categories included.</w:t>
            </w:r>
          </w:p>
          <w:p>
            <w:pPr>
              <w:spacing w:after="20" w:before="0"/>
            </w:pPr>
            <w:r>
              <w:rPr>
                <w:rFonts w:ascii="Arial" w:cs="Arial" w:eastAsia="Arial" w:hAnsi="Arial"/>
                <w:b w:val="false"/>
                <w:bCs w:val="false"/>
                <w:i/>
                <w:iCs/>
                <w:caps w:val="false"/>
                <w:color w:val="4b5563"/>
                <w:sz w:val="15"/>
                <w:szCs w:val="15"/>
              </w:rPr>
              <w:t xml:space="preserve">Nurses are trained. Doctors are not on the register. Cleaning staff are not on the register. Any person who enters clinical areas and touches patients or patient environments requires IPC training.</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Training marked as complete but content was inadequate.</w:t>
            </w:r>
          </w:p>
          <w:p>
            <w:pPr>
              <w:spacing w:after="20" w:before="0"/>
            </w:pPr>
            <w:r>
              <w:rPr>
                <w:rFonts w:ascii="Arial" w:cs="Arial" w:eastAsia="Arial" w:hAnsi="Arial"/>
                <w:b w:val="false"/>
                <w:bCs w:val="false"/>
                <w:i/>
                <w:iCs/>
                <w:caps w:val="false"/>
                <w:color w:val="4b5563"/>
                <w:sz w:val="15"/>
                <w:szCs w:val="15"/>
              </w:rPr>
              <w:t xml:space="preserve">One-hour lecture with no practical component. No assessment. Training must include demonstration and return demonstration for PPE and hand hygiene.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No tracking system — refresher dates not monitored.</w:t>
            </w:r>
          </w:p>
          <w:p>
            <w:pPr>
              <w:spacing w:after="36" w:before="0"/>
            </w:pPr>
            <w:r>
              <w:rPr>
                <w:rFonts w:ascii="Arial" w:cs="Arial" w:eastAsia="Arial" w:hAnsi="Arial"/>
                <w:b w:val="false"/>
                <w:bCs w:val="false"/>
                <w:i/>
                <w:iCs/>
                <w:caps w:val="false"/>
                <w:color w:val="4b5563"/>
                <w:sz w:val="15"/>
                <w:szCs w:val="15"/>
              </w:rPr>
              <w:t xml:space="preserve">The IPC lead knows training has happened but cannot say who is overdue. Without a tracking system, refreshers happen when someone remembers to schedule them.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the current training register. List every clinical staff member. Identify who has no induction record and who is overdue for a refresher.</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Schedule training sessions to close gaps. Prioritise staff with no record. Group sessions of 10-15 people are efficient. Online completion via ASF Academy is an alternative for refreshers.</w:t>
            </w:r>
          </w:p>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Establish a tracking system. A spreadsheet with names, induction date, and refresher due date — with a formula to flag those due in next 60 days — is sufficient to start.</w:t>
            </w:r>
          </w:p>
          <w:p>
            <w:pPr>
              <w:spacing w:after="1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New staff: IPC induction within first week, before first patient contact. All staff: refresher every 24 months.</w:t>
            </w:r>
          </w:p>
          <w:p>
            <w:pPr>
              <w:spacing w:after="36" w:before="0"/>
            </w:pPr>
            <w:r>
              <w:rPr>
                <w:rFonts w:ascii="Helvetica" w:cs="Helvetica" w:eastAsia="Helvetica" w:hAnsi="Helvetica"/>
                <w:b/>
                <w:bCs/>
                <w:i w:val="false"/>
                <w:iCs w:val="false"/>
                <w:caps/>
                <w:color w:val="c9a227"/>
                <w:sz w:val="13"/>
                <w:szCs w:val="13"/>
              </w:rPr>
              <w:t xml:space="preserve">INTEGRATION  </w:t>
            </w:r>
            <w:r>
              <w:rPr>
                <w:rFonts w:ascii="Arial" w:cs="Arial" w:eastAsia="Arial" w:hAnsi="Arial"/>
                <w:b w:val="false"/>
                <w:bCs w:val="false"/>
                <w:i w:val="false"/>
                <w:iCs w:val="false"/>
                <w:caps w:val="false"/>
                <w:color w:val="374151"/>
                <w:sz w:val="16"/>
                <w:szCs w:val="16"/>
              </w:rPr>
              <w:t xml:space="preserve">Add IPC training completion to HR onboarding checklist. New staff cannot complete induction without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doctor question.  </w:t>
            </w:r>
            <w:r>
              <w:rPr>
                <w:rFonts w:ascii="Arial" w:cs="Arial" w:eastAsia="Arial" w:hAnsi="Arial"/>
                <w:b w:val="false"/>
                <w:bCs w:val="false"/>
                <w:i w:val="false"/>
                <w:iCs w:val="false"/>
                <w:caps w:val="false"/>
                <w:color w:val="374151"/>
                <w:sz w:val="16"/>
                <w:szCs w:val="16"/>
              </w:rPr>
              <w:t xml:space="preserve">Ask a prescribing physician to name the WHO 5 Moments. Doctors receive far less IPC training than nurses — and are more resistant to observation. If the doctor cannot name the 5 Moments, training has a gap.</w:t>
            </w:r>
          </w:p>
          <w:p>
            <w:pPr>
              <w:spacing w:after="16" w:before="0"/>
            </w:pPr>
            <w:r>
              <w:rPr>
                <w:rFonts w:ascii="Arial" w:cs="Arial" w:eastAsia="Arial" w:hAnsi="Arial"/>
                <w:b/>
                <w:bCs/>
                <w:i w:val="false"/>
                <w:iCs w:val="false"/>
                <w:caps w:val="false"/>
                <w:color w:val="b91c1c"/>
                <w:sz w:val="15"/>
                <w:szCs w:val="15"/>
              </w:rPr>
              <w:t xml:space="preserve">The new starter.  </w:t>
            </w:r>
            <w:r>
              <w:rPr>
                <w:rFonts w:ascii="Arial" w:cs="Arial" w:eastAsia="Arial" w:hAnsi="Arial"/>
                <w:b w:val="false"/>
                <w:bCs w:val="false"/>
                <w:i w:val="false"/>
                <w:iCs w:val="false"/>
                <w:caps w:val="false"/>
                <w:color w:val="374151"/>
                <w:sz w:val="16"/>
                <w:szCs w:val="16"/>
              </w:rPr>
              <w:t xml:space="preserve">Identify a staff member who joined in the last month. Ask: on which day did you complete your IPC induction? I have not done it yet = critical finding for a CORE chapter.</w:t>
            </w:r>
          </w:p>
          <w:p>
            <w:pPr>
              <w:spacing w:after="36" w:before="0"/>
            </w:pPr>
            <w:r>
              <w:rPr>
                <w:rFonts w:ascii="Arial" w:cs="Arial" w:eastAsia="Arial" w:hAnsi="Arial"/>
                <w:b/>
                <w:bCs/>
                <w:i w:val="false"/>
                <w:iCs w:val="false"/>
                <w:caps w:val="false"/>
                <w:color w:val="b91c1c"/>
                <w:sz w:val="15"/>
                <w:szCs w:val="15"/>
              </w:rPr>
              <w:t xml:space="preserve">The completeness check.  </w:t>
            </w:r>
            <w:r>
              <w:rPr>
                <w:rFonts w:ascii="Arial" w:cs="Arial" w:eastAsia="Arial" w:hAnsi="Arial"/>
                <w:b w:val="false"/>
                <w:bCs w:val="false"/>
                <w:i w:val="false"/>
                <w:iCs w:val="false"/>
                <w:caps w:val="false"/>
                <w:color w:val="374151"/>
                <w:sz w:val="16"/>
                <w:szCs w:val="16"/>
              </w:rPr>
              <w:t xml:space="preserve">Open the training register and look for gaps. Blank rows for staff who are currently employed = overdue. Ask how the IPC lead knows who is coming up for renewal.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hohm-mrgl4msq1ecucyl">
              <w:r>
                <w:rPr>
                  <w:rFonts w:ascii="Arial" w:cs="Arial" w:eastAsia="Arial" w:hAnsi="Arial"/>
                  <w:b/>
                  <w:bCs/>
                  <w:color w:val="c9a227"/>
                  <w:sz w:val="NaN27"/>
                  <w:szCs w:val="NaN27"/>
                  <w:u w:val="single"/>
                </w:rPr>
                <w:t xml:space="preserve">academy.gmj.ge/ipc-4-8-training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4.9</w:t>
            </w:r>
            <w:r>
              <w:rPr>
                <w:rFonts w:ascii="Arial" w:cs="Arial" w:eastAsia="Arial" w:hAnsi="Arial"/>
                <w:b w:val="false"/>
                <w:bCs w:val="false"/>
                <w:i/>
                <w:iCs/>
                <w:caps w:val="false"/>
                <w:color w:val="8fa8c8"/>
                <w:sz w:val="10"/>
                <w:szCs w:val="10"/>
              </w:rPr>
              <w:t xml:space="preserve">  ·  Level 2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has an isolation policy, identifies at least one isolation room or space, and clinical staff can describe the correct process for isolating a patient with a suspected transmissible infection.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has an isolation policy, identifies at least one isolation room or space, and clinical staff can describe the correct process for isolating a patient with a suspected transmissible infection.</w:t>
            </w:r>
          </w:p>
          <w:p>
            <w:pPr>
              <w:spacing w:after="36" w:before="0"/>
            </w:pPr>
            <w:r>
              <w:rPr>
                <w:rFonts w:ascii="Arial" w:cs="Arial" w:eastAsia="Arial" w:hAnsi="Arial"/>
                <w:b w:val="false"/>
                <w:bCs w:val="false"/>
                <w:i w:val="false"/>
                <w:iCs w:val="false"/>
                <w:caps w:val="false"/>
                <w:color w:val="4b5563"/>
                <w:sz w:val="15"/>
                <w:szCs w:val="15"/>
              </w:rPr>
              <w:t xml:space="preserve">Isolation does not require negative pressure. In resource-limited settings: a single room with a closed door, dedicated equipment, staff using PPE on entry and removing it on exit, and clear signage on the door.</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Written isolation policy with trigger list and named isolation room?</w:t>
            </w:r>
          </w:p>
          <w:p>
            <w:pPr>
              <w:spacing w:after="7" w:before="0"/>
            </w:pPr>
            <w:r>
              <w:rPr>
                <w:rFonts w:ascii="Arial" w:cs="Arial" w:eastAsia="Arial" w:hAnsi="Arial"/>
                <w:b w:val="false"/>
                <w:bCs w:val="false"/>
                <w:i/>
                <w:iCs/>
                <w:caps w:val="false"/>
                <w:color w:val="4b5563"/>
                <w:sz w:val="15"/>
                <w:szCs w:val="15"/>
              </w:rPr>
              <w:t xml:space="preserve">Policy states: which conditions trigger isolation, which room is used, what PPE is required, how long isolation continues, who decides to end it.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Isolation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Designated isolation room is a single room with a door that closes?</w:t>
            </w:r>
          </w:p>
          <w:p>
            <w:pPr>
              <w:spacing w:after="7" w:before="0"/>
            </w:pPr>
            <w:r>
              <w:rPr>
                <w:rFonts w:ascii="Arial" w:cs="Arial" w:eastAsia="Arial" w:hAnsi="Arial"/>
                <w:b w:val="false"/>
                <w:bCs w:val="false"/>
                <w:i/>
                <w:iCs/>
                <w:caps w:val="false"/>
                <w:color w:val="4b5563"/>
                <w:sz w:val="15"/>
                <w:szCs w:val="15"/>
              </w:rPr>
              <w:t xml:space="preserve">Not a bed with a curtain. A room with a door that remains closed during isolation.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Floor plan or photo confirming isolation room identity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Isolation room equipped with hand hygiene at entrance and dedicated equipment?</w:t>
            </w:r>
          </w:p>
          <w:p>
            <w:pPr>
              <w:spacing w:after="7" w:before="0"/>
            </w:pPr>
            <w:r>
              <w:rPr>
                <w:rFonts w:ascii="Arial" w:cs="Arial" w:eastAsia="Arial" w:hAnsi="Arial"/>
                <w:b w:val="false"/>
                <w:bCs w:val="false"/>
                <w:i/>
                <w:iCs/>
                <w:caps w:val="false"/>
                <w:color w:val="4b5563"/>
                <w:sz w:val="15"/>
                <w:szCs w:val="15"/>
              </w:rPr>
              <w:t xml:space="preserve">Dedicated stethoscope, blood pressure cuff, thermometer — does not leave the room during isolation.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Isolation room equipment checklist — last inspection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Clinical staff know the correct PPE for isolation of a patient with suspected TB?</w:t>
            </w:r>
          </w:p>
          <w:p>
            <w:pPr>
              <w:spacing w:after="7" w:before="0"/>
            </w:pPr>
            <w:r>
              <w:rPr>
                <w:rFonts w:ascii="Arial" w:cs="Arial" w:eastAsia="Arial" w:hAnsi="Arial"/>
                <w:b w:val="false"/>
                <w:bCs w:val="false"/>
                <w:i/>
                <w:iCs/>
                <w:caps w:val="false"/>
                <w:color w:val="4b5563"/>
                <w:sz w:val="15"/>
                <w:szCs w:val="15"/>
              </w:rPr>
              <w:t xml:space="preserve">FFP2 or N95 mask, gloves, and apron as minimum.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PPE specification in isolation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Policy states how the patient is communicated with — why they are isolated and what will happen?</w:t>
            </w:r>
          </w:p>
          <w:p>
            <w:pPr>
              <w:spacing w:after="7" w:before="0"/>
            </w:pPr>
            <w:r>
              <w:rPr>
                <w:rFonts w:ascii="Arial" w:cs="Arial" w:eastAsia="Arial" w:hAnsi="Arial"/>
                <w:b w:val="false"/>
                <w:bCs w:val="false"/>
                <w:i/>
                <w:iCs/>
                <w:caps w:val="false"/>
                <w:color w:val="4b5563"/>
                <w:sz w:val="15"/>
                <w:szCs w:val="15"/>
              </w:rPr>
              <w:t xml:space="preserve">A patient placed in isolation without explanation experiences unnecessary distress.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Communication protocol in isolation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Walk the isolation room</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Inspect: single room with door, hand hygiene at entrance, dedicated equipment present, signage available. Is the door kept closed during isolation?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the isolation policy</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Trigger list present. Named room. PPE specified by condition. Duration criteria. De-isolation criteria. Patient communication protocol. Review date within 2 years.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ward nurse: TB isolation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a patient arrived right now with suspected active TB, what would happen in the next 30 minutes? Answer must include: room, FFP2 mask for staff, surgical mask for patient, door closed, IPC lead notified.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nurse: de-isolation criteria</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How do you know when it is safe to end isolation for a patient with suspected TB? Answer should reference: negative sputum results or clinical judgment by senior clinician — not just when they feel better.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4kydajbyjgibkqthfbyuf">
              <w:r>
                <w:rPr>
                  <w:rFonts w:ascii="Arial" w:cs="Arial" w:eastAsia="Arial" w:hAnsi="Arial"/>
                  <w:b/>
                  <w:bCs/>
                  <w:color w:val="c9a227"/>
                  <w:sz w:val="13"/>
                  <w:szCs w:val="13"/>
                  <w:u w:val="single"/>
                </w:rPr>
                <w:t xml:space="preserve">WHO (2019) IPC Respiratory Infections in Healthcare Chapter 3</w:t>
              </w:r>
            </w:hyperlink>
            <w:r>
              <w:rPr>
                <w:rFonts w:ascii="Arial" w:cs="Arial" w:eastAsia="Arial" w:hAnsi="Arial"/>
                <w:b/>
                <w:bCs/>
                <w:i w:val="false"/>
                <w:iCs w:val="false"/>
                <w:caps w:val="false"/>
                <w:color w:val="6b778c"/>
                <w:sz w:val="13"/>
                <w:szCs w:val="13"/>
              </w:rPr>
              <w:t xml:space="preserve">   2. </w:t>
            </w:r>
            <w:hyperlink w:history="1" r:id="rId_1szflf9ysozmjidk4ok9">
              <w:r>
                <w:rPr>
                  <w:rFonts w:ascii="Arial" w:cs="Arial" w:eastAsia="Arial" w:hAnsi="Arial"/>
                  <w:b/>
                  <w:bCs/>
                  <w:color w:val="c9a227"/>
                  <w:sz w:val="13"/>
                  <w:szCs w:val="13"/>
                  <w:u w:val="single"/>
                </w:rPr>
                <w:t xml:space="preserve">WHO (2009) Natural Ventilation for IPC</w:t>
              </w:r>
            </w:hyperlink>
            <w:r>
              <w:rPr>
                <w:rFonts w:ascii="Arial" w:cs="Arial" w:eastAsia="Arial" w:hAnsi="Arial"/>
                <w:b/>
                <w:bCs/>
                <w:i w:val="false"/>
                <w:iCs w:val="false"/>
                <w:caps w:val="false"/>
                <w:color w:val="6b778c"/>
                <w:sz w:val="13"/>
                <w:szCs w:val="13"/>
              </w:rPr>
              <w:t xml:space="preserve">   3. </w:t>
            </w:r>
            <w:hyperlink w:history="1" r:id="rId2frekxswqt3dw8hsotztl">
              <w:r>
                <w:rPr>
                  <w:rFonts w:ascii="Arial" w:cs="Arial" w:eastAsia="Arial" w:hAnsi="Arial"/>
                  <w:b/>
                  <w:bCs/>
                  <w:color w:val="c9a227"/>
                  <w:sz w:val="13"/>
                  <w:szCs w:val="13"/>
                  <w:u w:val="single"/>
                </w:rPr>
                <w:t xml:space="preserve">UNHCR (2020) COVID-19 IPC Refugee Settings Section 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4.9</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Isolation prevents the amplification of an infection from one patient to many. Without isolation, a patient with TB who shares a 4-bed bay transmits to all three other patients and potentially to every staff member who enters. In a healthcare facility without isolation capacity, one case of an airborne infection can become an outbreak within 72 hours.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natural ventilation guidelines show that a single room with a closed door, even without forced negative pressure, significantly reduces transmission of airborne infections when combined with correct PPE. A working door beats a non-functional negative pressure system.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Isolation room identified, clean, equipped, accessible within 30 minutes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lead paged immediately when a patient triggers isolation criteria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enter isolation room correctly: don PPE outside door, doff outside door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received a clear explanation of why they are isolated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Dedicated equipment in the room — labelled, not shared with other areas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single room — curtains drawn around a bed in a 6-bed bay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enter isolation room without PPE because they are just delivering a meal tray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Isolation room used as a store room — cleared only when needed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not told why they are isolated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Same stethoscope used in isolation room and general ward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designated isolation room is shared with admissions, consultations, and storage.</w:t>
            </w:r>
          </w:p>
          <w:p>
            <w:pPr>
              <w:spacing w:after="20" w:before="0"/>
            </w:pPr>
            <w:r>
              <w:rPr>
                <w:rFonts w:ascii="Arial" w:cs="Arial" w:eastAsia="Arial" w:hAnsi="Arial"/>
                <w:b w:val="false"/>
                <w:bCs w:val="false"/>
                <w:i/>
                <w:iCs/>
                <w:caps w:val="false"/>
                <w:color w:val="4b5563"/>
                <w:sz w:val="15"/>
                <w:szCs w:val="15"/>
              </w:rPr>
              <w:t xml:space="preserve">When isolation is needed, the room is occupied. Isolation cannot happen because preparation never happened. The isolation room must be available — not in theory, but in practice.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Staff enter isolation room with incorrect PPE.</w:t>
            </w:r>
          </w:p>
          <w:p>
            <w:pPr>
              <w:spacing w:after="20" w:before="0"/>
            </w:pPr>
            <w:r>
              <w:rPr>
                <w:rFonts w:ascii="Arial" w:cs="Arial" w:eastAsia="Arial" w:hAnsi="Arial"/>
                <w:b w:val="false"/>
                <w:bCs w:val="false"/>
                <w:i/>
                <w:iCs/>
                <w:caps w:val="false"/>
                <w:color w:val="4b5563"/>
                <w:sz w:val="15"/>
                <w:szCs w:val="15"/>
              </w:rPr>
              <w:t xml:space="preserve">For suspected TB: entering with a surgical mask instead of FFP2 = inadequate protection. The PPE must match the specific pathogen and transmission route.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Isolation ends when the patient feels better — not when clinical criteria are met.</w:t>
            </w:r>
          </w:p>
          <w:p>
            <w:pPr>
              <w:spacing w:after="36" w:before="0"/>
            </w:pPr>
            <w:r>
              <w:rPr>
                <w:rFonts w:ascii="Arial" w:cs="Arial" w:eastAsia="Arial" w:hAnsi="Arial"/>
                <w:b w:val="false"/>
                <w:bCs w:val="false"/>
                <w:i/>
                <w:iCs/>
                <w:caps w:val="false"/>
                <w:color w:val="4b5563"/>
                <w:sz w:val="15"/>
                <w:szCs w:val="15"/>
              </w:rPr>
              <w:t xml:space="preserve">De-isolation requires laboratory evidence or a clinical decision by a senior clinician. Feeling better is not a criterion. Premature de-isolation leads to continued transmission.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Identify the best available isolation room: single room, door that closes, window if possible. Document any limitations.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Equip the isolation room: hand hygiene at entrance, dedicated equipment labelled for isolation use, PPE station outside the door, signage.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Write the isolation protocol: trigger list, named room, PPE by condition, entry and exit procedure, patient communication script, de-isolation criteria.</w:t>
            </w:r>
          </w:p>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Brief all clinical staff on the protocol. 20 minutes. Focus on: when to trigger, PPE required, and how to communicate with the isolated patient.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Monthly check that isolation room is clean, equipped, and accessible. Annual policy review against current pathogen guidance.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stethoscope check.  </w:t>
            </w:r>
            <w:r>
              <w:rPr>
                <w:rFonts w:ascii="Arial" w:cs="Arial" w:eastAsia="Arial" w:hAnsi="Arial"/>
                <w:b w:val="false"/>
                <w:bCs w:val="false"/>
                <w:i w:val="false"/>
                <w:iCs w:val="false"/>
                <w:caps w:val="false"/>
                <w:color w:val="374151"/>
                <w:sz w:val="16"/>
                <w:szCs w:val="16"/>
              </w:rPr>
              <w:t xml:space="preserve">Ask whether equipment in the isolation room is dedicated to that room during isolation. Then check whether the stethoscope hanging there is also the one used on the general ward. Shared equipment = no isolation.</w:t>
            </w:r>
          </w:p>
          <w:p>
            <w:pPr>
              <w:spacing w:after="16" w:before="0"/>
            </w:pPr>
            <w:r>
              <w:rPr>
                <w:rFonts w:ascii="Arial" w:cs="Arial" w:eastAsia="Arial" w:hAnsi="Arial"/>
                <w:b/>
                <w:bCs/>
                <w:i w:val="false"/>
                <w:iCs w:val="false"/>
                <w:caps w:val="false"/>
                <w:color w:val="b91c1c"/>
                <w:sz w:val="15"/>
                <w:szCs w:val="15"/>
              </w:rPr>
              <w:t xml:space="preserve">The door.  </w:t>
            </w:r>
            <w:r>
              <w:rPr>
                <w:rFonts w:ascii="Arial" w:cs="Arial" w:eastAsia="Arial" w:hAnsi="Arial"/>
                <w:b w:val="false"/>
                <w:bCs w:val="false"/>
                <w:i w:val="false"/>
                <w:iCs w:val="false"/>
                <w:caps w:val="false"/>
                <w:color w:val="374151"/>
                <w:sz w:val="16"/>
                <w:szCs w:val="16"/>
              </w:rPr>
              <w:t xml:space="preserve">Close the isolation room door. Does it stay closed? A door that swings open or has a gap at the bottom undermines the isolation. Note any gaps in the report.</w:t>
            </w:r>
          </w:p>
          <w:p>
            <w:pPr>
              <w:spacing w:after="36" w:before="0"/>
            </w:pPr>
            <w:r>
              <w:rPr>
                <w:rFonts w:ascii="Arial" w:cs="Arial" w:eastAsia="Arial" w:hAnsi="Arial"/>
                <w:b/>
                <w:bCs/>
                <w:i w:val="false"/>
                <w:iCs w:val="false"/>
                <w:caps w:val="false"/>
                <w:color w:val="b91c1c"/>
                <w:sz w:val="15"/>
                <w:szCs w:val="15"/>
              </w:rPr>
              <w:t xml:space="preserve">PPE outside the door.  </w:t>
            </w:r>
            <w:r>
              <w:rPr>
                <w:rFonts w:ascii="Arial" w:cs="Arial" w:eastAsia="Arial" w:hAnsi="Arial"/>
                <w:b w:val="false"/>
                <w:bCs w:val="false"/>
                <w:i w:val="false"/>
                <w:iCs w:val="false"/>
                <w:caps w:val="false"/>
                <w:color w:val="374151"/>
                <w:sz w:val="16"/>
                <w:szCs w:val="16"/>
              </w:rPr>
              <w:t xml:space="preserve">Is there a PPE station immediately outside the isolation room door? If staff have to walk to the nurse station to collect PPE, some will not bother.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f6luv58n8pkadxcfyexqc">
              <w:r>
                <w:rPr>
                  <w:rFonts w:ascii="Arial" w:cs="Arial" w:eastAsia="Arial" w:hAnsi="Arial"/>
                  <w:b/>
                  <w:bCs/>
                  <w:color w:val="c9a227"/>
                  <w:sz w:val="NaN27"/>
                  <w:szCs w:val="NaN27"/>
                  <w:u w:val="single"/>
                </w:rPr>
                <w:t xml:space="preserve">academy.gmj.ge/ipc-4-9-isolation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4.10</w:t>
            </w:r>
            <w:r>
              <w:rPr>
                <w:rFonts w:ascii="Arial" w:cs="Arial" w:eastAsia="Arial" w:hAnsi="Arial"/>
                <w:b w:val="false"/>
                <w:bCs w:val="false"/>
                <w:i/>
                <w:iCs/>
                <w:caps w:val="false"/>
                <w:color w:val="8fa8c8"/>
                <w:sz w:val="10"/>
                <w:szCs w:val="10"/>
              </w:rPr>
              <w:t xml:space="preserve">  ·  Level 3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has a functioning antimicrobial stewardship programme with a restricted antibiotic list, regular prescription review, and access to local resistance data.</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has a functioning antimicrobial stewardship programme with a restricted antibiotic list, regular prescription review, and access to local resistance data.</w:t>
            </w:r>
          </w:p>
          <w:p>
            <w:pPr>
              <w:spacing w:after="36" w:before="0"/>
            </w:pPr>
            <w:r>
              <w:rPr>
                <w:rFonts w:ascii="Arial" w:cs="Arial" w:eastAsia="Arial" w:hAnsi="Arial"/>
                <w:b w:val="false"/>
                <w:bCs w:val="false"/>
                <w:i w:val="false"/>
                <w:iCs w:val="false"/>
                <w:caps w:val="false"/>
                <w:color w:val="4b5563"/>
                <w:sz w:val="15"/>
                <w:szCs w:val="15"/>
              </w:rPr>
              <w:t xml:space="preserve">Antimicrobial resistance is driven by inappropriate prescribing. An ASP requires: a restricted antibiotic list requiring senior approval, regular review of antibiotic prescriptions, and an antibiogram showing local resistance patterns.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Restricted antibiotic list requiring senior approval for defined antibiotics?</w:t>
            </w:r>
          </w:p>
          <w:p>
            <w:pPr>
              <w:spacing w:after="7" w:before="0"/>
            </w:pPr>
            <w:r>
              <w:rPr>
                <w:rFonts w:ascii="Arial" w:cs="Arial" w:eastAsia="Arial" w:hAnsi="Arial"/>
                <w:b w:val="false"/>
                <w:bCs w:val="false"/>
                <w:i/>
                <w:iCs/>
                <w:caps w:val="false"/>
                <w:color w:val="4b5563"/>
                <w:sz w:val="15"/>
                <w:szCs w:val="15"/>
              </w:rPr>
              <w:t xml:space="preserve">Carbapenems, vancomycin, colistin at minimum. Approval documented in patient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Restricted antibiotic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Pharmacist or physician reviews antibiotic prescriptions at least weekly?</w:t>
            </w:r>
          </w:p>
          <w:p>
            <w:pPr>
              <w:spacing w:after="7" w:before="0"/>
            </w:pPr>
            <w:r>
              <w:rPr>
                <w:rFonts w:ascii="Arial" w:cs="Arial" w:eastAsia="Arial" w:hAnsi="Arial"/>
                <w:b w:val="false"/>
                <w:bCs w:val="false"/>
                <w:i/>
                <w:iCs/>
                <w:caps w:val="false"/>
                <w:color w:val="4b5563"/>
                <w:sz w:val="15"/>
                <w:szCs w:val="15"/>
              </w:rPr>
              <w:t xml:space="preserve">Review checks: correct antibiotic, correct dose, correct duration, de-escalation when culture results available.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Prescription review records — last 4 weeks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Laboratory produces an antibiogram at least annually?</w:t>
            </w:r>
          </w:p>
          <w:p>
            <w:pPr>
              <w:spacing w:after="7" w:before="0"/>
            </w:pPr>
            <w:r>
              <w:rPr>
                <w:rFonts w:ascii="Arial" w:cs="Arial" w:eastAsia="Arial" w:hAnsi="Arial"/>
                <w:b w:val="false"/>
                <w:bCs w:val="false"/>
                <w:i/>
                <w:iCs/>
                <w:caps w:val="false"/>
                <w:color w:val="4b5563"/>
                <w:sz w:val="15"/>
                <w:szCs w:val="15"/>
              </w:rPr>
              <w:t xml:space="preserve">Antibiogram shows resistance rates for common organisms in this facility by antibiotic class.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Most recent antibiogram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Empirical prescribing guidelines based on local resistance data from the antibiogram?</w:t>
            </w:r>
          </w:p>
          <w:p>
            <w:pPr>
              <w:spacing w:after="7" w:before="0"/>
            </w:pPr>
            <w:r>
              <w:rPr>
                <w:rFonts w:ascii="Arial" w:cs="Arial" w:eastAsia="Arial" w:hAnsi="Arial"/>
                <w:b w:val="false"/>
                <w:bCs w:val="false"/>
                <w:i/>
                <w:iCs/>
                <w:caps w:val="false"/>
                <w:color w:val="4b5563"/>
                <w:sz w:val="15"/>
                <w:szCs w:val="15"/>
              </w:rPr>
              <w:t xml:space="preserve">Guidelines that ignore local data prescribe antibiotics that no longer work in this facility.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Empirical prescribing guidelines — dated and citing the local antibiogram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ASP committee or equivalent meets at least quarterly?</w:t>
            </w:r>
          </w:p>
          <w:p>
            <w:pPr>
              <w:spacing w:after="7" w:before="0"/>
            </w:pPr>
            <w:r>
              <w:rPr>
                <w:rFonts w:ascii="Arial" w:cs="Arial" w:eastAsia="Arial" w:hAnsi="Arial"/>
                <w:b w:val="false"/>
                <w:bCs w:val="false"/>
                <w:i/>
                <w:iCs/>
                <w:caps w:val="false"/>
                <w:color w:val="4b5563"/>
                <w:sz w:val="15"/>
                <w:szCs w:val="15"/>
              </w:rPr>
              <w:t xml:space="preserve">Attendance, agenda, decisions, and actions must be documented.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ASP committee meeting minutes — last 4 meetings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prescribing clinician: restricted list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you wanted to prescribe meropenem for a patient right now, what is the process? Answer must include: named approver, documented authorisation, and the reason.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antibiogram — currency and use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Most recent antibiogram within last 12 months. Covers common organisms. Shows resistance rates by antibiotic class. Referenced in empirical prescribing guidelines.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prescription review records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Regular pharmacist or physician prescription review documented. At least one documented de-escalation or antibiotic change based on culture results in last month.</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the ASP lead: current resistance concern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What is the most important antimicrobial resistance problem in this facility right now and what is the programme doing about it? Specific answer = active ASP.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qsqffjp4stp8zhf6iiipl">
              <w:r>
                <w:rPr>
                  <w:rFonts w:ascii="Arial" w:cs="Arial" w:eastAsia="Arial" w:hAnsi="Arial"/>
                  <w:b/>
                  <w:bCs/>
                  <w:color w:val="c9a227"/>
                  <w:sz w:val="13"/>
                  <w:szCs w:val="13"/>
                  <w:u w:val="single"/>
                </w:rPr>
                <w:t xml:space="preserve">WHO (2019) ASP Toolkit for LMIC</w:t>
              </w:r>
            </w:hyperlink>
            <w:r>
              <w:rPr>
                <w:rFonts w:ascii="Arial" w:cs="Arial" w:eastAsia="Arial" w:hAnsi="Arial"/>
                <w:b/>
                <w:bCs/>
                <w:i w:val="false"/>
                <w:iCs w:val="false"/>
                <w:caps w:val="false"/>
                <w:color w:val="6b778c"/>
                <w:sz w:val="13"/>
                <w:szCs w:val="13"/>
              </w:rPr>
              <w:t xml:space="preserve">   2. </w:t>
            </w:r>
            <w:hyperlink w:history="1" r:id="rId0hlne9pwrwgkp4w5rv25z">
              <w:r>
                <w:rPr>
                  <w:rFonts w:ascii="Arial" w:cs="Arial" w:eastAsia="Arial" w:hAnsi="Arial"/>
                  <w:b/>
                  <w:bCs/>
                  <w:color w:val="c9a227"/>
                  <w:sz w:val="13"/>
                  <w:szCs w:val="13"/>
                  <w:u w:val="single"/>
                </w:rPr>
                <w:t xml:space="preserve">WHO GLASS (2022) Global AMR Surveillance</w:t>
              </w:r>
            </w:hyperlink>
            <w:r>
              <w:rPr>
                <w:rFonts w:ascii="Arial" w:cs="Arial" w:eastAsia="Arial" w:hAnsi="Arial"/>
                <w:b/>
                <w:bCs/>
                <w:i w:val="false"/>
                <w:iCs w:val="false"/>
                <w:caps w:val="false"/>
                <w:color w:val="6b778c"/>
                <w:sz w:val="13"/>
                <w:szCs w:val="13"/>
              </w:rPr>
              <w:t xml:space="preserve">   3. </w:t>
            </w:r>
            <w:hyperlink w:history="1" r:id="rIdctcgvoe9e4feigbos5rza">
              <w:r>
                <w:rPr>
                  <w:rFonts w:ascii="Arial" w:cs="Arial" w:eastAsia="Arial" w:hAnsi="Arial"/>
                  <w:b/>
                  <w:bCs/>
                  <w:color w:val="c9a227"/>
                  <w:sz w:val="13"/>
                  <w:szCs w:val="13"/>
                  <w:u w:val="single"/>
                </w:rPr>
                <w:t xml:space="preserve">IOM (2021) AMR in Migration Health Settings</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4.10</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Antimicrobial resistance will cause 10 million deaths annually by 2050 if current trends continue. The primary driver is inappropriate antibiotic prescribing — the wrong antibiotic, wrong dose, wrong duration, or no antibiotic needed at all. Every healthcare facility contributes to resistance through its prescribing practices.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 facility without an antibiogram is prescribing blind. An antibiotic that works 95% of the time nationally may work only 40% of the time locally due to local resistance patterns. Prescribing without local data means patients receive ineffective treatment.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Prescribing clinician describes the restricted authorisation process immediately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Antibiogram produced in last 12 months and referenced in current guidelines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documented antibiotic de-escalation per week based on culture results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ASP lead names the top three resistance problems in the facility today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Empirical guidelines updated within 12 months of the most recent antibiogram</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Carbapenems available without approval because there is no time for that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Antibiogram last produced four years ago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Culture results received but antibiotic not changed despite sensitivity report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ASP committee has not met in 8 months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Prescribing guidelines unchanged since the department was established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Restricted list exists but approval not enforced out of hours.</w:t>
            </w:r>
          </w:p>
          <w:p>
            <w:pPr>
              <w:spacing w:after="20" w:before="0"/>
            </w:pPr>
            <w:r>
              <w:rPr>
                <w:rFonts w:ascii="Arial" w:cs="Arial" w:eastAsia="Arial" w:hAnsi="Arial"/>
                <w:b w:val="false"/>
                <w:bCs w:val="false"/>
                <w:i/>
                <w:iCs/>
                <w:caps w:val="false"/>
                <w:color w:val="4b5563"/>
                <w:sz w:val="15"/>
                <w:szCs w:val="15"/>
              </w:rPr>
              <w:t xml:space="preserve">Meropenem requires senior approval. But out of hours, the on-call doctor prescribes it without approval because it is an emergency. Approval process must work 24 hours a day.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Antibiogram exists but is not used.</w:t>
            </w:r>
          </w:p>
          <w:p>
            <w:pPr>
              <w:spacing w:after="20" w:before="0"/>
            </w:pPr>
            <w:r>
              <w:rPr>
                <w:rFonts w:ascii="Arial" w:cs="Arial" w:eastAsia="Arial" w:hAnsi="Arial"/>
                <w:b w:val="false"/>
                <w:bCs w:val="false"/>
                <w:i/>
                <w:iCs/>
                <w:caps w:val="false"/>
                <w:color w:val="4b5563"/>
                <w:sz w:val="15"/>
                <w:szCs w:val="15"/>
              </w:rPr>
              <w:t xml:space="preserve">The laboratory produces a resistance report annually. The prescribing guidelines were last updated six years ago and do not reference the antibiogram. Prescribers use antibiotics the antibiogram shows are no longer effective.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De-escalation does not happen despite culture results.</w:t>
            </w:r>
          </w:p>
          <w:p>
            <w:pPr>
              <w:spacing w:after="36" w:before="0"/>
            </w:pPr>
            <w:r>
              <w:rPr>
                <w:rFonts w:ascii="Arial" w:cs="Arial" w:eastAsia="Arial" w:hAnsi="Arial"/>
                <w:b w:val="false"/>
                <w:bCs w:val="false"/>
                <w:i/>
                <w:iCs/>
                <w:caps w:val="false"/>
                <w:color w:val="4b5563"/>
                <w:sz w:val="15"/>
                <w:szCs w:val="15"/>
              </w:rPr>
              <w:t xml:space="preserve">Broad-spectrum antibiotic started empirically. Culture grows an organism sensitive to a narrow-spectrum antibiotic. Broad-spectrum is continued because it is already working. This is a missed de-escalation opportunity.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Establish the restricted antibiotic list. Define which antibiotics require senior approval. Define the approval process including out-of-hours coverage. Implement immediately.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Commission the first antibiogram if one does not exist. Target production within 3 months.</w:t>
            </w:r>
          </w:p>
          <w:p>
            <w:pPr>
              <w:spacing w:after="16" w:before="0"/>
            </w:pPr>
            <w:r>
              <w:rPr>
                <w:rFonts w:ascii="Helvetica" w:cs="Helvetica" w:eastAsia="Helvetica" w:hAnsi="Helvetica"/>
                <w:b/>
                <w:bCs/>
                <w:i w:val="false"/>
                <w:iCs w:val="false"/>
                <w:caps/>
                <w:color w:val="c9a227"/>
                <w:sz w:val="13"/>
                <w:szCs w:val="13"/>
              </w:rPr>
              <w:t xml:space="preserve">MONTH 3  </w:t>
            </w:r>
            <w:r>
              <w:rPr>
                <w:rFonts w:ascii="Arial" w:cs="Arial" w:eastAsia="Arial" w:hAnsi="Arial"/>
                <w:b w:val="false"/>
                <w:bCs w:val="false"/>
                <w:i w:val="false"/>
                <w:iCs w:val="false"/>
                <w:caps w:val="false"/>
                <w:color w:val="374151"/>
                <w:sz w:val="16"/>
                <w:szCs w:val="16"/>
              </w:rPr>
              <w:t xml:space="preserve">First prescription review session. Pharmacist or physician reviews all antibiotic prescriptions on two wards. Documents any de-escalation opportunities.</w:t>
            </w:r>
          </w:p>
          <w:p>
            <w:pPr>
              <w:spacing w:after="16" w:before="0"/>
            </w:pPr>
            <w:r>
              <w:rPr>
                <w:rFonts w:ascii="Helvetica" w:cs="Helvetica" w:eastAsia="Helvetica" w:hAnsi="Helvetica"/>
                <w:b/>
                <w:bCs/>
                <w:i w:val="false"/>
                <w:iCs w:val="false"/>
                <w:caps/>
                <w:color w:val="c9a227"/>
                <w:sz w:val="13"/>
                <w:szCs w:val="13"/>
              </w:rPr>
              <w:t xml:space="preserve">MONTH 6  </w:t>
            </w:r>
            <w:r>
              <w:rPr>
                <w:rFonts w:ascii="Arial" w:cs="Arial" w:eastAsia="Arial" w:hAnsi="Arial"/>
                <w:b w:val="false"/>
                <w:bCs w:val="false"/>
                <w:i w:val="false"/>
                <w:iCs w:val="false"/>
                <w:caps w:val="false"/>
                <w:color w:val="374151"/>
                <w:sz w:val="16"/>
                <w:szCs w:val="16"/>
              </w:rPr>
              <w:t xml:space="preserve">Update empirical prescribing guidelines based on antibiogram data. Distribute to all prescribers.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Annual antibiogram, quarterly ASP committee, weekly prescription review, continuous restricted list approval documentation.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out-of-hours test.  </w:t>
            </w:r>
            <w:r>
              <w:rPr>
                <w:rFonts w:ascii="Arial" w:cs="Arial" w:eastAsia="Arial" w:hAnsi="Arial"/>
                <w:b w:val="false"/>
                <w:bCs w:val="false"/>
                <w:i w:val="false"/>
                <w:iCs w:val="false"/>
                <w:caps w:val="false"/>
                <w:color w:val="374151"/>
                <w:sz w:val="16"/>
                <w:szCs w:val="16"/>
              </w:rPr>
              <w:t xml:space="preserve">Ask: if a patient requires meropenem at 2am on a Sunday, who is the named approver and how are they contacted? If the answer is we would just prescribe it, the restriction does not function outside business hours.</w:t>
            </w:r>
          </w:p>
          <w:p>
            <w:pPr>
              <w:spacing w:after="16" w:before="0"/>
            </w:pPr>
            <w:r>
              <w:rPr>
                <w:rFonts w:ascii="Arial" w:cs="Arial" w:eastAsia="Arial" w:hAnsi="Arial"/>
                <w:b/>
                <w:bCs/>
                <w:i w:val="false"/>
                <w:iCs w:val="false"/>
                <w:caps w:val="false"/>
                <w:color w:val="b91c1c"/>
                <w:sz w:val="15"/>
                <w:szCs w:val="15"/>
              </w:rPr>
              <w:t xml:space="preserve">Antibiogram age.  </w:t>
            </w:r>
            <w:r>
              <w:rPr>
                <w:rFonts w:ascii="Arial" w:cs="Arial" w:eastAsia="Arial" w:hAnsi="Arial"/>
                <w:b w:val="false"/>
                <w:bCs w:val="false"/>
                <w:i w:val="false"/>
                <w:iCs w:val="false"/>
                <w:caps w:val="false"/>
                <w:color w:val="374151"/>
                <w:sz w:val="16"/>
                <w:szCs w:val="16"/>
              </w:rPr>
              <w:t xml:space="preserve">Ask for the most recent antibiogram. Check the date. An antibiogram more than 18 months old does not reflect current resistance patterns.</w:t>
            </w:r>
          </w:p>
          <w:p>
            <w:pPr>
              <w:spacing w:after="36" w:before="0"/>
            </w:pPr>
            <w:r>
              <w:rPr>
                <w:rFonts w:ascii="Arial" w:cs="Arial" w:eastAsia="Arial" w:hAnsi="Arial"/>
                <w:b/>
                <w:bCs/>
                <w:i w:val="false"/>
                <w:iCs w:val="false"/>
                <w:caps w:val="false"/>
                <w:color w:val="b91c1c"/>
                <w:sz w:val="15"/>
                <w:szCs w:val="15"/>
              </w:rPr>
              <w:t xml:space="preserve">The de-escalation check.  </w:t>
            </w:r>
            <w:r>
              <w:rPr>
                <w:rFonts w:ascii="Arial" w:cs="Arial" w:eastAsia="Arial" w:hAnsi="Arial"/>
                <w:b w:val="false"/>
                <w:bCs w:val="false"/>
                <w:i w:val="false"/>
                <w:iCs w:val="false"/>
                <w:caps w:val="false"/>
                <w:color w:val="374151"/>
                <w:sz w:val="16"/>
                <w:szCs w:val="16"/>
              </w:rPr>
              <w:t xml:space="preserve">Review 5 recent antibiotic prescriptions where culture results are available. In how many was the antibiotic changed when the sensitivity report came back? If zero, the feedback loop from microbiology to prescribing is broken.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ruuvcjuudw1dhaeyzkejv">
              <w:r>
                <w:rPr>
                  <w:rFonts w:ascii="Arial" w:cs="Arial" w:eastAsia="Arial" w:hAnsi="Arial"/>
                  <w:b/>
                  <w:bCs/>
                  <w:color w:val="c9a227"/>
                  <w:sz w:val="NaN27"/>
                  <w:szCs w:val="NaN27"/>
                  <w:u w:val="single"/>
                </w:rPr>
                <w:t xml:space="preserve">academy.gmj.ge/ipc-4-10-stewardship</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4.11</w:t>
            </w:r>
            <w:r>
              <w:rPr>
                <w:rFonts w:ascii="Arial" w:cs="Arial" w:eastAsia="Arial" w:hAnsi="Arial"/>
                <w:b w:val="false"/>
                <w:bCs w:val="false"/>
                <w:i/>
                <w:iCs/>
                <w:caps w:val="false"/>
                <w:color w:val="8fa8c8"/>
                <w:sz w:val="10"/>
                <w:szCs w:val="10"/>
              </w:rPr>
              <w:t xml:space="preserve">  ·  Level 3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benchmarks its infection rates against external data from comparable facilities and uses the comparison to drive improvement.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23</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4.11</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benchmarks its infection rates against external data from comparable facilities and uses the comparison to drive improvement.</w:t>
            </w:r>
          </w:p>
          <w:p>
            <w:pPr>
              <w:spacing w:after="36" w:before="0"/>
            </w:pPr>
            <w:r>
              <w:rPr>
                <w:rFonts w:ascii="Arial" w:cs="Arial" w:eastAsia="Arial" w:hAnsi="Arial"/>
                <w:b w:val="false"/>
                <w:bCs w:val="false"/>
                <w:i w:val="false"/>
                <w:iCs w:val="false"/>
                <w:caps w:val="false"/>
                <w:color w:val="4b5563"/>
                <w:sz w:val="15"/>
                <w:szCs w:val="15"/>
              </w:rPr>
              <w:t xml:space="preserve">Internal monitoring tells you whether you are improving against yourself. External benchmarking tells you whether your rates are good relative to comparable facilities. A 2% SSI rate looks like success until comparable facilities average 0.8%.</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Facility participates in a national HAI surveillance network or ASF benchmarking pool?</w:t>
            </w:r>
          </w:p>
          <w:p>
            <w:pPr>
              <w:spacing w:after="7" w:before="0"/>
            </w:pPr>
            <w:r>
              <w:rPr>
                <w:rFonts w:ascii="Arial" w:cs="Arial" w:eastAsia="Arial" w:hAnsi="Arial"/>
                <w:b w:val="false"/>
                <w:bCs w:val="false"/>
                <w:i/>
                <w:iCs/>
                <w:caps w:val="false"/>
                <w:color w:val="4b5563"/>
                <w:sz w:val="15"/>
                <w:szCs w:val="15"/>
              </w:rPr>
              <w:t xml:space="preserve">Benchmarking requires sharing data externally. Participation must be documented.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Registration or participation confirmation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Benchmarking report received in last 12 months comparing rates to external reference?</w:t>
            </w:r>
          </w:p>
          <w:p>
            <w:pPr>
              <w:spacing w:after="7" w:before="0"/>
            </w:pPr>
            <w:r>
              <w:rPr>
                <w:rFonts w:ascii="Arial" w:cs="Arial" w:eastAsia="Arial" w:hAnsi="Arial"/>
                <w:b w:val="false"/>
                <w:bCs w:val="false"/>
                <w:i/>
                <w:iCs/>
                <w:caps w:val="false"/>
                <w:color w:val="4b5563"/>
                <w:sz w:val="15"/>
                <w:szCs w:val="15"/>
              </w:rPr>
              <w:t xml:space="preserve">A report showing only your own rates is monitoring, not benchmarking.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Most recent benchmarking report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Facility investigated and acted on any indicator above the benchmark?</w:t>
            </w:r>
          </w:p>
          <w:p>
            <w:pPr>
              <w:spacing w:after="7" w:before="0"/>
            </w:pPr>
            <w:r>
              <w:rPr>
                <w:rFonts w:ascii="Arial" w:cs="Arial" w:eastAsia="Arial" w:hAnsi="Arial"/>
                <w:b w:val="false"/>
                <w:bCs w:val="false"/>
                <w:i/>
                <w:iCs/>
                <w:caps w:val="false"/>
                <w:color w:val="4b5563"/>
                <w:sz w:val="15"/>
                <w:szCs w:val="15"/>
              </w:rPr>
              <w:t xml:space="preserve">Benchmarking data that triggers no action has no value.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Investigation report or quality improvement record triggered by benchmarking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Benchmarking results shared with clinical teams — not just quality management?</w:t>
            </w:r>
          </w:p>
          <w:p>
            <w:pPr>
              <w:spacing w:after="7" w:before="0"/>
            </w:pPr>
            <w:r>
              <w:rPr>
                <w:rFonts w:ascii="Arial" w:cs="Arial" w:eastAsia="Arial" w:hAnsi="Arial"/>
                <w:b w:val="false"/>
                <w:bCs w:val="false"/>
                <w:i/>
                <w:iCs/>
                <w:caps w:val="false"/>
                <w:color w:val="4b5563"/>
                <w:sz w:val="15"/>
                <w:szCs w:val="15"/>
              </w:rPr>
              <w:t xml:space="preserve">Benchmarking drives improvement only when it reaches clinicians who control the practice.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benchmarking data shared with clinical teams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Facility changed at least one practice in last 24 months as a result of benchmarking?</w:t>
            </w:r>
          </w:p>
          <w:p>
            <w:pPr>
              <w:spacing w:after="7" w:before="0"/>
            </w:pPr>
            <w:r>
              <w:rPr>
                <w:rFonts w:ascii="Arial" w:cs="Arial" w:eastAsia="Arial" w:hAnsi="Arial"/>
                <w:b w:val="false"/>
                <w:bCs w:val="false"/>
                <w:i/>
                <w:iCs/>
                <w:caps w:val="false"/>
                <w:color w:val="4b5563"/>
                <w:sz w:val="15"/>
                <w:szCs w:val="15"/>
              </w:rPr>
              <w:t xml:space="preserve">A documented example of a practice change triggered by comparison with peers.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Quality improvement record linking benchmarking data to practice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the most recent benchmarking report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Report present from last 12 months. Facility rates compared to external reference. At least one indicator benchmarked. Outlier indicators identified.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quality improvement record — benchmarking triggered</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At least one QI initiative in last 24 months where benchmarking data was the trigger.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the IPC lead: benchmark comparison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How does your CAUTI rate compare to comparable facilities nationally? Answer should include a specific number, direction, and interpretation.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a ward nurse: awareness of external comparison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Do you know how this ward compares to other hospitals on infection rates? Any awareness indicates benchmarking data has reached clinical staff.</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kt4lrf_gb8nadld0w67md">
              <w:r>
                <w:rPr>
                  <w:rFonts w:ascii="Arial" w:cs="Arial" w:eastAsia="Arial" w:hAnsi="Arial"/>
                  <w:b/>
                  <w:bCs/>
                  <w:color w:val="c9a227"/>
                  <w:sz w:val="13"/>
                  <w:szCs w:val="13"/>
                  <w:u w:val="single"/>
                </w:rPr>
                <w:t xml:space="preserve">WHO (2022) Global IPC Report Chapter 6</w:t>
              </w:r>
            </w:hyperlink>
            <w:r>
              <w:rPr>
                <w:rFonts w:ascii="Arial" w:cs="Arial" w:eastAsia="Arial" w:hAnsi="Arial"/>
                <w:b/>
                <w:bCs/>
                <w:i w:val="false"/>
                <w:iCs w:val="false"/>
                <w:caps w:val="false"/>
                <w:color w:val="6b778c"/>
                <w:sz w:val="13"/>
                <w:szCs w:val="13"/>
              </w:rPr>
              <w:t xml:space="preserve">   2. </w:t>
            </w:r>
            <w:hyperlink w:history="1" r:id="rIdifieyhoqdmfnb5d0obhnw">
              <w:r>
                <w:rPr>
                  <w:rFonts w:ascii="Arial" w:cs="Arial" w:eastAsia="Arial" w:hAnsi="Arial"/>
                  <w:b/>
                  <w:bCs/>
                  <w:color w:val="c9a227"/>
                  <w:sz w:val="13"/>
                  <w:szCs w:val="13"/>
                  <w:u w:val="single"/>
                </w:rPr>
                <w:t xml:space="preserve">ECDC (2023) HAI Surveillance Network Methodology</w:t>
              </w:r>
            </w:hyperlink>
            <w:r>
              <w:rPr>
                <w:rFonts w:ascii="Arial" w:cs="Arial" w:eastAsia="Arial" w:hAnsi="Arial"/>
                <w:b/>
                <w:bCs/>
                <w:i w:val="false"/>
                <w:iCs w:val="false"/>
                <w:caps w:val="false"/>
                <w:color w:val="6b778c"/>
                <w:sz w:val="13"/>
                <w:szCs w:val="13"/>
              </w:rPr>
              <w:t xml:space="preserve">   3. </w:t>
            </w:r>
            <w:hyperlink w:history="1" r:id="rIdpsivmcuotts1bpv52fqwa">
              <w:r>
                <w:rPr>
                  <w:rFonts w:ascii="Arial" w:cs="Arial" w:eastAsia="Arial" w:hAnsi="Arial"/>
                  <w:b/>
                  <w:bCs/>
                  <w:color w:val="c9a227"/>
                  <w:sz w:val="13"/>
                  <w:szCs w:val="13"/>
                  <w:u w:val="single"/>
                </w:rPr>
                <w:t xml:space="preserve">ASF Benchmarking Pool — contact ASF for enrolment</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4.11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4.11</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24</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Benchmarking creates the external pressure that internal monitoring alone cannot. When a hospital compares its infection rates only to its own historical data, it can celebrate improvement that still leaves it well below comparable facilities. Benchmarking reveals this gap.</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Studies from ECDC benchmarking networks show that facilities that join surveillance networks and receive regular comparative reports reduce their HAI rates significantly faster than facilities that monitor in isolation. The act of comparison — and the accountability it creates — drives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lead states how the facility compares to benchmark on at least two indicators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Benchmarking report received in last 12 months and discussed at IPC committee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practice change in last 24 months triggered by unfavourable benchmark</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Clinical staff know the facility is compared to peers externally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Benchmarking data presented to leadership alongside internal monitoring data</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Facility monitors internally but has never compared to any external data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Benchmarking report received but filed — not discussed, not acted 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Facility declined to join the national surveillance network because data is not ready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Internal rates look good — nobody has checked whether comparable facilities do better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Clinical staff have never heard the word benchmarking in this context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Facility not willing to share data externally because rates look poor.</w:t>
            </w:r>
          </w:p>
          <w:p>
            <w:pPr>
              <w:spacing w:after="20" w:before="0"/>
            </w:pPr>
            <w:r>
              <w:rPr>
                <w:rFonts w:ascii="Arial" w:cs="Arial" w:eastAsia="Arial" w:hAnsi="Arial"/>
                <w:b w:val="false"/>
                <w:bCs w:val="false"/>
                <w:i/>
                <w:iCs/>
                <w:caps w:val="false"/>
                <w:color w:val="4b5563"/>
                <w:sz w:val="15"/>
                <w:szCs w:val="15"/>
              </w:rPr>
              <w:t xml:space="preserve">This is the opposite of what should happen. Facilities with poor rates are exactly those that most need benchmarking — to understand how far they are from achievable standards.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Benchmarking data received but clinical teams never see it.</w:t>
            </w:r>
          </w:p>
          <w:p>
            <w:pPr>
              <w:spacing w:after="20" w:before="0"/>
            </w:pPr>
            <w:r>
              <w:rPr>
                <w:rFonts w:ascii="Arial" w:cs="Arial" w:eastAsia="Arial" w:hAnsi="Arial"/>
                <w:b w:val="false"/>
                <w:bCs w:val="false"/>
                <w:i/>
                <w:iCs/>
                <w:caps w:val="false"/>
                <w:color w:val="4b5563"/>
                <w:sz w:val="15"/>
                <w:szCs w:val="15"/>
              </w:rPr>
              <w:t xml:space="preserve">The quality manager receives the report and files it. Clinical teams never see how their rates compare to peers. Benchmarking has no impact on practice.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Facility participates but does not act on unfavourable findings.</w:t>
            </w:r>
          </w:p>
          <w:p>
            <w:pPr>
              <w:spacing w:after="36" w:before="0"/>
            </w:pPr>
            <w:r>
              <w:rPr>
                <w:rFonts w:ascii="Arial" w:cs="Arial" w:eastAsia="Arial" w:hAnsi="Arial"/>
                <w:b w:val="false"/>
                <w:bCs w:val="false"/>
                <w:i/>
                <w:iCs/>
                <w:caps w:val="false"/>
                <w:color w:val="4b5563"/>
                <w:sz w:val="15"/>
                <w:szCs w:val="15"/>
              </w:rPr>
              <w:t xml:space="preserve">CAUTI rate is double the benchmark. Noted in IPC committee minutes. Following quarter, rate is still double. No investigation, no practice change. Participation without action = data collection without purpose.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Identify the benchmarking options: national HAI surveillance network, regional clinical network, or ASF pool. Enrol in at least one.</w:t>
            </w:r>
          </w:p>
          <w:p>
            <w:pPr>
              <w:spacing w:after="16" w:before="0"/>
            </w:pPr>
            <w:r>
              <w:rPr>
                <w:rFonts w:ascii="Helvetica" w:cs="Helvetica" w:eastAsia="Helvetica" w:hAnsi="Helvetica"/>
                <w:b/>
                <w:bCs/>
                <w:i w:val="false"/>
                <w:iCs w:val="false"/>
                <w:caps/>
                <w:color w:val="c9a227"/>
                <w:sz w:val="13"/>
                <w:szCs w:val="13"/>
              </w:rPr>
              <w:t xml:space="preserve">MONTH 3  </w:t>
            </w:r>
            <w:r>
              <w:rPr>
                <w:rFonts w:ascii="Arial" w:cs="Arial" w:eastAsia="Arial" w:hAnsi="Arial"/>
                <w:b w:val="false"/>
                <w:bCs w:val="false"/>
                <w:i w:val="false"/>
                <w:iCs w:val="false"/>
                <w:caps w:val="false"/>
                <w:color w:val="374151"/>
                <w:sz w:val="16"/>
                <w:szCs w:val="16"/>
              </w:rPr>
              <w:t xml:space="preserve">Submit first data point. Ensure denominator is calculated consistently with the network standard.</w:t>
            </w:r>
          </w:p>
          <w:p>
            <w:pPr>
              <w:spacing w:after="16" w:before="0"/>
            </w:pPr>
            <w:r>
              <w:rPr>
                <w:rFonts w:ascii="Helvetica" w:cs="Helvetica" w:eastAsia="Helvetica" w:hAnsi="Helvetica"/>
                <w:b/>
                <w:bCs/>
                <w:i w:val="false"/>
                <w:iCs w:val="false"/>
                <w:caps/>
                <w:color w:val="c9a227"/>
                <w:sz w:val="13"/>
                <w:szCs w:val="13"/>
              </w:rPr>
              <w:t xml:space="preserve">MONTH 6  </w:t>
            </w:r>
            <w:r>
              <w:rPr>
                <w:rFonts w:ascii="Arial" w:cs="Arial" w:eastAsia="Arial" w:hAnsi="Arial"/>
                <w:b w:val="false"/>
                <w:bCs w:val="false"/>
                <w:i w:val="false"/>
                <w:iCs w:val="false"/>
                <w:caps w:val="false"/>
                <w:color w:val="374151"/>
                <w:sz w:val="16"/>
                <w:szCs w:val="16"/>
              </w:rPr>
              <w:t xml:space="preserve">Receive first comparative report. Present at IPC committee. Identify any indicator where the facility is above the network average.</w:t>
            </w:r>
          </w:p>
          <w:p>
            <w:pPr>
              <w:spacing w:after="16" w:before="0"/>
            </w:pPr>
            <w:r>
              <w:rPr>
                <w:rFonts w:ascii="Helvetica" w:cs="Helvetica" w:eastAsia="Helvetica" w:hAnsi="Helvetica"/>
                <w:b/>
                <w:bCs/>
                <w:i w:val="false"/>
                <w:iCs w:val="false"/>
                <w:caps/>
                <w:color w:val="c9a227"/>
                <w:sz w:val="13"/>
                <w:szCs w:val="13"/>
              </w:rPr>
              <w:t xml:space="preserve">MONTH 7  </w:t>
            </w:r>
            <w:r>
              <w:rPr>
                <w:rFonts w:ascii="Arial" w:cs="Arial" w:eastAsia="Arial" w:hAnsi="Arial"/>
                <w:b w:val="false"/>
                <w:bCs w:val="false"/>
                <w:i w:val="false"/>
                <w:iCs w:val="false"/>
                <w:caps w:val="false"/>
                <w:color w:val="374151"/>
                <w:sz w:val="16"/>
                <w:szCs w:val="16"/>
              </w:rPr>
              <w:t xml:space="preserve">For any unfavourable indicator: initiate an investigation. What does the facility with the lowest rate do differently?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Regular data submission per network schedule. Annual benchmarking review at leadership level.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The willingness question.  </w:t>
            </w:r>
            <w:r>
              <w:rPr>
                <w:rFonts w:ascii="Arial" w:cs="Arial" w:eastAsia="Arial" w:hAnsi="Arial"/>
                <w:b w:val="false"/>
                <w:bCs w:val="false"/>
                <w:i w:val="false"/>
                <w:iCs w:val="false"/>
                <w:caps w:val="false"/>
                <w:color w:val="374151"/>
                <w:sz w:val="16"/>
                <w:szCs w:val="16"/>
              </w:rPr>
              <w:t xml:space="preserve">Ask: does the facility share its infection rate data externally? If the answer is no, ask why. Acceptable data is better than no external comparison.</w:t>
            </w:r>
          </w:p>
          <w:p>
            <w:pPr>
              <w:spacing w:after="16" w:before="0"/>
            </w:pPr>
            <w:r>
              <w:rPr>
                <w:rFonts w:ascii="Arial" w:cs="Arial" w:eastAsia="Arial" w:hAnsi="Arial"/>
                <w:b/>
                <w:bCs/>
                <w:i w:val="false"/>
                <w:iCs w:val="false"/>
                <w:caps w:val="false"/>
                <w:color w:val="b91c1c"/>
                <w:sz w:val="15"/>
                <w:szCs w:val="15"/>
              </w:rPr>
              <w:t xml:space="preserve">The action chain.  </w:t>
            </w:r>
            <w:r>
              <w:rPr>
                <w:rFonts w:ascii="Arial" w:cs="Arial" w:eastAsia="Arial" w:hAnsi="Arial"/>
                <w:b w:val="false"/>
                <w:bCs w:val="false"/>
                <w:i w:val="false"/>
                <w:iCs w:val="false"/>
                <w:caps w:val="false"/>
                <w:color w:val="374151"/>
                <w:sz w:val="16"/>
                <w:szCs w:val="16"/>
              </w:rPr>
              <w:t xml:space="preserve">Ask to see the most recent benchmarking report. Ask what happened next. If the report went from inbox to file with no action, benchmarking has no impact.</w:t>
            </w:r>
          </w:p>
          <w:p>
            <w:pPr>
              <w:spacing w:after="36" w:before="0"/>
            </w:pPr>
            <w:r>
              <w:rPr>
                <w:rFonts w:ascii="Arial" w:cs="Arial" w:eastAsia="Arial" w:hAnsi="Arial"/>
                <w:b/>
                <w:bCs/>
                <w:i w:val="false"/>
                <w:iCs w:val="false"/>
                <w:caps w:val="false"/>
                <w:color w:val="b91c1c"/>
                <w:sz w:val="15"/>
                <w:szCs w:val="15"/>
              </w:rPr>
              <w:t xml:space="preserve">The comparison question to staff.  </w:t>
            </w:r>
            <w:r>
              <w:rPr>
                <w:rFonts w:ascii="Arial" w:cs="Arial" w:eastAsia="Arial" w:hAnsi="Arial"/>
                <w:b w:val="false"/>
                <w:bCs w:val="false"/>
                <w:i w:val="false"/>
                <w:iCs w:val="false"/>
                <w:caps w:val="false"/>
                <w:color w:val="374151"/>
                <w:sz w:val="16"/>
                <w:szCs w:val="16"/>
              </w:rPr>
              <w:t xml:space="preserve">Ask a nurse: do you know how this hospital compares to others on infection prevention? We are better than average with no data = false confidence.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m4_vyjepxl0uf4nz_aek5">
              <w:r>
                <w:rPr>
                  <w:rFonts w:ascii="Arial" w:cs="Arial" w:eastAsia="Arial" w:hAnsi="Arial"/>
                  <w:b/>
                  <w:bCs/>
                  <w:color w:val="c9a227"/>
                  <w:sz w:val="NaN27"/>
                  <w:szCs w:val="NaN27"/>
                  <w:u w:val="single"/>
                </w:rPr>
                <w:t xml:space="preserve">academy.gmj.ge/ipc-4-11-benchmarking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4.12</w:t>
            </w:r>
            <w:r>
              <w:rPr>
                <w:rFonts w:ascii="Arial" w:cs="Arial" w:eastAsia="Arial" w:hAnsi="Arial"/>
                <w:b w:val="false"/>
                <w:bCs w:val="false"/>
                <w:i/>
                <w:iCs/>
                <w:caps w:val="false"/>
                <w:color w:val="8fa8c8"/>
                <w:sz w:val="10"/>
                <w:szCs w:val="10"/>
              </w:rPr>
              <w:t xml:space="preserve">  ·  Level 3  ·  Chapter 4: Infection Prevention &amp; Control</w:t>
            </w:r>
          </w:p>
          <w:p>
            <w:pPr>
              <w:spacing w:after="36" w:before="0"/>
            </w:pPr>
            <w:r>
              <w:rPr>
                <w:rFonts w:ascii="Arial" w:cs="Arial" w:eastAsia="Arial" w:hAnsi="Arial"/>
                <w:b/>
                <w:bCs/>
                <w:i w:val="false"/>
                <w:iCs w:val="false"/>
                <w:caps w:val="false"/>
                <w:color w:val="dce8f5"/>
                <w:sz w:val="12"/>
                <w:szCs w:val="12"/>
              </w:rPr>
              <w:t xml:space="preserve">The facility actively involves patients and families in infection prevention by informing them of their right to ask any staff member to clean their hands.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25</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4.12</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The facility actively involves patients and families in infection prevention by informing them of their right to ask any staff member to clean their hands.</w:t>
            </w:r>
          </w:p>
          <w:p>
            <w:pPr>
              <w:spacing w:after="36" w:before="0"/>
            </w:pPr>
            <w:r>
              <w:rPr>
                <w:rFonts w:ascii="Arial" w:cs="Arial" w:eastAsia="Arial" w:hAnsi="Arial"/>
                <w:b w:val="false"/>
                <w:bCs w:val="false"/>
                <w:i w:val="false"/>
                <w:iCs w:val="false"/>
                <w:caps w:val="false"/>
                <w:color w:val="4b5563"/>
                <w:sz w:val="15"/>
                <w:szCs w:val="15"/>
              </w:rPr>
              <w:t xml:space="preserve">Patients are the most powerful and most underused force for hand hygiene compliance. When patients are told they have the right to ask staff to clean their hands, compliance increases significantly. Patient feedback captures data no internal audit can fully replicate.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Patient information notice at the bedside about the right to ask staff to clean their hands?</w:t>
            </w:r>
          </w:p>
          <w:p>
            <w:pPr>
              <w:spacing w:after="7" w:before="0"/>
            </w:pPr>
            <w:r>
              <w:rPr>
                <w:rFonts w:ascii="Arial" w:cs="Arial" w:eastAsia="Arial" w:hAnsi="Arial"/>
                <w:b w:val="false"/>
                <w:bCs w:val="false"/>
                <w:i/>
                <w:iCs/>
                <w:caps w:val="false"/>
                <w:color w:val="4b5563"/>
                <w:sz w:val="15"/>
                <w:szCs w:val="15"/>
              </w:rPr>
              <w:t xml:space="preserve">Notice must be in the language the patient understands. Visual format acceptable if literacy is limited.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Photo of patient information notice — submit during site visit or upload to portal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At least one IPC question in the patient satisfaction survey?</w:t>
            </w:r>
          </w:p>
          <w:p>
            <w:pPr>
              <w:spacing w:after="7" w:before="0"/>
            </w:pPr>
            <w:r>
              <w:rPr>
                <w:rFonts w:ascii="Arial" w:cs="Arial" w:eastAsia="Arial" w:hAnsi="Arial"/>
                <w:b w:val="false"/>
                <w:bCs w:val="false"/>
                <w:i/>
                <w:iCs/>
                <w:caps w:val="false"/>
                <w:color w:val="4b5563"/>
                <w:sz w:val="15"/>
                <w:szCs w:val="15"/>
              </w:rPr>
              <w:t xml:space="preserve">At minimum: Did you see staff clean their hands before touching you?</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Most recent patient satisfaction survey with IPC question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Patient satisfaction IPC results shared with clinical teams?</w:t>
            </w:r>
          </w:p>
          <w:p>
            <w:pPr>
              <w:spacing w:after="7" w:before="0"/>
            </w:pPr>
            <w:r>
              <w:rPr>
                <w:rFonts w:ascii="Arial" w:cs="Arial" w:eastAsia="Arial" w:hAnsi="Arial"/>
                <w:b w:val="false"/>
                <w:bCs w:val="false"/>
                <w:i/>
                <w:iCs/>
                <w:caps w:val="false"/>
                <w:color w:val="4b5563"/>
                <w:sz w:val="15"/>
                <w:szCs w:val="15"/>
              </w:rPr>
              <w:t xml:space="preserve">Results filed in the quality office do not change practice on the ward.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Evidence of survey results shared with clinical teams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IPC lead reviewed patient satisfaction IPC data in last 12 months?</w:t>
            </w:r>
          </w:p>
          <w:p>
            <w:pPr>
              <w:spacing w:after="7" w:before="0"/>
            </w:pPr>
            <w:r>
              <w:rPr>
                <w:rFonts w:ascii="Arial" w:cs="Arial" w:eastAsia="Arial" w:hAnsi="Arial"/>
                <w:b w:val="false"/>
                <w:bCs w:val="false"/>
                <w:i/>
                <w:iCs/>
                <w:caps w:val="false"/>
                <w:color w:val="4b5563"/>
                <w:sz w:val="15"/>
                <w:szCs w:val="15"/>
              </w:rPr>
              <w:t xml:space="preserve">Review must be documented. If results showed a problem, what was done?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IPC committee meeting minutes showing patient satisfaction IPC data discussed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Patients and families given verbal information about hand hygiene at admission?</w:t>
            </w:r>
          </w:p>
          <w:p>
            <w:pPr>
              <w:spacing w:after="7" w:before="0"/>
            </w:pPr>
            <w:r>
              <w:rPr>
                <w:rFonts w:ascii="Arial" w:cs="Arial" w:eastAsia="Arial" w:hAnsi="Arial"/>
                <w:b w:val="false"/>
                <w:bCs w:val="false"/>
                <w:i/>
                <w:iCs/>
                <w:caps w:val="false"/>
                <w:color w:val="4b5563"/>
                <w:sz w:val="15"/>
                <w:szCs w:val="15"/>
              </w:rPr>
              <w:t xml:space="preserve">A brief explanation: please ask any of us to clean our hands before touching you.</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Documentation of verbal IPC information given to patients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960"/>
        <w:gridCol w:w="558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Check for patient information notice in clinical areas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During ward walk: is a notice visible at or near the patient bed? In appropriate language?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patient satisfaction survey — IPC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Survey confirmed to include at least one IPC question. Results documented for last 12 months. Trend visible.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IPC committee minutes for patient feedback discussion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At least one meeting in last 12 months where patient satisfaction IPC data was discussed. Result below 80% triggers investigation.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Ask one patient (with permission): were you told you can ask staff to clean their hands?</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If patient confirms they were told: YES. If not: PARTIAL at best. This is the ultimate test of whether the programme reaches patients.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01mncub1mgi4hzmgysqd">
              <w:r>
                <w:rPr>
                  <w:rFonts w:ascii="Arial" w:cs="Arial" w:eastAsia="Arial" w:hAnsi="Arial"/>
                  <w:b/>
                  <w:bCs/>
                  <w:color w:val="c9a227"/>
                  <w:sz w:val="13"/>
                  <w:szCs w:val="13"/>
                  <w:u w:val="single"/>
                </w:rPr>
                <w:t xml:space="preserve">WHO (2013) SAVE LIVES Patient Engagement Hand Hygiene</w:t>
              </w:r>
            </w:hyperlink>
            <w:r>
              <w:rPr>
                <w:rFonts w:ascii="Arial" w:cs="Arial" w:eastAsia="Arial" w:hAnsi="Arial"/>
                <w:b/>
                <w:bCs/>
                <w:i w:val="false"/>
                <w:iCs w:val="false"/>
                <w:caps w:val="false"/>
                <w:color w:val="6b778c"/>
                <w:sz w:val="13"/>
                <w:szCs w:val="13"/>
              </w:rPr>
              <w:t xml:space="preserve">   2. </w:t>
            </w:r>
            <w:hyperlink w:history="1" r:id="rIdqq5wlkgvzu6r-mi-vcish">
              <w:r>
                <w:rPr>
                  <w:rFonts w:ascii="Arial" w:cs="Arial" w:eastAsia="Arial" w:hAnsi="Arial"/>
                  <w:b/>
                  <w:bCs/>
                  <w:color w:val="c9a227"/>
                  <w:sz w:val="13"/>
                  <w:szCs w:val="13"/>
                  <w:u w:val="single"/>
                </w:rPr>
                <w:t xml:space="preserve">WHO (2021) Global Patient Safety Action Plan 2021-2030</w:t>
              </w:r>
            </w:hyperlink>
            <w:r>
              <w:rPr>
                <w:rFonts w:ascii="Arial" w:cs="Arial" w:eastAsia="Arial" w:hAnsi="Arial"/>
                <w:b/>
                <w:bCs/>
                <w:i w:val="false"/>
                <w:iCs w:val="false"/>
                <w:caps w:val="false"/>
                <w:color w:val="6b778c"/>
                <w:sz w:val="13"/>
                <w:szCs w:val="13"/>
              </w:rPr>
              <w:t xml:space="preserve">   3. </w:t>
            </w:r>
            <w:hyperlink w:history="1" r:id="rIdahly2c0glogq25xiz6kgu">
              <w:r>
                <w:rPr>
                  <w:rFonts w:ascii="Arial" w:cs="Arial" w:eastAsia="Arial" w:hAnsi="Arial"/>
                  <w:b/>
                  <w:bCs/>
                  <w:color w:val="c9a227"/>
                  <w:sz w:val="13"/>
                  <w:szCs w:val="13"/>
                  <w:u w:val="single"/>
                </w:rPr>
                <w:t xml:space="preserve">Longtin Y et al. (2010) Mayo Clin Proc 85(1):53</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4.12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4.12</w:t>
            </w:r>
            <w:r>
              <w:rPr>
                <w:rFonts w:ascii="Arial" w:cs="Arial" w:eastAsia="Arial" w:hAnsi="Arial"/>
                <w:b w:val="false"/>
                <w:bCs w:val="false"/>
                <w:i/>
                <w:iCs/>
                <w:caps w:val="false"/>
                <w:color w:val="8fa8c8"/>
                <w:sz w:val="10"/>
                <w:szCs w:val="10"/>
              </w:rPr>
              <w:t xml:space="preserve">  ·  Level Chapter 4: IPC  ·  Chapter 4: Infection Prevention &amp; Control</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26</w:t>
            </w:r>
          </w:p>
          <w:p>
            <w:pPr>
              <w:spacing w:after="36" w:before="0"/>
            </w:pPr>
            <w:r>
              <w:rPr>
                <w:rFonts w:ascii="Arial" w:cs="Arial" w:eastAsia="Arial" w:hAnsi="Arial"/>
                <w:b w:val="false"/>
                <w:bCs w:val="false"/>
                <w:i/>
                <w:iCs/>
                <w:caps w:val="false"/>
                <w:color w:val="8fa8c8"/>
                <w:sz w:val="9"/>
                <w:szCs w:val="9"/>
              </w:rPr>
              <w:t xml:space="preserve">ASF-CH4-IPC-v2.0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Patients are observers of care 24 hours a day, 7 days a week. They see staff hand hygiene — or the absence of it — in every clinical interaction. When they are empowered to ask, compliance increases. When asked for feedback, they provide data that internal audits cannot capture: what happens at 3am when no observer is present.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Studies consistently show that when patients are explicitly told they have the right to ask staff to clean their hands, observed hand hygiene compliance increases by 10 to 20 percent. Patient empowerment is not optional. It is a measurable intervention with a measurable effect.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notice visible at every bedside in the appropriate language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asked by the surveyor confirms they were told about the hand hygiene right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satisfaction IPC question shows consistently high scores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IPC committee discusses patient feedback data, not just staff audit data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are comfortable when patients ask them to clean their hands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patient notice — staff say patients already know they can ask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asked by surveyor: nobody told me about hand hygiene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satisfaction survey has no IPC question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Survey shows 40% of patients did not observe staff clean their hands — no action taken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visibly uncomfortable when a patient asks about hand hygiene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Notice exists but is in a language the patient does not read.</w:t>
            </w:r>
          </w:p>
          <w:p>
            <w:pPr>
              <w:spacing w:after="20" w:before="0"/>
            </w:pPr>
            <w:r>
              <w:rPr>
                <w:rFonts w:ascii="Arial" w:cs="Arial" w:eastAsia="Arial" w:hAnsi="Arial"/>
                <w:b w:val="false"/>
                <w:bCs w:val="false"/>
                <w:i/>
                <w:iCs/>
                <w:caps w:val="false"/>
                <w:color w:val="4b5563"/>
                <w:sz w:val="15"/>
                <w:szCs w:val="15"/>
              </w:rPr>
              <w:t xml:space="preserve">A notice in English in a ward serving a majority Georgian-speaking population fails its purpose. Patient information must be accessible to the actual patient.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Survey asks about room cleanliness — not staff hand hygiene.</w:t>
            </w:r>
          </w:p>
          <w:p>
            <w:pPr>
              <w:spacing w:after="20" w:before="0"/>
            </w:pPr>
            <w:r>
              <w:rPr>
                <w:rFonts w:ascii="Arial" w:cs="Arial" w:eastAsia="Arial" w:hAnsi="Arial"/>
                <w:b w:val="false"/>
                <w:bCs w:val="false"/>
                <w:i/>
                <w:iCs/>
                <w:caps w:val="false"/>
                <w:color w:val="4b5563"/>
                <w:sz w:val="15"/>
                <w:szCs w:val="15"/>
              </w:rPr>
              <w:t xml:space="preserve">Room cleanliness and hand hygiene compliance are different things. The IPC question must specifically ask about staff hand hygiene, not the environment.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Survey results show low scores but no action is taken.</w:t>
            </w:r>
          </w:p>
          <w:p>
            <w:pPr>
              <w:spacing w:after="36" w:before="0"/>
            </w:pPr>
            <w:r>
              <w:rPr>
                <w:rFonts w:ascii="Arial" w:cs="Arial" w:eastAsia="Arial" w:hAnsi="Arial"/>
                <w:b w:val="false"/>
                <w:bCs w:val="false"/>
                <w:i/>
                <w:iCs/>
                <w:caps w:val="false"/>
                <w:color w:val="4b5563"/>
                <w:sz w:val="15"/>
                <w:szCs w:val="15"/>
              </w:rPr>
              <w:t xml:space="preserve">Quarterly survey shows 35% of patients did not see staff clean their hands. This is filed with the quality manager. Nobody investigates which ward, which shift. Patient feedback without action is consultation without purpose.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Design a patient notice for each ward. One sentence: you have the right to ask any member of staff to clean their hands before touching you. Test it with a patient. Translate into all languages spoken on the ward.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Mount the notice at every bedside and in clinical waiting areas. Brief all clinical staff that patients may ask — and that this is encouraged, not disrespectful.</w:t>
            </w:r>
          </w:p>
          <w:p>
            <w:pPr>
              <w:spacing w:after="16" w:before="0"/>
            </w:pPr>
            <w:r>
              <w:rPr>
                <w:rFonts w:ascii="Helvetica" w:cs="Helvetica" w:eastAsia="Helvetica" w:hAnsi="Helvetica"/>
                <w:b/>
                <w:bCs/>
                <w:i w:val="false"/>
                <w:iCs w:val="false"/>
                <w:caps/>
                <w:color w:val="c9a227"/>
                <w:sz w:val="13"/>
                <w:szCs w:val="13"/>
              </w:rPr>
              <w:t xml:space="preserve">MONTH 1  </w:t>
            </w:r>
            <w:r>
              <w:rPr>
                <w:rFonts w:ascii="Arial" w:cs="Arial" w:eastAsia="Arial" w:hAnsi="Arial"/>
                <w:b w:val="false"/>
                <w:bCs w:val="false"/>
                <w:i w:val="false"/>
                <w:iCs w:val="false"/>
                <w:caps w:val="false"/>
                <w:color w:val="374151"/>
                <w:sz w:val="16"/>
                <w:szCs w:val="16"/>
              </w:rPr>
              <w:t xml:space="preserve">Add at least one IPC question to the patient satisfaction survey: Did you see staff clean their hands before caring for you?</w:t>
            </w:r>
          </w:p>
          <w:p>
            <w:pPr>
              <w:spacing w:after="16" w:before="0"/>
            </w:pPr>
            <w:r>
              <w:rPr>
                <w:rFonts w:ascii="Helvetica" w:cs="Helvetica" w:eastAsia="Helvetica" w:hAnsi="Helvetica"/>
                <w:b/>
                <w:bCs/>
                <w:i w:val="false"/>
                <w:iCs w:val="false"/>
                <w:caps/>
                <w:color w:val="c9a227"/>
                <w:sz w:val="13"/>
                <w:szCs w:val="13"/>
              </w:rPr>
              <w:t xml:space="preserve">MONTH 3  </w:t>
            </w:r>
            <w:r>
              <w:rPr>
                <w:rFonts w:ascii="Arial" w:cs="Arial" w:eastAsia="Arial" w:hAnsi="Arial"/>
                <w:b w:val="false"/>
                <w:bCs w:val="false"/>
                <w:i w:val="false"/>
                <w:iCs w:val="false"/>
                <w:caps w:val="false"/>
                <w:color w:val="374151"/>
                <w:sz w:val="16"/>
                <w:szCs w:val="16"/>
              </w:rPr>
              <w:t xml:space="preserve">Review first set of results. Present to IPC committee. Share with clinical teams. Any ward below 70% triggers a review of hand hygiene practice on that ward.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Quarterly survey with IPC question. Annual review of patient information materials. Include patient experience IPC data in annual report to leadership.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the patient.  </w:t>
            </w:r>
            <w:r>
              <w:rPr>
                <w:rFonts w:ascii="Arial" w:cs="Arial" w:eastAsia="Arial" w:hAnsi="Arial"/>
                <w:b w:val="false"/>
                <w:bCs w:val="false"/>
                <w:i w:val="false"/>
                <w:iCs w:val="false"/>
                <w:caps w:val="false"/>
                <w:color w:val="374151"/>
                <w:sz w:val="16"/>
                <w:szCs w:val="16"/>
              </w:rPr>
              <w:t xml:space="preserve">With permission, ask one patient: were you told you can ask staff to clean their hands? The patient answer is the test that no document can replicate.</w:t>
            </w:r>
          </w:p>
          <w:p>
            <w:pPr>
              <w:spacing w:after="16" w:before="0"/>
            </w:pPr>
            <w:r>
              <w:rPr>
                <w:rFonts w:ascii="Arial" w:cs="Arial" w:eastAsia="Arial" w:hAnsi="Arial"/>
                <w:b/>
                <w:bCs/>
                <w:i w:val="false"/>
                <w:iCs w:val="false"/>
                <w:caps w:val="false"/>
                <w:color w:val="b91c1c"/>
                <w:sz w:val="15"/>
                <w:szCs w:val="15"/>
              </w:rPr>
              <w:t xml:space="preserve">The 3am question.  </w:t>
            </w:r>
            <w:r>
              <w:rPr>
                <w:rFonts w:ascii="Arial" w:cs="Arial" w:eastAsia="Arial" w:hAnsi="Arial"/>
                <w:b w:val="false"/>
                <w:bCs w:val="false"/>
                <w:i w:val="false"/>
                <w:iCs w:val="false"/>
                <w:caps w:val="false"/>
                <w:color w:val="374151"/>
                <w:sz w:val="16"/>
                <w:szCs w:val="16"/>
              </w:rPr>
              <w:t xml:space="preserve">Ask: does someone audit hand hygiene on the night shift? The honest answer is usually no. Patient observation fills this gap — but only if patients are empowered and their feedback is collected.</w:t>
            </w:r>
          </w:p>
          <w:p>
            <w:pPr>
              <w:spacing w:after="36" w:before="0"/>
            </w:pPr>
            <w:r>
              <w:rPr>
                <w:rFonts w:ascii="Arial" w:cs="Arial" w:eastAsia="Arial" w:hAnsi="Arial"/>
                <w:b/>
                <w:bCs/>
                <w:i w:val="false"/>
                <w:iCs w:val="false"/>
                <w:caps w:val="false"/>
                <w:color w:val="b91c1c"/>
                <w:sz w:val="15"/>
                <w:szCs w:val="15"/>
              </w:rPr>
              <w:t xml:space="preserve">The cultural barrier.  </w:t>
            </w:r>
            <w:r>
              <w:rPr>
                <w:rFonts w:ascii="Arial" w:cs="Arial" w:eastAsia="Arial" w:hAnsi="Arial"/>
                <w:b w:val="false"/>
                <w:bCs w:val="false"/>
                <w:i w:val="false"/>
                <w:iCs w:val="false"/>
                <w:caps w:val="false"/>
                <w:color w:val="374151"/>
                <w:sz w:val="16"/>
                <w:szCs w:val="16"/>
              </w:rPr>
              <w:t xml:space="preserve">Ask a staff member: how would you feel if a patient asked you to clean your hands? A defensive or negative reaction indicates the empowerment message is not embedded in the culture.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ezsx5bxzjkl0lizlszeoj">
              <w:r>
                <w:rPr>
                  <w:rFonts w:ascii="Arial" w:cs="Arial" w:eastAsia="Arial" w:hAnsi="Arial"/>
                  <w:b/>
                  <w:bCs/>
                  <w:color w:val="c9a227"/>
                  <w:sz w:val="NaN27"/>
                  <w:szCs w:val="NaN27"/>
                  <w:u w:val="single"/>
                </w:rPr>
                <w:t xml:space="preserve">academy.gmj.ge/ipc-4-12-patient-engagement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40"/>
                <w:sz w:val="13"/>
                <w:szCs w:val="13"/>
              </w:rPr>
              <w:t xml:space="preserve">CHAPTER 4: IPC  —  COMBINED REFERENCES</w:t>
            </w:r>
          </w:p>
        </w:tc>
        <w:tc>
          <w:tcPr>
            <w:tcW w:type="dxa" w:w="1660"/>
            <w:shd w:fill="0e2647" w:color="auto" w:val="clear"/>
            <w:tcMar>
              <w:top w:type="dxa" w:w="60"/>
              <w:left w:type="dxa" w:w="70"/>
              <w:bottom w:type="dxa" w:w="60"/>
              <w:right w:type="dxa" w:w="75"/>
            </w:tcMar>
            <w:vAlign w:val="top"/>
          </w:tcPr>
          <w:p>
            <w:pPr>
              <w:spacing w:after="36" w:before="0"/>
            </w:pPr>
            <w:r>
              <w:rPr>
                <w:rFonts w:ascii="Arial" w:cs="Arial" w:eastAsia="Arial" w:hAnsi="Arial"/>
                <w:b w:val="false"/>
                <w:bCs w:val="false"/>
                <w:i/>
                <w:iCs/>
                <w:caps w:val="false"/>
                <w:color w:val="6b778c"/>
                <w:sz w:val="12"/>
                <w:szCs w:val="12"/>
              </w:rPr>
              <w:t xml:space="preserve">Vancouver Style  |  38 citations  |  Version 2.0</w:t>
            </w:r>
          </w:p>
        </w:tc>
      </w:tr>
    </w:tbl>
    <w:p>
      <w:pPr>
        <w:spacing w:after="36" w:before="4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4.1 — Hand Hygiene</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WHO guidelines on hand hygiene in health care. Geneva: WHO Press; 2009.</w:t>
            </w:r>
          </w:p>
          <w:p>
            <w:pPr>
              <w:spacing w:after="36" w:before="0"/>
            </w:pPr>
            <w:r>
              <w:rPr>
                <w:rFonts w:ascii="Arial" w:cs="Arial" w:eastAsia="Arial" w:hAnsi="Arial"/>
                <w:b/>
                <w:bCs/>
                <w:i w:val="false"/>
                <w:iCs w:val="false"/>
                <w:caps w:val="false"/>
                <w:color w:val="6b778c"/>
                <w:sz w:val="13"/>
                <w:szCs w:val="13"/>
              </w:rPr>
              <w:t xml:space="preserve">URL: </w:t>
            </w:r>
            <w:hyperlink w:history="1" r:id="rId4n2cc40qgbkpffdlc5yux">
              <w:r>
                <w:rPr>
                  <w:rFonts w:ascii="Arial" w:cs="Arial" w:eastAsia="Arial" w:hAnsi="Arial"/>
                  <w:b/>
                  <w:bCs/>
                  <w:color w:val="c9a227"/>
                  <w:sz w:val="13"/>
                  <w:szCs w:val="13"/>
                  <w:u w:val="single"/>
                </w:rPr>
                <w:t xml:space="preserve">https://www.who.int/publications/i/item/9789241597906</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Hand hygiene: why, how and when? Geneva: WHO Press; 2021.</w:t>
            </w:r>
          </w:p>
          <w:p>
            <w:pPr>
              <w:spacing w:after="36" w:before="0"/>
            </w:pPr>
            <w:r>
              <w:rPr>
                <w:rFonts w:ascii="Arial" w:cs="Arial" w:eastAsia="Arial" w:hAnsi="Arial"/>
                <w:b/>
                <w:bCs/>
                <w:i w:val="false"/>
                <w:iCs w:val="false"/>
                <w:caps w:val="false"/>
                <w:color w:val="6b778c"/>
                <w:sz w:val="13"/>
                <w:szCs w:val="13"/>
              </w:rPr>
              <w:t xml:space="preserve">URL: </w:t>
            </w:r>
            <w:hyperlink w:history="1" r:id="rIdu2yqgss8c-sdtn7phvwdb">
              <w:r>
                <w:rPr>
                  <w:rFonts w:ascii="Arial" w:cs="Arial" w:eastAsia="Arial" w:hAnsi="Arial"/>
                  <w:b/>
                  <w:bCs/>
                  <w:color w:val="c9a227"/>
                  <w:sz w:val="13"/>
                  <w:szCs w:val="13"/>
                  <w:u w:val="single"/>
                </w:rPr>
                <w:t xml:space="preserve">https://www.who.int/docs/default-source/infection-prevention-and-control/hand-hygiene-why-how-when.pdf</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The Sphere Association. The Sphere Handbook: Humanitarian Charter and Minimum Standards. 4th ed. Geneva: Sphere; 2018.</w:t>
            </w:r>
          </w:p>
          <w:p>
            <w:pPr>
              <w:spacing w:after="36" w:before="0"/>
            </w:pPr>
            <w:r>
              <w:rPr>
                <w:rFonts w:ascii="Arial" w:cs="Arial" w:eastAsia="Arial" w:hAnsi="Arial"/>
                <w:b/>
                <w:bCs/>
                <w:i w:val="false"/>
                <w:iCs w:val="false"/>
                <w:caps w:val="false"/>
                <w:color w:val="6b778c"/>
                <w:sz w:val="13"/>
                <w:szCs w:val="13"/>
              </w:rPr>
              <w:t xml:space="preserve">URL: </w:t>
            </w:r>
            <w:hyperlink w:history="1" r:id="rIdskykfwtgyiqufuilyqhl_">
              <w:r>
                <w:rPr>
                  <w:rFonts w:ascii="Arial" w:cs="Arial" w:eastAsia="Arial" w:hAnsi="Arial"/>
                  <w:b/>
                  <w:bCs/>
                  <w:color w:val="c9a227"/>
                  <w:sz w:val="13"/>
                  <w:szCs w:val="13"/>
                  <w:u w:val="single"/>
                </w:rPr>
                <w:t xml:space="preserve">https://spherestandards.org/handbook/</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4.</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Infection prevention and control in migration health. Geneva: IOM; 2020.</w:t>
            </w:r>
          </w:p>
          <w:p>
            <w:pPr>
              <w:spacing w:after="36" w:before="0"/>
            </w:pPr>
            <w:r>
              <w:rPr>
                <w:rFonts w:ascii="Arial" w:cs="Arial" w:eastAsia="Arial" w:hAnsi="Arial"/>
                <w:b/>
                <w:bCs/>
                <w:i w:val="false"/>
                <w:iCs w:val="false"/>
                <w:caps w:val="false"/>
                <w:color w:val="6b778c"/>
                <w:sz w:val="13"/>
                <w:szCs w:val="13"/>
              </w:rPr>
              <w:t xml:space="preserve">URL: </w:t>
            </w:r>
            <w:hyperlink w:history="1" r:id="rIdd7mwzyjk0neyrqagfvva2">
              <w:r>
                <w:rPr>
                  <w:rFonts w:ascii="Arial" w:cs="Arial" w:eastAsia="Arial" w:hAnsi="Arial"/>
                  <w:b/>
                  <w:bCs/>
                  <w:color w:val="c9a227"/>
                  <w:sz w:val="13"/>
                  <w:szCs w:val="13"/>
                  <w:u w:val="single"/>
                </w:rPr>
                <w:t xml:space="preserve">https://www.iom.int/resources/infection-prevention-and-control-migration-health</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5.</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Pittet D, Hugonnet S, Harbarth S, Mourouga P, Sauvan V, Touveneau S, et al. Effectiveness of a hospital-wide programme to improve compliance with hand hygiene. Lancet. 2000;356(9238):1307-12.</w:t>
            </w:r>
          </w:p>
          <w:p>
            <w:pPr>
              <w:spacing w:after="36" w:before="0"/>
            </w:pPr>
            <w:r>
              <w:rPr>
                <w:rFonts w:ascii="Arial" w:cs="Arial" w:eastAsia="Arial" w:hAnsi="Arial"/>
                <w:b/>
                <w:bCs/>
                <w:i w:val="false"/>
                <w:iCs w:val="false"/>
                <w:caps w:val="false"/>
                <w:color w:val="6b778c"/>
                <w:sz w:val="13"/>
                <w:szCs w:val="13"/>
              </w:rPr>
              <w:t xml:space="preserve">URL: </w:t>
            </w:r>
            <w:hyperlink w:history="1" r:id="rId-qtwozx1xgyddllzd_vnu">
              <w:r>
                <w:rPr>
                  <w:rFonts w:ascii="Arial" w:cs="Arial" w:eastAsia="Arial" w:hAnsi="Arial"/>
                  <w:b/>
                  <w:bCs/>
                  <w:color w:val="c9a227"/>
                  <w:sz w:val="13"/>
                  <w:szCs w:val="13"/>
                  <w:u w:val="single"/>
                </w:rPr>
                <w:t xml:space="preserve">https://doi.org/10.1016/S0140-6736(00)02814-2</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4.2 — Personal Protective Equipment</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6.</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Rational use of personal protective equipment for COVID-19 and considerations during severe shortages. Geneva: WHO; 2020.</w:t>
            </w:r>
          </w:p>
          <w:p>
            <w:pPr>
              <w:spacing w:after="36" w:before="0"/>
            </w:pPr>
            <w:r>
              <w:rPr>
                <w:rFonts w:ascii="Arial" w:cs="Arial" w:eastAsia="Arial" w:hAnsi="Arial"/>
                <w:b/>
                <w:bCs/>
                <w:i w:val="false"/>
                <w:iCs w:val="false"/>
                <w:caps w:val="false"/>
                <w:color w:val="6b778c"/>
                <w:sz w:val="13"/>
                <w:szCs w:val="13"/>
              </w:rPr>
              <w:t xml:space="preserve">URL: </w:t>
            </w:r>
            <w:hyperlink w:history="1" r:id="rIdgmdxhswhosdlihemjifmr">
              <w:r>
                <w:rPr>
                  <w:rFonts w:ascii="Arial" w:cs="Arial" w:eastAsia="Arial" w:hAnsi="Arial"/>
                  <w:b/>
                  <w:bCs/>
                  <w:color w:val="c9a227"/>
                  <w:sz w:val="13"/>
                  <w:szCs w:val="13"/>
                  <w:u w:val="single"/>
                </w:rPr>
                <w:t xml:space="preserve">https://www.who.int/publications/i/item/rational-use-of-personal-protective-equipment-for-coronavirus-disease-(covid-19)-and-considerations-during-severe-shortages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7.</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Occupational health: a manual for primary health care workers. Cairo: WHO EMRO; 2001.</w:t>
            </w:r>
          </w:p>
          <w:p>
            <w:pPr>
              <w:spacing w:after="36" w:before="0"/>
            </w:pPr>
            <w:r>
              <w:rPr>
                <w:rFonts w:ascii="Arial" w:cs="Arial" w:eastAsia="Arial" w:hAnsi="Arial"/>
                <w:b/>
                <w:bCs/>
                <w:i w:val="false"/>
                <w:iCs w:val="false"/>
                <w:caps w:val="false"/>
                <w:color w:val="6b778c"/>
                <w:sz w:val="13"/>
                <w:szCs w:val="13"/>
              </w:rPr>
              <w:t xml:space="preserve">URL: </w:t>
            </w:r>
            <w:hyperlink w:history="1" r:id="rIdebkh3wdmjvwn6gvmif0uq">
              <w:r>
                <w:rPr>
                  <w:rFonts w:ascii="Arial" w:cs="Arial" w:eastAsia="Arial" w:hAnsi="Arial"/>
                  <w:b/>
                  <w:bCs/>
                  <w:color w:val="c9a227"/>
                  <w:sz w:val="13"/>
                  <w:szCs w:val="13"/>
                  <w:u w:val="single"/>
                </w:rPr>
                <w:t xml:space="preserve">https://www.who.int/occupational_health/publications/en/</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8.</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Infection prevention and control in migration health. Section 4.2. Geneva: IOM; 2020.</w:t>
            </w:r>
          </w:p>
          <w:p>
            <w:pPr>
              <w:spacing w:after="36" w:before="0"/>
            </w:pPr>
            <w:r>
              <w:rPr>
                <w:rFonts w:ascii="Arial" w:cs="Arial" w:eastAsia="Arial" w:hAnsi="Arial"/>
                <w:b/>
                <w:bCs/>
                <w:i w:val="false"/>
                <w:iCs w:val="false"/>
                <w:caps w:val="false"/>
                <w:color w:val="6b778c"/>
                <w:sz w:val="13"/>
                <w:szCs w:val="13"/>
              </w:rPr>
              <w:t xml:space="preserve">URL: </w:t>
            </w:r>
            <w:hyperlink w:history="1" r:id="rIdbjq2i0kdwfjskbvqyvmeu">
              <w:r>
                <w:rPr>
                  <w:rFonts w:ascii="Arial" w:cs="Arial" w:eastAsia="Arial" w:hAnsi="Arial"/>
                  <w:b/>
                  <w:bCs/>
                  <w:color w:val="c9a227"/>
                  <w:sz w:val="13"/>
                  <w:szCs w:val="13"/>
                  <w:u w:val="single"/>
                </w:rPr>
                <w:t xml:space="preserve">https://www.iom.int/resources/infection-prevention-and-control-migration-health</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4.3 — Clinical Waste Management</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9.</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Safe management of wastes from health-care activities. 2nd ed. Geneva: WHO Press; 2014.</w:t>
            </w:r>
          </w:p>
          <w:p>
            <w:pPr>
              <w:spacing w:after="36" w:before="0"/>
            </w:pPr>
            <w:r>
              <w:rPr>
                <w:rFonts w:ascii="Arial" w:cs="Arial" w:eastAsia="Arial" w:hAnsi="Arial"/>
                <w:b/>
                <w:bCs/>
                <w:i w:val="false"/>
                <w:iCs w:val="false"/>
                <w:caps w:val="false"/>
                <w:color w:val="6b778c"/>
                <w:sz w:val="13"/>
                <w:szCs w:val="13"/>
              </w:rPr>
              <w:t xml:space="preserve">URL: </w:t>
            </w:r>
            <w:hyperlink w:history="1" r:id="rIdvu3kslshlowoln-lobtja">
              <w:r>
                <w:rPr>
                  <w:rFonts w:ascii="Arial" w:cs="Arial" w:eastAsia="Arial" w:hAnsi="Arial"/>
                  <w:b/>
                  <w:bCs/>
                  <w:color w:val="c9a227"/>
                  <w:sz w:val="13"/>
                  <w:szCs w:val="13"/>
                  <w:u w:val="single"/>
                </w:rPr>
                <w:t xml:space="preserve">https://www.who.int/publications/i/item/9789241548274</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10.</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The Sphere Association. The Sphere Handbook: Appendix 5A Waste Management. 4th ed. Geneva: Sphere; 2018.</w:t>
            </w:r>
          </w:p>
          <w:p>
            <w:pPr>
              <w:spacing w:after="36" w:before="0"/>
            </w:pPr>
            <w:r>
              <w:rPr>
                <w:rFonts w:ascii="Arial" w:cs="Arial" w:eastAsia="Arial" w:hAnsi="Arial"/>
                <w:b/>
                <w:bCs/>
                <w:i w:val="false"/>
                <w:iCs w:val="false"/>
                <w:caps w:val="false"/>
                <w:color w:val="6b778c"/>
                <w:sz w:val="13"/>
                <w:szCs w:val="13"/>
              </w:rPr>
              <w:t xml:space="preserve">URL: </w:t>
            </w:r>
            <w:hyperlink w:history="1" r:id="rIdn7t0_h4zb8wk6__bfsah1">
              <w:r>
                <w:rPr>
                  <w:rFonts w:ascii="Arial" w:cs="Arial" w:eastAsia="Arial" w:hAnsi="Arial"/>
                  <w:b/>
                  <w:bCs/>
                  <w:color w:val="c9a227"/>
                  <w:sz w:val="13"/>
                  <w:szCs w:val="13"/>
                  <w:u w:val="single"/>
                </w:rPr>
                <w:t xml:space="preserve">https://spherestandards.org/handbook/</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11.</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Health-care waste fact sheet. Geneva: WHO; 2017.</w:t>
            </w:r>
          </w:p>
          <w:p>
            <w:pPr>
              <w:spacing w:after="36" w:before="0"/>
            </w:pPr>
            <w:r>
              <w:rPr>
                <w:rFonts w:ascii="Arial" w:cs="Arial" w:eastAsia="Arial" w:hAnsi="Arial"/>
                <w:b/>
                <w:bCs/>
                <w:i w:val="false"/>
                <w:iCs w:val="false"/>
                <w:caps w:val="false"/>
                <w:color w:val="6b778c"/>
                <w:sz w:val="13"/>
                <w:szCs w:val="13"/>
              </w:rPr>
              <w:t xml:space="preserve">URL: </w:t>
            </w:r>
            <w:hyperlink w:history="1" r:id="rIdiubojo2ocw-ilytyanrxs">
              <w:r>
                <w:rPr>
                  <w:rFonts w:ascii="Arial" w:cs="Arial" w:eastAsia="Arial" w:hAnsi="Arial"/>
                  <w:b/>
                  <w:bCs/>
                  <w:color w:val="c9a227"/>
                  <w:sz w:val="13"/>
                  <w:szCs w:val="13"/>
                  <w:u w:val="single"/>
                </w:rPr>
                <w:t xml:space="preserve">https://www.who.int/news-room/fact-sheets/detail/health-care-waste</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4.4 — Equipment Decontamination</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12.</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Decontamination and reprocessing of medical devices for health-care facilities. Geneva: WHO Press; 2016.</w:t>
            </w:r>
          </w:p>
          <w:p>
            <w:pPr>
              <w:spacing w:after="36" w:before="0"/>
            </w:pPr>
            <w:r>
              <w:rPr>
                <w:rFonts w:ascii="Arial" w:cs="Arial" w:eastAsia="Arial" w:hAnsi="Arial"/>
                <w:b/>
                <w:bCs/>
                <w:i w:val="false"/>
                <w:iCs w:val="false"/>
                <w:caps w:val="false"/>
                <w:color w:val="6b778c"/>
                <w:sz w:val="13"/>
                <w:szCs w:val="13"/>
              </w:rPr>
              <w:t xml:space="preserve">URL: </w:t>
            </w:r>
            <w:hyperlink w:history="1" r:id="rIdysayymkbjazc2mkihrgnt">
              <w:r>
                <w:rPr>
                  <w:rFonts w:ascii="Arial" w:cs="Arial" w:eastAsia="Arial" w:hAnsi="Arial"/>
                  <w:b/>
                  <w:bCs/>
                  <w:color w:val="c9a227"/>
                  <w:sz w:val="13"/>
                  <w:szCs w:val="13"/>
                  <w:u w:val="single"/>
                </w:rPr>
                <w:t xml:space="preserve">https://www.who.int/publications/i/item/decontamination-and-reprocessing-of-medical-devices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13.</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Beilenhoff U, Biering H, Blum R, et al. Reprocessing of flexible endoscopes and endoscopic accessories: ESGE-ESGENA guideline. Endoscopy. 2018;50(12):1205-34.</w:t>
            </w:r>
          </w:p>
          <w:p>
            <w:pPr>
              <w:spacing w:after="36" w:before="0"/>
            </w:pPr>
            <w:r>
              <w:rPr>
                <w:rFonts w:ascii="Arial" w:cs="Arial" w:eastAsia="Arial" w:hAnsi="Arial"/>
                <w:b/>
                <w:bCs/>
                <w:i w:val="false"/>
                <w:iCs w:val="false"/>
                <w:caps w:val="false"/>
                <w:color w:val="6b778c"/>
                <w:sz w:val="13"/>
                <w:szCs w:val="13"/>
              </w:rPr>
              <w:t xml:space="preserve">URL: </w:t>
            </w:r>
            <w:hyperlink w:history="1" r:id="rIdkzkbf5duntpffey_cddue">
              <w:r>
                <w:rPr>
                  <w:rFonts w:ascii="Arial" w:cs="Arial" w:eastAsia="Arial" w:hAnsi="Arial"/>
                  <w:b/>
                  <w:bCs/>
                  <w:color w:val="c9a227"/>
                  <w:sz w:val="13"/>
                  <w:szCs w:val="13"/>
                  <w:u w:val="single"/>
                </w:rPr>
                <w:t xml:space="preserve">https://doi.org/10.1055/a-0759-1629</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14.</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Practical guidelines for infection control in health care facilities. Manila: WHO WPRO; 2004.</w:t>
            </w:r>
          </w:p>
          <w:p>
            <w:pPr>
              <w:spacing w:after="36" w:before="0"/>
            </w:pPr>
            <w:r>
              <w:rPr>
                <w:rFonts w:ascii="Arial" w:cs="Arial" w:eastAsia="Arial" w:hAnsi="Arial"/>
                <w:b/>
                <w:bCs/>
                <w:i w:val="false"/>
                <w:iCs w:val="false"/>
                <w:caps w:val="false"/>
                <w:color w:val="6b778c"/>
                <w:sz w:val="13"/>
                <w:szCs w:val="13"/>
              </w:rPr>
              <w:t xml:space="preserve">URL: </w:t>
            </w:r>
            <w:hyperlink w:history="1" r:id="rIde2zppva-rqr9m7vzwbjer">
              <w:r>
                <w:rPr>
                  <w:rFonts w:ascii="Arial" w:cs="Arial" w:eastAsia="Arial" w:hAnsi="Arial"/>
                  <w:b/>
                  <w:bCs/>
                  <w:color w:val="c9a227"/>
                  <w:sz w:val="13"/>
                  <w:szCs w:val="13"/>
                  <w:u w:val="single"/>
                </w:rPr>
                <w:t xml:space="preserve">https://www.who.int/publications/i/item/practical-guidelines-for-infection-control-in-health-care-facilities</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4.5 — IPC Programme Leadership</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15.</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Guidelines on core components of infection prevention and control programmes. Geneva: WHO Press; 2016.</w:t>
            </w:r>
          </w:p>
          <w:p>
            <w:pPr>
              <w:spacing w:after="36" w:before="0"/>
            </w:pPr>
            <w:r>
              <w:rPr>
                <w:rFonts w:ascii="Arial" w:cs="Arial" w:eastAsia="Arial" w:hAnsi="Arial"/>
                <w:b/>
                <w:bCs/>
                <w:i w:val="false"/>
                <w:iCs w:val="false"/>
                <w:caps w:val="false"/>
                <w:color w:val="6b778c"/>
                <w:sz w:val="13"/>
                <w:szCs w:val="13"/>
              </w:rPr>
              <w:t xml:space="preserve">URL: </w:t>
            </w:r>
            <w:hyperlink w:history="1" r:id="rIdlibenpsaxnrrvhzqnh0_-">
              <w:r>
                <w:rPr>
                  <w:rFonts w:ascii="Arial" w:cs="Arial" w:eastAsia="Arial" w:hAnsi="Arial"/>
                  <w:b/>
                  <w:bCs/>
                  <w:color w:val="c9a227"/>
                  <w:sz w:val="13"/>
                  <w:szCs w:val="13"/>
                  <w:u w:val="single"/>
                </w:rPr>
                <w:t xml:space="preserve">https://www.who.int/publications/i/item/9789241549899</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16.</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Global Antimicrobial Resistance and Use Surveillance System (GLASS) report. Geneva: WHO; 2022.</w:t>
            </w:r>
          </w:p>
          <w:p>
            <w:pPr>
              <w:spacing w:after="36" w:before="0"/>
            </w:pPr>
            <w:r>
              <w:rPr>
                <w:rFonts w:ascii="Arial" w:cs="Arial" w:eastAsia="Arial" w:hAnsi="Arial"/>
                <w:b/>
                <w:bCs/>
                <w:i w:val="false"/>
                <w:iCs w:val="false"/>
                <w:caps w:val="false"/>
                <w:color w:val="6b778c"/>
                <w:sz w:val="13"/>
                <w:szCs w:val="13"/>
              </w:rPr>
              <w:t xml:space="preserve">URL: </w:t>
            </w:r>
            <w:hyperlink w:history="1" r:id="rIdxzvonrdg4cjvho3wb4rop">
              <w:r>
                <w:rPr>
                  <w:rFonts w:ascii="Arial" w:cs="Arial" w:eastAsia="Arial" w:hAnsi="Arial"/>
                  <w:b/>
                  <w:bCs/>
                  <w:color w:val="c9a227"/>
                  <w:sz w:val="13"/>
                  <w:szCs w:val="13"/>
                  <w:u w:val="single"/>
                </w:rPr>
                <w:t xml:space="preserve">https://www.who.int/initiatives/glass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17.</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Infection prevention and control in migration health. Section 2.1. Geneva: IOM; 2020.</w:t>
            </w:r>
          </w:p>
          <w:p>
            <w:pPr>
              <w:spacing w:after="36" w:before="0"/>
            </w:pPr>
            <w:r>
              <w:rPr>
                <w:rFonts w:ascii="Arial" w:cs="Arial" w:eastAsia="Arial" w:hAnsi="Arial"/>
                <w:b/>
                <w:bCs/>
                <w:i w:val="false"/>
                <w:iCs w:val="false"/>
                <w:caps w:val="false"/>
                <w:color w:val="6b778c"/>
                <w:sz w:val="13"/>
                <w:szCs w:val="13"/>
              </w:rPr>
              <w:t xml:space="preserve">URL: </w:t>
            </w:r>
            <w:hyperlink w:history="1" r:id="rIdayje4yeeqbd61fdcoz0b-">
              <w:r>
                <w:rPr>
                  <w:rFonts w:ascii="Arial" w:cs="Arial" w:eastAsia="Arial" w:hAnsi="Arial"/>
                  <w:b/>
                  <w:bCs/>
                  <w:color w:val="c9a227"/>
                  <w:sz w:val="13"/>
                  <w:szCs w:val="13"/>
                  <w:u w:val="single"/>
                </w:rPr>
                <w:t xml:space="preserve">https://www.iom.int/resources/infection-prevention-and-control-migration-health</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4.6 — HAI Surveillance</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18.</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Global report on infection prevention and control. Chapter 5: Surveillance. Geneva: WHO; 2022.</w:t>
            </w:r>
          </w:p>
          <w:p>
            <w:pPr>
              <w:spacing w:after="36" w:before="0"/>
            </w:pPr>
            <w:r>
              <w:rPr>
                <w:rFonts w:ascii="Arial" w:cs="Arial" w:eastAsia="Arial" w:hAnsi="Arial"/>
                <w:b/>
                <w:bCs/>
                <w:i w:val="false"/>
                <w:iCs w:val="false"/>
                <w:caps w:val="false"/>
                <w:color w:val="6b778c"/>
                <w:sz w:val="13"/>
                <w:szCs w:val="13"/>
              </w:rPr>
              <w:t xml:space="preserve">URL: </w:t>
            </w:r>
            <w:hyperlink w:history="1" r:id="rId1riodmjoxb20j8b2hnq4r">
              <w:r>
                <w:rPr>
                  <w:rFonts w:ascii="Arial" w:cs="Arial" w:eastAsia="Arial" w:hAnsi="Arial"/>
                  <w:b/>
                  <w:bCs/>
                  <w:color w:val="c9a227"/>
                  <w:sz w:val="13"/>
                  <w:szCs w:val="13"/>
                  <w:u w:val="single"/>
                </w:rPr>
                <w:t xml:space="preserve">https://www.who.int/publications/i/item/9789240046252</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19.</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Centers for Disease Control and Prevention. NHSN patient safety component manual: surveillance definitions. Atlanta: CDC; 2023.</w:t>
            </w:r>
          </w:p>
          <w:p>
            <w:pPr>
              <w:spacing w:after="36" w:before="0"/>
            </w:pPr>
            <w:r>
              <w:rPr>
                <w:rFonts w:ascii="Arial" w:cs="Arial" w:eastAsia="Arial" w:hAnsi="Arial"/>
                <w:b/>
                <w:bCs/>
                <w:i w:val="false"/>
                <w:iCs w:val="false"/>
                <w:caps w:val="false"/>
                <w:color w:val="6b778c"/>
                <w:sz w:val="13"/>
                <w:szCs w:val="13"/>
              </w:rPr>
              <w:t xml:space="preserve">URL: </w:t>
            </w:r>
            <w:hyperlink w:history="1" r:id="rIdqxzvbac2bjsvpeh79_-kr">
              <w:r>
                <w:rPr>
                  <w:rFonts w:ascii="Arial" w:cs="Arial" w:eastAsia="Arial" w:hAnsi="Arial"/>
                  <w:b/>
                  <w:bCs/>
                  <w:color w:val="c9a227"/>
                  <w:sz w:val="13"/>
                  <w:szCs w:val="13"/>
                  <w:u w:val="single"/>
                </w:rPr>
                <w:t xml:space="preserve">https://www.cdc.gov/nhsn/pdfs/pscmanual/17pscnosinfdef_current.pdf</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20.</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Infection surveillance in migration health settings. Geneva: IOM; 2019.</w:t>
            </w:r>
          </w:p>
          <w:p>
            <w:pPr>
              <w:spacing w:after="36" w:before="0"/>
            </w:pPr>
            <w:r>
              <w:rPr>
                <w:rFonts w:ascii="Arial" w:cs="Arial" w:eastAsia="Arial" w:hAnsi="Arial"/>
                <w:b/>
                <w:bCs/>
                <w:i w:val="false"/>
                <w:iCs w:val="false"/>
                <w:caps w:val="false"/>
                <w:color w:val="6b778c"/>
                <w:sz w:val="13"/>
                <w:szCs w:val="13"/>
              </w:rPr>
              <w:t xml:space="preserve">URL: </w:t>
            </w:r>
            <w:hyperlink w:history="1" r:id="rIdrhuszzzpvi_in4lxyl2yk">
              <w:r>
                <w:rPr>
                  <w:rFonts w:ascii="Arial" w:cs="Arial" w:eastAsia="Arial" w:hAnsi="Arial"/>
                  <w:b/>
                  <w:bCs/>
                  <w:color w:val="c9a227"/>
                  <w:sz w:val="13"/>
                  <w:szCs w:val="13"/>
                  <w:u w:val="single"/>
                </w:rPr>
                <w:t xml:space="preserve">https://www.iom.int/resources/infection-prevention-and-control-migration-health</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4.7 — Outbreak Response</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21.</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Managing epidemics: key facts about major deadly diseases. Chapter 2. Geneva: WHO Press; 2018.</w:t>
            </w:r>
          </w:p>
          <w:p>
            <w:pPr>
              <w:spacing w:after="36" w:before="0"/>
            </w:pPr>
            <w:r>
              <w:rPr>
                <w:rFonts w:ascii="Arial" w:cs="Arial" w:eastAsia="Arial" w:hAnsi="Arial"/>
                <w:b/>
                <w:bCs/>
                <w:i w:val="false"/>
                <w:iCs w:val="false"/>
                <w:caps w:val="false"/>
                <w:color w:val="6b778c"/>
                <w:sz w:val="13"/>
                <w:szCs w:val="13"/>
              </w:rPr>
              <w:t xml:space="preserve">URL: </w:t>
            </w:r>
            <w:hyperlink w:history="1" r:id="rIdzyaudv693cdcj38f8fddb">
              <w:r>
                <w:rPr>
                  <w:rFonts w:ascii="Arial" w:cs="Arial" w:eastAsia="Arial" w:hAnsi="Arial"/>
                  <w:b/>
                  <w:bCs/>
                  <w:color w:val="c9a227"/>
                  <w:sz w:val="13"/>
                  <w:szCs w:val="13"/>
                  <w:u w:val="single"/>
                </w:rPr>
                <w:t xml:space="preserve">https://www.who.int/publications/i/item/managing-epidemics-key-facts-about-major-deadly-diseases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22.</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International Health Regulations (2005). Article 13: Public health response. 3rd ed. Geneva: WHO; 2016.</w:t>
            </w:r>
          </w:p>
          <w:p>
            <w:pPr>
              <w:spacing w:after="36" w:before="0"/>
            </w:pPr>
            <w:r>
              <w:rPr>
                <w:rFonts w:ascii="Arial" w:cs="Arial" w:eastAsia="Arial" w:hAnsi="Arial"/>
                <w:b/>
                <w:bCs/>
                <w:i w:val="false"/>
                <w:iCs w:val="false"/>
                <w:caps w:val="false"/>
                <w:color w:val="6b778c"/>
                <w:sz w:val="13"/>
                <w:szCs w:val="13"/>
              </w:rPr>
              <w:t xml:space="preserve">URL: </w:t>
            </w:r>
            <w:hyperlink w:history="1" r:id="rIdjxyxh0zfjp9eokvxo4th9">
              <w:r>
                <w:rPr>
                  <w:rFonts w:ascii="Arial" w:cs="Arial" w:eastAsia="Arial" w:hAnsi="Arial"/>
                  <w:b/>
                  <w:bCs/>
                  <w:color w:val="c9a227"/>
                  <w:sz w:val="13"/>
                  <w:szCs w:val="13"/>
                  <w:u w:val="single"/>
                </w:rPr>
                <w:t xml:space="preserve">https://www.who.int/publications/i/item/9789241596664</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23.</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The Sphere Association. The Sphere Handbook: Standard 5.1 Key Action 5. 4th ed. Geneva: Sphere; 2018.</w:t>
            </w:r>
          </w:p>
          <w:p>
            <w:pPr>
              <w:spacing w:after="36" w:before="0"/>
            </w:pPr>
            <w:r>
              <w:rPr>
                <w:rFonts w:ascii="Arial" w:cs="Arial" w:eastAsia="Arial" w:hAnsi="Arial"/>
                <w:b/>
                <w:bCs/>
                <w:i w:val="false"/>
                <w:iCs w:val="false"/>
                <w:caps w:val="false"/>
                <w:color w:val="6b778c"/>
                <w:sz w:val="13"/>
                <w:szCs w:val="13"/>
              </w:rPr>
              <w:t xml:space="preserve">URL: </w:t>
            </w:r>
            <w:hyperlink w:history="1" r:id="rId10di0p5zaf67d-h3vi89n">
              <w:r>
                <w:rPr>
                  <w:rFonts w:ascii="Arial" w:cs="Arial" w:eastAsia="Arial" w:hAnsi="Arial"/>
                  <w:b/>
                  <w:bCs/>
                  <w:color w:val="c9a227"/>
                  <w:sz w:val="13"/>
                  <w:szCs w:val="13"/>
                  <w:u w:val="single"/>
                </w:rPr>
                <w:t xml:space="preserve">https://spherestandards.org/handbook/</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4.8 — IPC Training</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24.</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Guidelines on core components of IPC programmes. Chapter 5: Education and training. Geneva: WHO Press; 2016.</w:t>
            </w:r>
          </w:p>
          <w:p>
            <w:pPr>
              <w:spacing w:after="36" w:before="0"/>
            </w:pPr>
            <w:r>
              <w:rPr>
                <w:rFonts w:ascii="Arial" w:cs="Arial" w:eastAsia="Arial" w:hAnsi="Arial"/>
                <w:b/>
                <w:bCs/>
                <w:i w:val="false"/>
                <w:iCs w:val="false"/>
                <w:caps w:val="false"/>
                <w:color w:val="6b778c"/>
                <w:sz w:val="13"/>
                <w:szCs w:val="13"/>
              </w:rPr>
              <w:t xml:space="preserve">URL: </w:t>
            </w:r>
            <w:hyperlink w:history="1" r:id="rIdivxscouahqjtehbbjcpyu">
              <w:r>
                <w:rPr>
                  <w:rFonts w:ascii="Arial" w:cs="Arial" w:eastAsia="Arial" w:hAnsi="Arial"/>
                  <w:b/>
                  <w:bCs/>
                  <w:color w:val="c9a227"/>
                  <w:sz w:val="13"/>
                  <w:szCs w:val="13"/>
                  <w:u w:val="single"/>
                </w:rPr>
                <w:t xml:space="preserve">https://www.who.int/publications/i/item/9789241549899</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25.</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IPC training standards in migration health. Geneva: IOM; 2020.</w:t>
            </w:r>
          </w:p>
          <w:p>
            <w:pPr>
              <w:spacing w:after="36" w:before="0"/>
            </w:pPr>
            <w:r>
              <w:rPr>
                <w:rFonts w:ascii="Arial" w:cs="Arial" w:eastAsia="Arial" w:hAnsi="Arial"/>
                <w:b/>
                <w:bCs/>
                <w:i w:val="false"/>
                <w:iCs w:val="false"/>
                <w:caps w:val="false"/>
                <w:color w:val="6b778c"/>
                <w:sz w:val="13"/>
                <w:szCs w:val="13"/>
              </w:rPr>
              <w:t xml:space="preserve">URL: </w:t>
            </w:r>
            <w:hyperlink w:history="1" r:id="rIdo0ktd8ul5kks-wh8acc4y">
              <w:r>
                <w:rPr>
                  <w:rFonts w:ascii="Arial" w:cs="Arial" w:eastAsia="Arial" w:hAnsi="Arial"/>
                  <w:b/>
                  <w:bCs/>
                  <w:color w:val="c9a227"/>
                  <w:sz w:val="13"/>
                  <w:szCs w:val="13"/>
                  <w:u w:val="single"/>
                </w:rPr>
                <w:t xml:space="preserve">https://www.iom.int/resources/infection-prevention-and-control-migration-health</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26.</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ASF Academy. IPC curriculum for healthcare facilities. Tbilisi: Georgian Medical Journal; 2024.</w:t>
            </w:r>
          </w:p>
          <w:p>
            <w:pPr>
              <w:spacing w:after="36" w:before="0"/>
            </w:pPr>
            <w:r>
              <w:rPr>
                <w:rFonts w:ascii="Arial" w:cs="Arial" w:eastAsia="Arial" w:hAnsi="Arial"/>
                <w:b/>
                <w:bCs/>
                <w:i w:val="false"/>
                <w:iCs w:val="false"/>
                <w:caps w:val="false"/>
                <w:color w:val="6b778c"/>
                <w:sz w:val="13"/>
                <w:szCs w:val="13"/>
              </w:rPr>
              <w:t xml:space="preserve">URL: </w:t>
            </w:r>
            <w:hyperlink w:history="1" r:id="rId3_se9rovyuiomj7xll7-g">
              <w:r>
                <w:rPr>
                  <w:rFonts w:ascii="Arial" w:cs="Arial" w:eastAsia="Arial" w:hAnsi="Arial"/>
                  <w:b/>
                  <w:bCs/>
                  <w:color w:val="c9a227"/>
                  <w:sz w:val="13"/>
                  <w:szCs w:val="13"/>
                  <w:u w:val="single"/>
                </w:rPr>
                <w:t xml:space="preserve">https://academy.gmj.ge</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4.9 — Patient Isolation</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27.</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IPC of epidemic- and pandemic-prone acute respiratory infections in health care. Chapter 3. Geneva: WHO Press; 2019.</w:t>
            </w:r>
          </w:p>
          <w:p>
            <w:pPr>
              <w:spacing w:after="36" w:before="0"/>
            </w:pPr>
            <w:r>
              <w:rPr>
                <w:rFonts w:ascii="Arial" w:cs="Arial" w:eastAsia="Arial" w:hAnsi="Arial"/>
                <w:b/>
                <w:bCs/>
                <w:i w:val="false"/>
                <w:iCs w:val="false"/>
                <w:caps w:val="false"/>
                <w:color w:val="6b778c"/>
                <w:sz w:val="13"/>
                <w:szCs w:val="13"/>
              </w:rPr>
              <w:t xml:space="preserve">URL: </w:t>
            </w:r>
            <w:hyperlink w:history="1" r:id="rIdydmajopphm6emghfaf3f8">
              <w:r>
                <w:rPr>
                  <w:rFonts w:ascii="Arial" w:cs="Arial" w:eastAsia="Arial" w:hAnsi="Arial"/>
                  <w:b/>
                  <w:bCs/>
                  <w:color w:val="c9a227"/>
                  <w:sz w:val="13"/>
                  <w:szCs w:val="13"/>
                  <w:u w:val="single"/>
                </w:rPr>
                <w:t xml:space="preserve">https://www.who.int/publications/i/item/9789241516839</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28.</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Natural ventilation for infection control in health-care settings. Geneva: WHO Press; 2009.</w:t>
            </w:r>
          </w:p>
          <w:p>
            <w:pPr>
              <w:spacing w:after="36" w:before="0"/>
            </w:pPr>
            <w:r>
              <w:rPr>
                <w:rFonts w:ascii="Arial" w:cs="Arial" w:eastAsia="Arial" w:hAnsi="Arial"/>
                <w:b/>
                <w:bCs/>
                <w:i w:val="false"/>
                <w:iCs w:val="false"/>
                <w:caps w:val="false"/>
                <w:color w:val="6b778c"/>
                <w:sz w:val="13"/>
                <w:szCs w:val="13"/>
              </w:rPr>
              <w:t xml:space="preserve">URL: </w:t>
            </w:r>
            <w:hyperlink w:history="1" r:id="rIdpauy0m0lqwa6gsgjkuuad">
              <w:r>
                <w:rPr>
                  <w:rFonts w:ascii="Arial" w:cs="Arial" w:eastAsia="Arial" w:hAnsi="Arial"/>
                  <w:b/>
                  <w:bCs/>
                  <w:color w:val="c9a227"/>
                  <w:sz w:val="13"/>
                  <w:szCs w:val="13"/>
                  <w:u w:val="single"/>
                </w:rPr>
                <w:t xml:space="preserve">https://www.who.int/publications/i/item/natural-ventilation-for-infection-control-in-health-care-settings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29.</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United Nations High Commissioner for Refugees. COVID-19 IPC guidance for refugee settings. Section 4. Geneva: UNHCR; 2020.</w:t>
            </w:r>
          </w:p>
          <w:p>
            <w:pPr>
              <w:spacing w:after="36" w:before="0"/>
            </w:pPr>
            <w:r>
              <w:rPr>
                <w:rFonts w:ascii="Arial" w:cs="Arial" w:eastAsia="Arial" w:hAnsi="Arial"/>
                <w:b/>
                <w:bCs/>
                <w:i w:val="false"/>
                <w:iCs w:val="false"/>
                <w:caps w:val="false"/>
                <w:color w:val="6b778c"/>
                <w:sz w:val="13"/>
                <w:szCs w:val="13"/>
              </w:rPr>
              <w:t xml:space="preserve">URL: </w:t>
            </w:r>
            <w:hyperlink w:history="1" r:id="rIdinf0jdq54nnty9n4ydhx8">
              <w:r>
                <w:rPr>
                  <w:rFonts w:ascii="Arial" w:cs="Arial" w:eastAsia="Arial" w:hAnsi="Arial"/>
                  <w:b/>
                  <w:bCs/>
                  <w:color w:val="c9a227"/>
                  <w:sz w:val="13"/>
                  <w:szCs w:val="13"/>
                  <w:u w:val="single"/>
                </w:rPr>
                <w:t xml:space="preserve">https://www.unhcr.org/publications/technical/5e7c9eb54/covid-19-infection-prevention-and-control-guidance-for-refugee-settings.html</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4.10 — Antimicrobial Stewardship</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30.</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Antimicrobial stewardship programmes in health-care facilities in low- and middle-income countries: a practical toolkit. Geneva: WHO; 2019.</w:t>
            </w:r>
          </w:p>
          <w:p>
            <w:pPr>
              <w:spacing w:after="36" w:before="0"/>
            </w:pPr>
            <w:r>
              <w:rPr>
                <w:rFonts w:ascii="Arial" w:cs="Arial" w:eastAsia="Arial" w:hAnsi="Arial"/>
                <w:b/>
                <w:bCs/>
                <w:i w:val="false"/>
                <w:iCs w:val="false"/>
                <w:caps w:val="false"/>
                <w:color w:val="6b778c"/>
                <w:sz w:val="13"/>
                <w:szCs w:val="13"/>
              </w:rPr>
              <w:t xml:space="preserve">URL: </w:t>
            </w:r>
            <w:hyperlink w:history="1" r:id="rIdttwstn_djdkexu_mfx8ai">
              <w:r>
                <w:rPr>
                  <w:rFonts w:ascii="Arial" w:cs="Arial" w:eastAsia="Arial" w:hAnsi="Arial"/>
                  <w:b/>
                  <w:bCs/>
                  <w:color w:val="c9a227"/>
                  <w:sz w:val="13"/>
                  <w:szCs w:val="13"/>
                  <w:u w:val="single"/>
                </w:rPr>
                <w:t xml:space="preserve">https://www.who.int/publications/i/item/9789241515528</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31.</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Global Antimicrobial Resistance and Use Surveillance System (GLASS): 2022 report. Geneva: WHO; 2022.</w:t>
            </w:r>
          </w:p>
          <w:p>
            <w:pPr>
              <w:spacing w:after="36" w:before="0"/>
            </w:pPr>
            <w:r>
              <w:rPr>
                <w:rFonts w:ascii="Arial" w:cs="Arial" w:eastAsia="Arial" w:hAnsi="Arial"/>
                <w:b/>
                <w:bCs/>
                <w:i w:val="false"/>
                <w:iCs w:val="false"/>
                <w:caps w:val="false"/>
                <w:color w:val="6b778c"/>
                <w:sz w:val="13"/>
                <w:szCs w:val="13"/>
              </w:rPr>
              <w:t xml:space="preserve">URL: </w:t>
            </w:r>
            <w:hyperlink w:history="1" r:id="rId3q_e4_fnh-prmlvedqkxj">
              <w:r>
                <w:rPr>
                  <w:rFonts w:ascii="Arial" w:cs="Arial" w:eastAsia="Arial" w:hAnsi="Arial"/>
                  <w:b/>
                  <w:bCs/>
                  <w:color w:val="c9a227"/>
                  <w:sz w:val="13"/>
                  <w:szCs w:val="13"/>
                  <w:u w:val="single"/>
                </w:rPr>
                <w:t xml:space="preserve">https://www.who.int/initiatives/glass</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32.</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International Organization for Migration. Antimicrobial resistance in migration health settings. Geneva: IOM; 2021.</w:t>
            </w:r>
          </w:p>
          <w:p>
            <w:pPr>
              <w:spacing w:after="36" w:before="0"/>
            </w:pPr>
            <w:r>
              <w:rPr>
                <w:rFonts w:ascii="Arial" w:cs="Arial" w:eastAsia="Arial" w:hAnsi="Arial"/>
                <w:b/>
                <w:bCs/>
                <w:i w:val="false"/>
                <w:iCs w:val="false"/>
                <w:caps w:val="false"/>
                <w:color w:val="6b778c"/>
                <w:sz w:val="13"/>
                <w:szCs w:val="13"/>
              </w:rPr>
              <w:t xml:space="preserve">URL: </w:t>
            </w:r>
            <w:hyperlink w:history="1" r:id="rIdigmjj8uqdfwry-ox0famq">
              <w:r>
                <w:rPr>
                  <w:rFonts w:ascii="Arial" w:cs="Arial" w:eastAsia="Arial" w:hAnsi="Arial"/>
                  <w:b/>
                  <w:bCs/>
                  <w:color w:val="c9a227"/>
                  <w:sz w:val="13"/>
                  <w:szCs w:val="13"/>
                  <w:u w:val="single"/>
                </w:rPr>
                <w:t xml:space="preserve">https://www.iom.int/resources/infection-prevention-and-control-migration-health</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4.11 — External Benchmarking</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33.</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Global report on IPC. Chapter 6: Benchmarking and surveillance networks. Geneva: WHO; 2022.</w:t>
            </w:r>
          </w:p>
          <w:p>
            <w:pPr>
              <w:spacing w:after="36" w:before="0"/>
            </w:pPr>
            <w:r>
              <w:rPr>
                <w:rFonts w:ascii="Arial" w:cs="Arial" w:eastAsia="Arial" w:hAnsi="Arial"/>
                <w:b/>
                <w:bCs/>
                <w:i w:val="false"/>
                <w:iCs w:val="false"/>
                <w:caps w:val="false"/>
                <w:color w:val="6b778c"/>
                <w:sz w:val="13"/>
                <w:szCs w:val="13"/>
              </w:rPr>
              <w:t xml:space="preserve">URL: </w:t>
            </w:r>
            <w:hyperlink w:history="1" r:id="rIduklfh_daezqw4y2dv7rjf">
              <w:r>
                <w:rPr>
                  <w:rFonts w:ascii="Arial" w:cs="Arial" w:eastAsia="Arial" w:hAnsi="Arial"/>
                  <w:b/>
                  <w:bCs/>
                  <w:color w:val="c9a227"/>
                  <w:sz w:val="13"/>
                  <w:szCs w:val="13"/>
                  <w:u w:val="single"/>
                </w:rPr>
                <w:t xml:space="preserve">https://www.who.int/publications/i/item/9789240046252</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34.</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European Centre for Disease Prevention and Control. Healthcare-associated infections: surveillance network methodology. Stockholm: ECDC; 2023.</w:t>
            </w:r>
          </w:p>
          <w:p>
            <w:pPr>
              <w:spacing w:after="36" w:before="0"/>
            </w:pPr>
            <w:r>
              <w:rPr>
                <w:rFonts w:ascii="Arial" w:cs="Arial" w:eastAsia="Arial" w:hAnsi="Arial"/>
                <w:b/>
                <w:bCs/>
                <w:i w:val="false"/>
                <w:iCs w:val="false"/>
                <w:caps w:val="false"/>
                <w:color w:val="6b778c"/>
                <w:sz w:val="13"/>
                <w:szCs w:val="13"/>
              </w:rPr>
              <w:t xml:space="preserve">URL: </w:t>
            </w:r>
            <w:hyperlink w:history="1" r:id="rIdefxrv3-2oq-vv-excjxrm">
              <w:r>
                <w:rPr>
                  <w:rFonts w:ascii="Arial" w:cs="Arial" w:eastAsia="Arial" w:hAnsi="Arial"/>
                  <w:b/>
                  <w:bCs/>
                  <w:color w:val="c9a227"/>
                  <w:sz w:val="13"/>
                  <w:szCs w:val="13"/>
                  <w:u w:val="single"/>
                </w:rPr>
                <w:t xml:space="preserve">https://www.ecdc.europa.eu/en/healthcare-associated-infections-surveillance</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35.</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Accreditation Sans Frontieres. ASF benchmarking pool for hospital accreditation. Paris: ASF; 2024.</w:t>
            </w:r>
          </w:p>
          <w:p>
            <w:pPr>
              <w:spacing w:after="36" w:before="0"/>
            </w:pPr>
            <w:r>
              <w:rPr>
                <w:rFonts w:ascii="Arial" w:cs="Arial" w:eastAsia="Arial" w:hAnsi="Arial"/>
                <w:b/>
                <w:bCs/>
                <w:i w:val="false"/>
                <w:iCs w:val="false"/>
                <w:caps w:val="false"/>
                <w:color w:val="6b778c"/>
                <w:sz w:val="13"/>
                <w:szCs w:val="13"/>
              </w:rPr>
              <w:t xml:space="preserve">URL: </w:t>
            </w:r>
            <w:hyperlink w:history="1" r:id="rIdhgp5i945r9khhow5xhfno">
              <w:r>
                <w:rPr>
                  <w:rFonts w:ascii="Arial" w:cs="Arial" w:eastAsia="Arial" w:hAnsi="Arial"/>
                  <w:b/>
                  <w:bCs/>
                  <w:color w:val="c9a227"/>
                  <w:sz w:val="13"/>
                  <w:szCs w:val="13"/>
                  <w:u w:val="single"/>
                </w:rPr>
                <w:t xml:space="preserve">https://france-asf.fr</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34"/>
              <w:left w:type="dxa" w:w="110"/>
              <w:bottom w:type="dxa" w:w="34"/>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Standard 4.12 — Patient Engagement</w:t>
            </w:r>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36.</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SAVE LIVES: Clean your hands — patient engagement. Geneva: WHO; 2013.</w:t>
            </w:r>
          </w:p>
          <w:p>
            <w:pPr>
              <w:spacing w:after="36" w:before="0"/>
            </w:pPr>
            <w:r>
              <w:rPr>
                <w:rFonts w:ascii="Arial" w:cs="Arial" w:eastAsia="Arial" w:hAnsi="Arial"/>
                <w:b/>
                <w:bCs/>
                <w:i w:val="false"/>
                <w:iCs w:val="false"/>
                <w:caps w:val="false"/>
                <w:color w:val="6b778c"/>
                <w:sz w:val="13"/>
                <w:szCs w:val="13"/>
              </w:rPr>
              <w:t xml:space="preserve">URL: </w:t>
            </w:r>
            <w:hyperlink w:history="1" r:id="rIduuscu3dtv35z-l1mc313l">
              <w:r>
                <w:rPr>
                  <w:rFonts w:ascii="Arial" w:cs="Arial" w:eastAsia="Arial" w:hAnsi="Arial"/>
                  <w:b/>
                  <w:bCs/>
                  <w:color w:val="c9a227"/>
                  <w:sz w:val="13"/>
                  <w:szCs w:val="13"/>
                  <w:u w:val="single"/>
                </w:rPr>
                <w:t xml:space="preserve">https://www.who.int/teams/integrated-health-services/infection-prevention-control/hand-hygiene</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37.</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World Health Organization. Global patient safety action plan 2021-2030. Objective 4. Geneva: WHO; 2021.</w:t>
            </w:r>
          </w:p>
          <w:p>
            <w:pPr>
              <w:spacing w:after="36" w:before="0"/>
            </w:pPr>
            <w:r>
              <w:rPr>
                <w:rFonts w:ascii="Arial" w:cs="Arial" w:eastAsia="Arial" w:hAnsi="Arial"/>
                <w:b/>
                <w:bCs/>
                <w:i w:val="false"/>
                <w:iCs w:val="false"/>
                <w:caps w:val="false"/>
                <w:color w:val="6b778c"/>
                <w:sz w:val="13"/>
                <w:szCs w:val="13"/>
              </w:rPr>
              <w:t xml:space="preserve">URL: </w:t>
            </w:r>
            <w:hyperlink w:history="1" r:id="rIdpkvnnmrb07evltex2wjbe">
              <w:r>
                <w:rPr>
                  <w:rFonts w:ascii="Arial" w:cs="Arial" w:eastAsia="Arial" w:hAnsi="Arial"/>
                  <w:b/>
                  <w:bCs/>
                  <w:color w:val="c9a227"/>
                  <w:sz w:val="13"/>
                  <w:szCs w:val="13"/>
                  <w:u w:val="single"/>
                </w:rPr>
                <w:t xml:space="preserve">https://www.who.int/teams/integrated-health-services/patient-safety</w:t>
              </w:r>
            </w:hyperlink>
          </w:p>
        </w:tc>
      </w:tr>
    </w:tbl>
    <w:tbl>
      <w:tblPr>
        <w:tblW w:type="dxa" w:w="9360"/>
        <w:tblBorders>
          <w:top w:val="none"/>
          <w:left w:val="none"/>
          <w:bottom w:val="single" w:color="e5e7eb" w:sz="2"/>
          <w:right w:val="none"/>
          <w:insideH w:val="single" w:color="auto" w:sz="4"/>
          <w:insideV w:val="single" w:color="auto" w:sz="4"/>
        </w:tblBorders>
      </w:tblPr>
      <w:tblGrid>
        <w:gridCol w:w="340"/>
        <w:gridCol w:w="9020"/>
      </w:tblGrid>
      <w:tr>
        <w:tc>
          <w:tcPr>
            <w:tcW w:type="dxa" w:w="340"/>
            <w:shd w:fill="f8fafc" w:color="auto" w:val="clear"/>
            <w:tcMar>
              <w:top w:type="dxa" w:w="44"/>
              <w:left w:type="dxa" w:w="50"/>
              <w:bottom w:type="dxa" w:w="44"/>
              <w:right w:type="dxa" w:w="30"/>
            </w:tcMar>
            <w:vAlign w:val="top"/>
          </w:tcPr>
          <w:p>
            <w:pPr>
              <w:spacing w:after="36" w:before="0"/>
            </w:pPr>
            <w:r>
              <w:rPr>
                <w:rFonts w:ascii="Georgia" w:cs="Georgia" w:eastAsia="Georgia" w:hAnsi="Georgia"/>
                <w:b/>
                <w:bCs/>
                <w:i w:val="false"/>
                <w:iCs w:val="false"/>
                <w:caps w:val="false"/>
                <w:color w:val="c9a227"/>
                <w:sz w:val="15"/>
                <w:szCs w:val="15"/>
              </w:rPr>
              <w:t xml:space="preserve">38.</w:t>
            </w:r>
          </w:p>
        </w:tc>
        <w:tc>
          <w:tcPr>
            <w:tcW w:type="dxa" w:w="9020"/>
            <w:tcMar>
              <w:top w:type="dxa" w:w="44"/>
              <w:left w:type="dxa" w:w="80"/>
              <w:bottom w:type="dxa" w:w="44"/>
              <w:right w:type="dxa" w:w="75"/>
            </w:tcMar>
            <w:vAlign w:val="top"/>
          </w:tcPr>
          <w:p>
            <w:pPr>
              <w:spacing w:after="8" w:before="0"/>
            </w:pPr>
            <w:r>
              <w:rPr>
                <w:rFonts w:ascii="Arial" w:cs="Arial" w:eastAsia="Arial" w:hAnsi="Arial"/>
                <w:b w:val="false"/>
                <w:bCs w:val="false"/>
                <w:i w:val="false"/>
                <w:iCs w:val="false"/>
                <w:caps w:val="false"/>
                <w:color w:val="374151"/>
                <w:sz w:val="15"/>
                <w:szCs w:val="15"/>
              </w:rPr>
              <w:t xml:space="preserve">Longtin Y, Sax H, Leape LL, Sheridan SE, Donaldson L, Pittet D. Patient participation: current knowledge and applicability to patient safety. Mayo Clin Proc. 2010;85(1):53-62.</w:t>
            </w:r>
          </w:p>
          <w:p>
            <w:pPr>
              <w:spacing w:after="36" w:before="0"/>
            </w:pPr>
            <w:r>
              <w:rPr>
                <w:rFonts w:ascii="Arial" w:cs="Arial" w:eastAsia="Arial" w:hAnsi="Arial"/>
                <w:b/>
                <w:bCs/>
                <w:i w:val="false"/>
                <w:iCs w:val="false"/>
                <w:caps w:val="false"/>
                <w:color w:val="6b778c"/>
                <w:sz w:val="13"/>
                <w:szCs w:val="13"/>
              </w:rPr>
              <w:t xml:space="preserve">URL: </w:t>
            </w:r>
            <w:hyperlink w:history="1" r:id="rIdjwzrpt4xhknvh_tk3gboj">
              <w:r>
                <w:rPr>
                  <w:rFonts w:ascii="Arial" w:cs="Arial" w:eastAsia="Arial" w:hAnsi="Arial"/>
                  <w:b/>
                  <w:bCs/>
                  <w:color w:val="c9a227"/>
                  <w:sz w:val="13"/>
                  <w:szCs w:val="13"/>
                  <w:u w:val="single"/>
                </w:rPr>
                <w:t xml:space="preserve">https://doi.org/10.4065/mcp.2009.0248</w:t>
              </w:r>
            </w:hyperlink>
          </w:p>
        </w:tc>
      </w:tr>
    </w:tbl>
    <w:p>
      <w:pPr>
        <w:spacing w:after="36" w:before="4"/>
      </w:pPr>
      <w:r>
        <w:rPr>
          <w:rFonts w:ascii="Arial" w:cs="Arial" w:eastAsia="Arial" w:hAnsi="Arial"/>
          <w:b w:val="false"/>
          <w:bCs w:val="false"/>
          <w:i w:val="false"/>
          <w:iCs w:val="false"/>
          <w:caps w:val="false"/>
          <w:color w:val="374151"/>
          <w:sz w:val="18"/>
          <w:szCs w:val="18"/>
        </w:rPr>
        <w:t xml:space="preserve"/>
      </w:r>
    </w:p>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9360"/>
      </w:tblGrid>
      <w:tr>
        <w:tc>
          <w:tcPr>
            <w:tcW w:type="dxa" w:w="9360"/>
            <w:shd w:fill="0e2647" w:color="auto" w:val="clear"/>
            <w:tcMar>
              <w:top w:type="dxa" w:w="52"/>
              <w:left w:type="dxa" w:w="130"/>
              <w:bottom w:type="dxa" w:w="52"/>
              <w:right w:type="dxa" w:w="75"/>
            </w:tcMar>
            <w:vAlign w:val="top"/>
          </w:tcPr>
          <w:p>
            <w:pPr>
              <w:spacing w:after="4" w:before="0"/>
            </w:pPr>
            <w:r>
              <w:rPr>
                <w:rFonts w:ascii="Arial" w:cs="Arial" w:eastAsia="Arial" w:hAnsi="Arial"/>
                <w:b w:val="false"/>
                <w:bCs w:val="false"/>
                <w:i/>
                <w:iCs/>
                <w:caps w:val="false"/>
                <w:color w:val="aaaaaa"/>
                <w:sz w:val="13"/>
                <w:szCs w:val="13"/>
              </w:rPr>
              <w:t xml:space="preserve">All references verified January 2025. DOI and URL links are persistent. Report broken links to </w:t>
            </w:r>
          </w:p>
          <w:p>
            <w:pPr>
              <w:spacing w:after="36" w:before="0"/>
            </w:pPr>
            <w:hyperlink w:history="1" r:id="rId6spkrfndl7ybw2gtk0gwn">
              <w:r>
                <w:rPr>
                  <w:rFonts w:ascii="Arial" w:cs="Arial" w:eastAsia="Arial" w:hAnsi="Arial"/>
                  <w:b/>
                  <w:bCs/>
                  <w:color w:val="c9a227"/>
                  <w:sz w:val="13"/>
                  <w:szCs w:val="13"/>
                  <w:u w:val="single"/>
                </w:rPr>
                <w:t xml:space="preserve">info@france-asf.fr</w:t>
              </w:r>
            </w:hyperlink>
            <w:r>
              <w:rPr>
                <w:rFonts w:ascii="Arial" w:cs="Arial" w:eastAsia="Arial" w:hAnsi="Arial"/>
                <w:b w:val="false"/>
                <w:bCs w:val="false"/>
                <w:i/>
                <w:iCs/>
                <w:caps w:val="false"/>
                <w:color w:val="aaaaaa"/>
                <w:sz w:val="13"/>
                <w:szCs w:val="13"/>
              </w:rPr>
              <w:t xml:space="preserve">  Reference style: Vancouver (ICMJE).  Document: ASF Hospital Standards Chapter 4 — IPC. Version 2.0. Paris: ASF;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40"/>
                <w:sz w:val="13"/>
                <w:szCs w:val="13"/>
              </w:rPr>
              <w:t xml:space="preserve">CHAPTER 4: IPC  —  KEYWORD INDEX</w:t>
            </w:r>
          </w:p>
        </w:tc>
        <w:tc>
          <w:tcPr>
            <w:tcW w:type="dxa" w:w="1660"/>
            <w:shd w:fill="0e2647" w:color="auto" w:val="clear"/>
            <w:tcMar>
              <w:top w:type="dxa" w:w="60"/>
              <w:left w:type="dxa" w:w="70"/>
              <w:bottom w:type="dxa" w:w="60"/>
              <w:right w:type="dxa" w:w="75"/>
            </w:tcMar>
            <w:vAlign w:val="top"/>
          </w:tcPr>
          <w:p>
            <w:pPr>
              <w:spacing w:after="36" w:before="0"/>
            </w:pPr>
            <w:r>
              <w:rPr>
                <w:rFonts w:ascii="Arial" w:cs="Arial" w:eastAsia="Arial" w:hAnsi="Arial"/>
                <w:b w:val="false"/>
                <w:bCs w:val="false"/>
                <w:i/>
                <w:iCs/>
                <w:caps w:val="false"/>
                <w:color w:val="6b778c"/>
                <w:sz w:val="12"/>
                <w:szCs w:val="12"/>
              </w:rPr>
              <w:t xml:space="preserve">Alphabetical  |  60 terms  |  with page numbers</w:t>
            </w:r>
          </w:p>
        </w:tc>
      </w:tr>
    </w:tbl>
    <w:p>
      <w:pPr>
        <w:spacing w:after="36" w:before="4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540"/>
      </w:tblGrid>
      <w:tr>
        <w:tc>
          <w:tcPr>
            <w:tcW w:type="dxa" w:w="4540"/>
            <w:shd w:fill="fafafa" w:color="auto" w:val="clear"/>
            <w:tcMar>
              <w:top w:type="dxa" w:w="70"/>
              <w:left w:type="dxa" w:w="110"/>
              <w:bottom w:type="dxa" w:w="70"/>
              <w:right w:type="dxa" w:w="80"/>
            </w:tcMar>
            <w:vAlign w:val="top"/>
          </w:tcPr>
          <w:p>
            <w:pPr>
              <w:spacing w:after="14" w:before="0"/>
            </w:pPr>
            <w:r>
              <w:rPr>
                <w:rFonts w:ascii="Arial" w:cs="Arial" w:eastAsia="Arial" w:hAnsi="Arial"/>
                <w:b/>
                <w:bCs/>
                <w:i w:val="false"/>
                <w:iCs w:val="false"/>
                <w:caps w:val="false"/>
                <w:color w:val="14335c"/>
                <w:sz w:val="15"/>
                <w:szCs w:val="15"/>
              </w:rPr>
              <w:t xml:space="preserve">Antibiogram</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Antimicrobial resistance (AMR)</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Antimicrobial stewardship (ASP)</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Audit — compliance</w:t>
            </w:r>
            <w:r>
              <w:rPr>
                <w:rFonts w:ascii="Arial" w:cs="Arial" w:eastAsia="Arial" w:hAnsi="Arial"/>
                <w:b/>
                <w:bCs/>
                <w:i w:val="false"/>
                <w:iCs w:val="false"/>
                <w:caps w:val="false"/>
                <w:color w:val="c9a227"/>
                <w:sz w:val="12"/>
                <w:szCs w:val="12"/>
              </w:rPr>
              <w:t xml:space="preserve">   4.1 (p.3),  4.2 (p.5),  4.5 (p.11),  4.6 (p.13)</w:t>
            </w:r>
          </w:p>
          <w:p>
            <w:pPr>
              <w:spacing w:after="14" w:before="0"/>
            </w:pPr>
            <w:r>
              <w:rPr>
                <w:rFonts w:ascii="Arial" w:cs="Arial" w:eastAsia="Arial" w:hAnsi="Arial"/>
                <w:b/>
                <w:bCs/>
                <w:i w:val="false"/>
                <w:iCs w:val="false"/>
                <w:caps w:val="false"/>
                <w:color w:val="14335c"/>
                <w:sz w:val="15"/>
                <w:szCs w:val="15"/>
              </w:rPr>
              <w:t xml:space="preserve">Autoclave / sterilisation</w:t>
            </w:r>
            <w:r>
              <w:rPr>
                <w:rFonts w:ascii="Arial" w:cs="Arial" w:eastAsia="Arial" w:hAnsi="Arial"/>
                <w:b/>
                <w:bCs/>
                <w:i w:val="false"/>
                <w:iCs w:val="false"/>
                <w:caps w:val="false"/>
                <w:color w:val="c9a227"/>
                <w:sz w:val="12"/>
                <w:szCs w:val="12"/>
              </w:rPr>
              <w:t xml:space="preserve">   4.4 (p.9)</w:t>
            </w:r>
          </w:p>
          <w:p>
            <w:pPr>
              <w:spacing w:after="14" w:before="0"/>
            </w:pPr>
            <w:r>
              <w:rPr>
                <w:rFonts w:ascii="Arial" w:cs="Arial" w:eastAsia="Arial" w:hAnsi="Arial"/>
                <w:b/>
                <w:bCs/>
                <w:i w:val="false"/>
                <w:iCs w:val="false"/>
                <w:caps w:val="false"/>
                <w:color w:val="14335c"/>
                <w:sz w:val="15"/>
                <w:szCs w:val="15"/>
              </w:rPr>
              <w:t xml:space="preserve">Benchmarking</w:t>
            </w:r>
            <w:r>
              <w:rPr>
                <w:rFonts w:ascii="Arial" w:cs="Arial" w:eastAsia="Arial" w:hAnsi="Arial"/>
                <w:b/>
                <w:bCs/>
                <w:i w:val="false"/>
                <w:iCs w:val="false"/>
                <w:caps w:val="false"/>
                <w:color w:val="c9a227"/>
                <w:sz w:val="12"/>
                <w:szCs w:val="12"/>
              </w:rPr>
              <w:t xml:space="preserve">   4.11 (p.23)</w:t>
            </w:r>
          </w:p>
          <w:p>
            <w:pPr>
              <w:spacing w:after="14" w:before="0"/>
            </w:pPr>
            <w:r>
              <w:rPr>
                <w:rFonts w:ascii="Arial" w:cs="Arial" w:eastAsia="Arial" w:hAnsi="Arial"/>
                <w:b/>
                <w:bCs/>
                <w:i w:val="false"/>
                <w:iCs w:val="false"/>
                <w:caps w:val="false"/>
                <w:color w:val="14335c"/>
                <w:sz w:val="15"/>
                <w:szCs w:val="15"/>
              </w:rPr>
              <w:t xml:space="preserve">Biological indicator (BI)</w:t>
            </w:r>
            <w:r>
              <w:rPr>
                <w:rFonts w:ascii="Arial" w:cs="Arial" w:eastAsia="Arial" w:hAnsi="Arial"/>
                <w:b/>
                <w:bCs/>
                <w:i w:val="false"/>
                <w:iCs w:val="false"/>
                <w:caps w:val="false"/>
                <w:color w:val="c9a227"/>
                <w:sz w:val="12"/>
                <w:szCs w:val="12"/>
              </w:rPr>
              <w:t xml:space="preserve">   4.4 (p.9)</w:t>
            </w:r>
          </w:p>
          <w:p>
            <w:pPr>
              <w:spacing w:after="14" w:before="0"/>
            </w:pPr>
            <w:r>
              <w:rPr>
                <w:rFonts w:ascii="Arial" w:cs="Arial" w:eastAsia="Arial" w:hAnsi="Arial"/>
                <w:b/>
                <w:bCs/>
                <w:i w:val="false"/>
                <w:iCs w:val="false"/>
                <w:caps w:val="false"/>
                <w:color w:val="14335c"/>
                <w:sz w:val="15"/>
                <w:szCs w:val="15"/>
              </w:rPr>
              <w:t xml:space="preserve">CAUTI (catheter-associated UTI)</w:t>
            </w:r>
            <w:r>
              <w:rPr>
                <w:rFonts w:ascii="Arial" w:cs="Arial" w:eastAsia="Arial" w:hAnsi="Arial"/>
                <w:b/>
                <w:bCs/>
                <w:i w:val="false"/>
                <w:iCs w:val="false"/>
                <w:caps w:val="false"/>
                <w:color w:val="c9a227"/>
                <w:sz w:val="12"/>
                <w:szCs w:val="12"/>
              </w:rPr>
              <w:t xml:space="preserve">   4.6 (p.13),  4.11 (p.23)</w:t>
            </w:r>
          </w:p>
          <w:p>
            <w:pPr>
              <w:spacing w:after="14" w:before="0"/>
            </w:pPr>
            <w:r>
              <w:rPr>
                <w:rFonts w:ascii="Arial" w:cs="Arial" w:eastAsia="Arial" w:hAnsi="Arial"/>
                <w:b/>
                <w:bCs/>
                <w:i w:val="false"/>
                <w:iCs w:val="false"/>
                <w:caps w:val="false"/>
                <w:color w:val="14335c"/>
                <w:sz w:val="15"/>
                <w:szCs w:val="15"/>
              </w:rPr>
              <w:t xml:space="preserve">Clinical waste</w:t>
            </w:r>
            <w:r>
              <w:rPr>
                <w:rFonts w:ascii="Arial" w:cs="Arial" w:eastAsia="Arial" w:hAnsi="Arial"/>
                <w:b/>
                <w:bCs/>
                <w:i w:val="false"/>
                <w:iCs w:val="false"/>
                <w:caps w:val="false"/>
                <w:color w:val="c9a227"/>
                <w:sz w:val="12"/>
                <w:szCs w:val="12"/>
              </w:rPr>
              <w:t xml:space="preserve">   4.3 (p.7)</w:t>
            </w:r>
          </w:p>
          <w:p>
            <w:pPr>
              <w:spacing w:after="14" w:before="0"/>
            </w:pPr>
            <w:r>
              <w:rPr>
                <w:rFonts w:ascii="Arial" w:cs="Arial" w:eastAsia="Arial" w:hAnsi="Arial"/>
                <w:b/>
                <w:bCs/>
                <w:i w:val="false"/>
                <w:iCs w:val="false"/>
                <w:caps w:val="false"/>
                <w:color w:val="14335c"/>
                <w:sz w:val="15"/>
                <w:szCs w:val="15"/>
              </w:rPr>
              <w:t xml:space="preserve">Competency assessment</w:t>
            </w:r>
            <w:r>
              <w:rPr>
                <w:rFonts w:ascii="Arial" w:cs="Arial" w:eastAsia="Arial" w:hAnsi="Arial"/>
                <w:b/>
                <w:bCs/>
                <w:i w:val="false"/>
                <w:iCs w:val="false"/>
                <w:caps w:val="false"/>
                <w:color w:val="c9a227"/>
                <w:sz w:val="12"/>
                <w:szCs w:val="12"/>
              </w:rPr>
              <w:t xml:space="preserve">   4.4 (p.9),  4.8 (p.17)</w:t>
            </w:r>
          </w:p>
          <w:p>
            <w:pPr>
              <w:spacing w:after="14" w:before="0"/>
            </w:pPr>
            <w:r>
              <w:rPr>
                <w:rFonts w:ascii="Arial" w:cs="Arial" w:eastAsia="Arial" w:hAnsi="Arial"/>
                <w:b/>
                <w:bCs/>
                <w:i w:val="false"/>
                <w:iCs w:val="false"/>
                <w:caps w:val="false"/>
                <w:color w:val="14335c"/>
                <w:sz w:val="15"/>
                <w:szCs w:val="15"/>
              </w:rPr>
              <w:t xml:space="preserve">CORE standard (definition)</w:t>
            </w:r>
            <w:r>
              <w:rPr>
                <w:rFonts w:ascii="Arial" w:cs="Arial" w:eastAsia="Arial" w:hAnsi="Arial"/>
                <w:b/>
                <w:bCs/>
                <w:i w:val="false"/>
                <w:iCs w:val="false"/>
                <w:caps w:val="false"/>
                <w:color w:val="c9a227"/>
                <w:sz w:val="12"/>
                <w:szCs w:val="12"/>
              </w:rPr>
              <w:t xml:space="preserve">   4.1 (p.3),  4.2 (p.5),  4.3 (p.7)</w:t>
            </w:r>
          </w:p>
          <w:p>
            <w:pPr>
              <w:spacing w:after="14" w:before="0"/>
            </w:pPr>
            <w:r>
              <w:rPr>
                <w:rFonts w:ascii="Arial" w:cs="Arial" w:eastAsia="Arial" w:hAnsi="Arial"/>
                <w:b/>
                <w:bCs/>
                <w:i w:val="false"/>
                <w:iCs w:val="false"/>
                <w:caps w:val="false"/>
                <w:color w:val="14335c"/>
                <w:sz w:val="15"/>
                <w:szCs w:val="15"/>
              </w:rPr>
              <w:t xml:space="preserve">De-escalation (antibiotic)</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Decontamination</w:t>
            </w:r>
            <w:r>
              <w:rPr>
                <w:rFonts w:ascii="Arial" w:cs="Arial" w:eastAsia="Arial" w:hAnsi="Arial"/>
                <w:b/>
                <w:bCs/>
                <w:i w:val="false"/>
                <w:iCs w:val="false"/>
                <w:caps w:val="false"/>
                <w:color w:val="c9a227"/>
                <w:sz w:val="12"/>
                <w:szCs w:val="12"/>
              </w:rPr>
              <w:t xml:space="preserve">   4.4 (p.9)</w:t>
            </w:r>
          </w:p>
          <w:p>
            <w:pPr>
              <w:spacing w:after="14" w:before="0"/>
            </w:pPr>
            <w:r>
              <w:rPr>
                <w:rFonts w:ascii="Arial" w:cs="Arial" w:eastAsia="Arial" w:hAnsi="Arial"/>
                <w:b/>
                <w:bCs/>
                <w:i w:val="false"/>
                <w:iCs w:val="false"/>
                <w:caps w:val="false"/>
                <w:color w:val="14335c"/>
                <w:sz w:val="15"/>
                <w:szCs w:val="15"/>
              </w:rPr>
              <w:t xml:space="preserve">Doffing — PPE removal</w:t>
            </w:r>
            <w:r>
              <w:rPr>
                <w:rFonts w:ascii="Arial" w:cs="Arial" w:eastAsia="Arial" w:hAnsi="Arial"/>
                <w:b/>
                <w:bCs/>
                <w:i w:val="false"/>
                <w:iCs w:val="false"/>
                <w:caps w:val="false"/>
                <w:color w:val="c9a227"/>
                <w:sz w:val="12"/>
                <w:szCs w:val="12"/>
              </w:rPr>
              <w:t xml:space="preserve">   4.2 (p.5)</w:t>
            </w:r>
          </w:p>
          <w:p>
            <w:pPr>
              <w:spacing w:after="14" w:before="0"/>
            </w:pPr>
            <w:r>
              <w:rPr>
                <w:rFonts w:ascii="Arial" w:cs="Arial" w:eastAsia="Arial" w:hAnsi="Arial"/>
                <w:b/>
                <w:bCs/>
                <w:i w:val="false"/>
                <w:iCs w:val="false"/>
                <w:caps w:val="false"/>
                <w:color w:val="14335c"/>
                <w:sz w:val="15"/>
                <w:szCs w:val="15"/>
              </w:rPr>
              <w:t xml:space="preserve">Donning — PPE application</w:t>
            </w:r>
            <w:r>
              <w:rPr>
                <w:rFonts w:ascii="Arial" w:cs="Arial" w:eastAsia="Arial" w:hAnsi="Arial"/>
                <w:b/>
                <w:bCs/>
                <w:i w:val="false"/>
                <w:iCs w:val="false"/>
                <w:caps w:val="false"/>
                <w:color w:val="c9a227"/>
                <w:sz w:val="12"/>
                <w:szCs w:val="12"/>
              </w:rPr>
              <w:t xml:space="preserve">   4.2 (p.5)</w:t>
            </w:r>
          </w:p>
          <w:p>
            <w:pPr>
              <w:spacing w:after="14" w:before="0"/>
            </w:pPr>
            <w:r>
              <w:rPr>
                <w:rFonts w:ascii="Arial" w:cs="Arial" w:eastAsia="Arial" w:hAnsi="Arial"/>
                <w:b/>
                <w:bCs/>
                <w:i w:val="false"/>
                <w:iCs w:val="false"/>
                <w:caps w:val="false"/>
                <w:color w:val="14335c"/>
                <w:sz w:val="15"/>
                <w:szCs w:val="15"/>
              </w:rPr>
              <w:t xml:space="preserve">E-learning (ASF Academy)</w:t>
            </w:r>
            <w:r>
              <w:rPr>
                <w:rFonts w:ascii="Arial" w:cs="Arial" w:eastAsia="Arial" w:hAnsi="Arial"/>
                <w:b/>
                <w:bCs/>
                <w:i w:val="false"/>
                <w:iCs w:val="false"/>
                <w:caps w:val="false"/>
                <w:color w:val="c9a227"/>
                <w:sz w:val="12"/>
                <w:szCs w:val="12"/>
              </w:rPr>
              <w:t xml:space="preserve">   All standards (p.3–25)</w:t>
            </w:r>
          </w:p>
          <w:p>
            <w:pPr>
              <w:spacing w:after="14" w:before="0"/>
            </w:pPr>
            <w:r>
              <w:rPr>
                <w:rFonts w:ascii="Arial" w:cs="Arial" w:eastAsia="Arial" w:hAnsi="Arial"/>
                <w:b/>
                <w:bCs/>
                <w:i w:val="false"/>
                <w:iCs w:val="false"/>
                <w:caps w:val="false"/>
                <w:color w:val="14335c"/>
                <w:sz w:val="15"/>
                <w:szCs w:val="15"/>
              </w:rPr>
              <w:t xml:space="preserve">ECDC surveillance network</w:t>
            </w:r>
            <w:r>
              <w:rPr>
                <w:rFonts w:ascii="Arial" w:cs="Arial" w:eastAsia="Arial" w:hAnsi="Arial"/>
                <w:b/>
                <w:bCs/>
                <w:i w:val="false"/>
                <w:iCs w:val="false"/>
                <w:caps w:val="false"/>
                <w:color w:val="c9a227"/>
                <w:sz w:val="12"/>
                <w:szCs w:val="12"/>
              </w:rPr>
              <w:t xml:space="preserve">   4.11 (p.23)</w:t>
            </w:r>
          </w:p>
          <w:p>
            <w:pPr>
              <w:spacing w:after="14" w:before="0"/>
            </w:pPr>
            <w:r>
              <w:rPr>
                <w:rFonts w:ascii="Arial" w:cs="Arial" w:eastAsia="Arial" w:hAnsi="Arial"/>
                <w:b/>
                <w:bCs/>
                <w:i w:val="false"/>
                <w:iCs w:val="false"/>
                <w:caps w:val="false"/>
                <w:color w:val="14335c"/>
                <w:sz w:val="15"/>
                <w:szCs w:val="15"/>
              </w:rPr>
              <w:t xml:space="preserve">Empirical prescribing</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Endoscope reprocessing</w:t>
            </w:r>
            <w:r>
              <w:rPr>
                <w:rFonts w:ascii="Arial" w:cs="Arial" w:eastAsia="Arial" w:hAnsi="Arial"/>
                <w:b/>
                <w:bCs/>
                <w:i w:val="false"/>
                <w:iCs w:val="false"/>
                <w:caps w:val="false"/>
                <w:color w:val="c9a227"/>
                <w:sz w:val="12"/>
                <w:szCs w:val="12"/>
              </w:rPr>
              <w:t xml:space="preserve">   4.4 (p.9)</w:t>
            </w:r>
          </w:p>
          <w:p>
            <w:pPr>
              <w:spacing w:after="14" w:before="0"/>
            </w:pPr>
            <w:r>
              <w:rPr>
                <w:rFonts w:ascii="Arial" w:cs="Arial" w:eastAsia="Arial" w:hAnsi="Arial"/>
                <w:b/>
                <w:bCs/>
                <w:i w:val="false"/>
                <w:iCs w:val="false"/>
                <w:caps w:val="false"/>
                <w:color w:val="14335c"/>
                <w:sz w:val="15"/>
                <w:szCs w:val="15"/>
              </w:rPr>
              <w:t xml:space="preserve">FFP2 / N95 mask</w:t>
            </w:r>
            <w:r>
              <w:rPr>
                <w:rFonts w:ascii="Arial" w:cs="Arial" w:eastAsia="Arial" w:hAnsi="Arial"/>
                <w:b/>
                <w:bCs/>
                <w:i w:val="false"/>
                <w:iCs w:val="false"/>
                <w:caps w:val="false"/>
                <w:color w:val="c9a227"/>
                <w:sz w:val="12"/>
                <w:szCs w:val="12"/>
              </w:rPr>
              <w:t xml:space="preserve">   4.2 (p.5),  4.9 (p.19)</w:t>
            </w:r>
          </w:p>
          <w:p>
            <w:pPr>
              <w:spacing w:after="14" w:before="0"/>
            </w:pPr>
            <w:r>
              <w:rPr>
                <w:rFonts w:ascii="Arial" w:cs="Arial" w:eastAsia="Arial" w:hAnsi="Arial"/>
                <w:b/>
                <w:bCs/>
                <w:i w:val="false"/>
                <w:iCs w:val="false"/>
                <w:caps w:val="false"/>
                <w:color w:val="14335c"/>
                <w:sz w:val="15"/>
                <w:szCs w:val="15"/>
              </w:rPr>
              <w:t xml:space="preserve">HAI — healthcare-associated infection</w:t>
            </w:r>
            <w:r>
              <w:rPr>
                <w:rFonts w:ascii="Arial" w:cs="Arial" w:eastAsia="Arial" w:hAnsi="Arial"/>
                <w:b/>
                <w:bCs/>
                <w:i w:val="false"/>
                <w:iCs w:val="false"/>
                <w:caps w:val="false"/>
                <w:color w:val="c9a227"/>
                <w:sz w:val="12"/>
                <w:szCs w:val="12"/>
              </w:rPr>
              <w:t xml:space="preserve">   4.1 (p.3),  4.5 (p.11),  4.6 (p.13),  4.11 (p.23)</w:t>
            </w:r>
          </w:p>
          <w:p>
            <w:pPr>
              <w:spacing w:after="14" w:before="0"/>
            </w:pPr>
            <w:r>
              <w:rPr>
                <w:rFonts w:ascii="Arial" w:cs="Arial" w:eastAsia="Arial" w:hAnsi="Arial"/>
                <w:b/>
                <w:bCs/>
                <w:i w:val="false"/>
                <w:iCs w:val="false"/>
                <w:caps w:val="false"/>
                <w:color w:val="14335c"/>
                <w:sz w:val="15"/>
                <w:szCs w:val="15"/>
              </w:rPr>
              <w:t xml:space="preserve">HAP — hospital-acquired pneumonia</w:t>
            </w:r>
            <w:r>
              <w:rPr>
                <w:rFonts w:ascii="Arial" w:cs="Arial" w:eastAsia="Arial" w:hAnsi="Arial"/>
                <w:b/>
                <w:bCs/>
                <w:i w:val="false"/>
                <w:iCs w:val="false"/>
                <w:caps w:val="false"/>
                <w:color w:val="c9a227"/>
                <w:sz w:val="12"/>
                <w:szCs w:val="12"/>
              </w:rPr>
              <w:t xml:space="preserve">   4.6 (p.13)</w:t>
            </w:r>
          </w:p>
          <w:p>
            <w:pPr>
              <w:spacing w:after="14" w:before="0"/>
            </w:pPr>
            <w:r>
              <w:rPr>
                <w:rFonts w:ascii="Arial" w:cs="Arial" w:eastAsia="Arial" w:hAnsi="Arial"/>
                <w:b/>
                <w:bCs/>
                <w:i w:val="false"/>
                <w:iCs w:val="false"/>
                <w:caps w:val="false"/>
                <w:color w:val="14335c"/>
                <w:sz w:val="15"/>
                <w:szCs w:val="15"/>
              </w:rPr>
              <w:t xml:space="preserve">Hand hygiene</w:t>
            </w:r>
            <w:r>
              <w:rPr>
                <w:rFonts w:ascii="Arial" w:cs="Arial" w:eastAsia="Arial" w:hAnsi="Arial"/>
                <w:b/>
                <w:bCs/>
                <w:i w:val="false"/>
                <w:iCs w:val="false"/>
                <w:caps w:val="false"/>
                <w:color w:val="c9a227"/>
                <w:sz w:val="12"/>
                <w:szCs w:val="12"/>
              </w:rPr>
              <w:t xml:space="preserve">   4.1 (p.3),  4.8 (p.17),  4.12 (p.25)</w:t>
            </w:r>
          </w:p>
          <w:p>
            <w:pPr>
              <w:spacing w:after="14" w:before="0"/>
            </w:pPr>
            <w:r>
              <w:rPr>
                <w:rFonts w:ascii="Arial" w:cs="Arial" w:eastAsia="Arial" w:hAnsi="Arial"/>
                <w:b/>
                <w:bCs/>
                <w:i w:val="false"/>
                <w:iCs w:val="false"/>
                <w:caps w:val="false"/>
                <w:color w:val="14335c"/>
                <w:sz w:val="15"/>
                <w:szCs w:val="15"/>
              </w:rPr>
              <w:t xml:space="preserve">IHR (International Health Regulations)</w:t>
            </w:r>
            <w:r>
              <w:rPr>
                <w:rFonts w:ascii="Arial" w:cs="Arial" w:eastAsia="Arial" w:hAnsi="Arial"/>
                <w:b/>
                <w:bCs/>
                <w:i w:val="false"/>
                <w:iCs w:val="false"/>
                <w:caps w:val="false"/>
                <w:color w:val="c9a227"/>
                <w:sz w:val="12"/>
                <w:szCs w:val="12"/>
              </w:rPr>
              <w:t xml:space="preserve">   4.7 (p.15)</w:t>
            </w:r>
          </w:p>
          <w:p>
            <w:pPr>
              <w:spacing w:after="14" w:before="0"/>
            </w:pPr>
            <w:r>
              <w:rPr>
                <w:rFonts w:ascii="Arial" w:cs="Arial" w:eastAsia="Arial" w:hAnsi="Arial"/>
                <w:b/>
                <w:bCs/>
                <w:i w:val="false"/>
                <w:iCs w:val="false"/>
                <w:caps w:val="false"/>
                <w:color w:val="14335c"/>
                <w:sz w:val="15"/>
                <w:szCs w:val="15"/>
              </w:rPr>
              <w:t xml:space="preserve">Improvement plan</w:t>
            </w:r>
            <w:r>
              <w:rPr>
                <w:rFonts w:ascii="Arial" w:cs="Arial" w:eastAsia="Arial" w:hAnsi="Arial"/>
                <w:b/>
                <w:bCs/>
                <w:i w:val="false"/>
                <w:iCs w:val="false"/>
                <w:caps w:val="false"/>
                <w:color w:val="c9a227"/>
                <w:sz w:val="12"/>
                <w:szCs w:val="12"/>
              </w:rPr>
              <w:t xml:space="preserve">   All standards (p.3–25)</w:t>
            </w:r>
          </w:p>
          <w:p>
            <w:pPr>
              <w:spacing w:after="14" w:before="0"/>
            </w:pPr>
            <w:r>
              <w:rPr>
                <w:rFonts w:ascii="Arial" w:cs="Arial" w:eastAsia="Arial" w:hAnsi="Arial"/>
                <w:b/>
                <w:bCs/>
                <w:i w:val="false"/>
                <w:iCs w:val="false"/>
                <w:caps w:val="false"/>
                <w:color w:val="14335c"/>
                <w:sz w:val="15"/>
                <w:szCs w:val="15"/>
              </w:rPr>
              <w:t xml:space="preserve">IOM (Intl. Organization for Migration)</w:t>
            </w:r>
            <w:r>
              <w:rPr>
                <w:rFonts w:ascii="Arial" w:cs="Arial" w:eastAsia="Arial" w:hAnsi="Arial"/>
                <w:b/>
                <w:bCs/>
                <w:i w:val="false"/>
                <w:iCs w:val="false"/>
                <w:caps w:val="false"/>
                <w:color w:val="c9a227"/>
                <w:sz w:val="12"/>
                <w:szCs w:val="12"/>
              </w:rPr>
              <w:t xml:space="preserve">   4.1 (p.3),  4.2 (p.5),  4.5 (p.11),  4.6 (p.13),  4.7 (p.15),  4.8 (p.17),  4.10 (p.21)</w:t>
            </w:r>
          </w:p>
          <w:p>
            <w:pPr>
              <w:spacing w:after="14" w:before="0"/>
            </w:pPr>
            <w:r>
              <w:rPr>
                <w:rFonts w:ascii="Arial" w:cs="Arial" w:eastAsia="Arial" w:hAnsi="Arial"/>
                <w:b/>
                <w:bCs/>
                <w:i w:val="false"/>
                <w:iCs w:val="false"/>
                <w:caps w:val="false"/>
                <w:color w:val="14335c"/>
                <w:sz w:val="15"/>
                <w:szCs w:val="15"/>
              </w:rPr>
              <w:t xml:space="preserve">IPC committee</w:t>
            </w:r>
            <w:r>
              <w:rPr>
                <w:rFonts w:ascii="Arial" w:cs="Arial" w:eastAsia="Arial" w:hAnsi="Arial"/>
                <w:b/>
                <w:bCs/>
                <w:i w:val="false"/>
                <w:iCs w:val="false"/>
                <w:caps w:val="false"/>
                <w:color w:val="c9a227"/>
                <w:sz w:val="12"/>
                <w:szCs w:val="12"/>
              </w:rPr>
              <w:t xml:space="preserve">   4.5 (p.11),  4.6 (p.13),  4.10 (p.21),  4.11 (p.23)</w:t>
            </w:r>
          </w:p>
          <w:p>
            <w:pPr>
              <w:spacing w:after="14" w:before="0"/>
            </w:pPr>
            <w:r>
              <w:rPr>
                <w:rFonts w:ascii="Arial" w:cs="Arial" w:eastAsia="Arial" w:hAnsi="Arial"/>
                <w:b/>
                <w:bCs/>
                <w:i w:val="false"/>
                <w:iCs w:val="false"/>
                <w:caps w:val="false"/>
                <w:color w:val="14335c"/>
                <w:sz w:val="15"/>
                <w:szCs w:val="15"/>
              </w:rPr>
              <w:t xml:space="preserve">IPC lead — named accountability</w:t>
            </w:r>
            <w:r>
              <w:rPr>
                <w:rFonts w:ascii="Arial" w:cs="Arial" w:eastAsia="Arial" w:hAnsi="Arial"/>
                <w:b/>
                <w:bCs/>
                <w:i w:val="false"/>
                <w:iCs w:val="false"/>
                <w:caps w:val="false"/>
                <w:color w:val="c9a227"/>
                <w:sz w:val="12"/>
                <w:szCs w:val="12"/>
              </w:rPr>
              <w:t xml:space="preserve">   4.5 (p.11)</w:t>
            </w:r>
          </w:p>
          <w:p>
            <w:pPr>
              <w:spacing w:after="14" w:before="0"/>
            </w:pPr>
            <w:r>
              <w:rPr>
                <w:rFonts w:ascii="Arial" w:cs="Arial" w:eastAsia="Arial" w:hAnsi="Arial"/>
                <w:b/>
                <w:bCs/>
                <w:i w:val="false"/>
                <w:iCs w:val="false"/>
                <w:caps w:val="false"/>
                <w:color w:val="14335c"/>
                <w:sz w:val="15"/>
                <w:szCs w:val="15"/>
              </w:rPr>
              <w:t xml:space="preserve">IPC programme</w:t>
            </w:r>
            <w:r>
              <w:rPr>
                <w:rFonts w:ascii="Arial" w:cs="Arial" w:eastAsia="Arial" w:hAnsi="Arial"/>
                <w:b/>
                <w:bCs/>
                <w:i w:val="false"/>
                <w:iCs w:val="false"/>
                <w:caps w:val="false"/>
                <w:color w:val="c9a227"/>
                <w:sz w:val="12"/>
                <w:szCs w:val="12"/>
              </w:rPr>
              <w:t xml:space="preserve">   4.5 (p.11)</w:t>
            </w:r>
          </w:p>
          <w:p>
            <w:pPr>
              <w:spacing w:after="14" w:before="0"/>
            </w:pPr>
            <w:r>
              <w:rPr>
                <w:rFonts w:ascii="Arial" w:cs="Arial" w:eastAsia="Arial" w:hAnsi="Arial"/>
                <w:b/>
                <w:bCs/>
                <w:i w:val="false"/>
                <w:iCs w:val="false"/>
                <w:caps w:val="false"/>
                <w:color w:val="14335c"/>
                <w:sz w:val="15"/>
                <w:szCs w:val="15"/>
              </w:rPr>
              <w:t xml:space="preserve">IPC training — induction and refresher</w:t>
            </w:r>
            <w:r>
              <w:rPr>
                <w:rFonts w:ascii="Arial" w:cs="Arial" w:eastAsia="Arial" w:hAnsi="Arial"/>
                <w:b/>
                <w:bCs/>
                <w:i w:val="false"/>
                <w:iCs w:val="false"/>
                <w:caps w:val="false"/>
                <w:color w:val="c9a227"/>
                <w:sz w:val="12"/>
                <w:szCs w:val="12"/>
              </w:rPr>
              <w:t xml:space="preserve">   4.8 (p.17)</w:t>
            </w:r>
          </w:p>
        </w:tc>
        <w:tc>
          <w:tcPr>
            <w:tcW w:type="dxa" w:w="4540"/>
            <w:tcMar>
              <w:top w:type="dxa" w:w="70"/>
              <w:left w:type="dxa" w:w="80"/>
              <w:bottom w:type="dxa" w:w="70"/>
              <w:right w:type="dxa" w:w="110"/>
            </w:tcMar>
            <w:vAlign w:val="top"/>
          </w:tcPr>
          <w:p>
            <w:pPr>
              <w:spacing w:after="14" w:before="0"/>
            </w:pPr>
            <w:r>
              <w:rPr>
                <w:rFonts w:ascii="Arial" w:cs="Arial" w:eastAsia="Arial" w:hAnsi="Arial"/>
                <w:b/>
                <w:bCs/>
                <w:i w:val="false"/>
                <w:iCs w:val="false"/>
                <w:caps w:val="false"/>
                <w:color w:val="14335c"/>
                <w:sz w:val="15"/>
                <w:szCs w:val="15"/>
              </w:rPr>
              <w:t xml:space="preserve">Isolation — patient</w:t>
            </w:r>
            <w:r>
              <w:rPr>
                <w:rFonts w:ascii="Arial" w:cs="Arial" w:eastAsia="Arial" w:hAnsi="Arial"/>
                <w:b/>
                <w:bCs/>
                <w:i w:val="false"/>
                <w:iCs w:val="false"/>
                <w:caps w:val="false"/>
                <w:color w:val="c9a227"/>
                <w:sz w:val="12"/>
                <w:szCs w:val="12"/>
              </w:rPr>
              <w:t xml:space="preserve">   4.7 (p.15),  4.9 (p.19)</w:t>
            </w:r>
          </w:p>
          <w:p>
            <w:pPr>
              <w:spacing w:after="14" w:before="0"/>
            </w:pPr>
            <w:r>
              <w:rPr>
                <w:rFonts w:ascii="Arial" w:cs="Arial" w:eastAsia="Arial" w:hAnsi="Arial"/>
                <w:b/>
                <w:bCs/>
                <w:i w:val="false"/>
                <w:iCs w:val="false"/>
                <w:caps w:val="false"/>
                <w:color w:val="14335c"/>
                <w:sz w:val="15"/>
                <w:szCs w:val="15"/>
              </w:rPr>
              <w:t xml:space="preserve">Isolation room</w:t>
            </w:r>
            <w:r>
              <w:rPr>
                <w:rFonts w:ascii="Arial" w:cs="Arial" w:eastAsia="Arial" w:hAnsi="Arial"/>
                <w:b/>
                <w:bCs/>
                <w:i w:val="false"/>
                <w:iCs w:val="false"/>
                <w:caps w:val="false"/>
                <w:color w:val="c9a227"/>
                <w:sz w:val="12"/>
                <w:szCs w:val="12"/>
              </w:rPr>
              <w:t xml:space="preserve">   4.9 (p.19)</w:t>
            </w:r>
          </w:p>
          <w:p>
            <w:pPr>
              <w:spacing w:after="14" w:before="0"/>
            </w:pPr>
            <w:r>
              <w:rPr>
                <w:rFonts w:ascii="Arial" w:cs="Arial" w:eastAsia="Arial" w:hAnsi="Arial"/>
                <w:b/>
                <w:bCs/>
                <w:i w:val="false"/>
                <w:iCs w:val="false"/>
                <w:caps w:val="false"/>
                <w:color w:val="14335c"/>
                <w:sz w:val="15"/>
                <w:szCs w:val="15"/>
              </w:rPr>
              <w:t xml:space="preserve">Level 1 — Foundation</w:t>
            </w:r>
            <w:r>
              <w:rPr>
                <w:rFonts w:ascii="Arial" w:cs="Arial" w:eastAsia="Arial" w:hAnsi="Arial"/>
                <w:b/>
                <w:bCs/>
                <w:i w:val="false"/>
                <w:iCs w:val="false"/>
                <w:caps w:val="false"/>
                <w:color w:val="c9a227"/>
                <w:sz w:val="12"/>
                <w:szCs w:val="12"/>
              </w:rPr>
              <w:t xml:space="preserve">   4.1 (p.3),  4.2 (p.5),  4.3 (p.7),  4.4 (p.9),  4.5 (p.11)</w:t>
            </w:r>
          </w:p>
          <w:p>
            <w:pPr>
              <w:spacing w:after="14" w:before="0"/>
            </w:pPr>
            <w:r>
              <w:rPr>
                <w:rFonts w:ascii="Arial" w:cs="Arial" w:eastAsia="Arial" w:hAnsi="Arial"/>
                <w:b/>
                <w:bCs/>
                <w:i w:val="false"/>
                <w:iCs w:val="false"/>
                <w:caps w:val="false"/>
                <w:color w:val="14335c"/>
                <w:sz w:val="15"/>
                <w:szCs w:val="15"/>
              </w:rPr>
              <w:t xml:space="preserve">Level 2 — Accredited</w:t>
            </w:r>
            <w:r>
              <w:rPr>
                <w:rFonts w:ascii="Arial" w:cs="Arial" w:eastAsia="Arial" w:hAnsi="Arial"/>
                <w:b/>
                <w:bCs/>
                <w:i w:val="false"/>
                <w:iCs w:val="false"/>
                <w:caps w:val="false"/>
                <w:color w:val="c9a227"/>
                <w:sz w:val="12"/>
                <w:szCs w:val="12"/>
              </w:rPr>
              <w:t xml:space="preserve">   4.6 (p.13),  4.7 (p.15),  4.8 (p.17),  4.9 (p.19)</w:t>
            </w:r>
          </w:p>
          <w:p>
            <w:pPr>
              <w:spacing w:after="14" w:before="0"/>
            </w:pPr>
            <w:r>
              <w:rPr>
                <w:rFonts w:ascii="Arial" w:cs="Arial" w:eastAsia="Arial" w:hAnsi="Arial"/>
                <w:b/>
                <w:bCs/>
                <w:i w:val="false"/>
                <w:iCs w:val="false"/>
                <w:caps w:val="false"/>
                <w:color w:val="14335c"/>
                <w:sz w:val="15"/>
                <w:szCs w:val="15"/>
              </w:rPr>
              <w:t xml:space="preserve">Level 3 — Advanced</w:t>
            </w:r>
            <w:r>
              <w:rPr>
                <w:rFonts w:ascii="Arial" w:cs="Arial" w:eastAsia="Arial" w:hAnsi="Arial"/>
                <w:b/>
                <w:bCs/>
                <w:i w:val="false"/>
                <w:iCs w:val="false"/>
                <w:caps w:val="false"/>
                <w:color w:val="c9a227"/>
                <w:sz w:val="12"/>
                <w:szCs w:val="12"/>
              </w:rPr>
              <w:t xml:space="preserve">   4.10 (p.21),  4.11 (p.23),  4.12 (p.25)</w:t>
            </w:r>
          </w:p>
          <w:p>
            <w:pPr>
              <w:spacing w:after="14" w:before="0"/>
            </w:pPr>
            <w:r>
              <w:rPr>
                <w:rFonts w:ascii="Arial" w:cs="Arial" w:eastAsia="Arial" w:hAnsi="Arial"/>
                <w:b/>
                <w:bCs/>
                <w:i w:val="false"/>
                <w:iCs w:val="false"/>
                <w:caps w:val="false"/>
                <w:color w:val="14335c"/>
                <w:sz w:val="15"/>
                <w:szCs w:val="15"/>
              </w:rPr>
              <w:t xml:space="preserve">Meropenem / carbapenem restriction</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NHSN surveillance definitions</w:t>
            </w:r>
            <w:r>
              <w:rPr>
                <w:rFonts w:ascii="Arial" w:cs="Arial" w:eastAsia="Arial" w:hAnsi="Arial"/>
                <w:b/>
                <w:bCs/>
                <w:i w:val="false"/>
                <w:iCs w:val="false"/>
                <w:caps w:val="false"/>
                <w:color w:val="c9a227"/>
                <w:sz w:val="12"/>
                <w:szCs w:val="12"/>
              </w:rPr>
              <w:t xml:space="preserve">   4.6 (p.13)</w:t>
            </w:r>
          </w:p>
          <w:p>
            <w:pPr>
              <w:spacing w:after="14" w:before="0"/>
            </w:pPr>
            <w:r>
              <w:rPr>
                <w:rFonts w:ascii="Arial" w:cs="Arial" w:eastAsia="Arial" w:hAnsi="Arial"/>
                <w:b/>
                <w:bCs/>
                <w:i w:val="false"/>
                <w:iCs w:val="false"/>
                <w:caps w:val="false"/>
                <w:color w:val="14335c"/>
                <w:sz w:val="15"/>
                <w:szCs w:val="15"/>
              </w:rPr>
              <w:t xml:space="preserve">NO status (RED) — definition</w:t>
            </w:r>
            <w:r>
              <w:rPr>
                <w:rFonts w:ascii="Arial" w:cs="Arial" w:eastAsia="Arial" w:hAnsi="Arial"/>
                <w:b/>
                <w:bCs/>
                <w:i w:val="false"/>
                <w:iCs w:val="false"/>
                <w:caps w:val="false"/>
                <w:color w:val="c9a227"/>
                <w:sz w:val="12"/>
                <w:szCs w:val="12"/>
              </w:rPr>
              <w:t xml:space="preserve">   Introduction (p.1)</w:t>
            </w:r>
          </w:p>
          <w:p>
            <w:pPr>
              <w:spacing w:after="14" w:before="0"/>
            </w:pPr>
            <w:r>
              <w:rPr>
                <w:rFonts w:ascii="Arial" w:cs="Arial" w:eastAsia="Arial" w:hAnsi="Arial"/>
                <w:b/>
                <w:bCs/>
                <w:i w:val="false"/>
                <w:iCs w:val="false"/>
                <w:caps w:val="false"/>
                <w:color w:val="14335c"/>
                <w:sz w:val="15"/>
                <w:szCs w:val="15"/>
              </w:rPr>
              <w:t xml:space="preserve">Outbreak response plan</w:t>
            </w:r>
            <w:r>
              <w:rPr>
                <w:rFonts w:ascii="Arial" w:cs="Arial" w:eastAsia="Arial" w:hAnsi="Arial"/>
                <w:b/>
                <w:bCs/>
                <w:i w:val="false"/>
                <w:iCs w:val="false"/>
                <w:caps w:val="false"/>
                <w:color w:val="c9a227"/>
                <w:sz w:val="12"/>
                <w:szCs w:val="12"/>
              </w:rPr>
              <w:t xml:space="preserve">   4.7 (p.15)</w:t>
            </w:r>
          </w:p>
          <w:p>
            <w:pPr>
              <w:spacing w:after="14" w:before="0"/>
            </w:pPr>
            <w:r>
              <w:rPr>
                <w:rFonts w:ascii="Arial" w:cs="Arial" w:eastAsia="Arial" w:hAnsi="Arial"/>
                <w:b/>
                <w:bCs/>
                <w:i w:val="false"/>
                <w:iCs w:val="false"/>
                <w:caps w:val="false"/>
                <w:color w:val="14335c"/>
                <w:sz w:val="15"/>
                <w:szCs w:val="15"/>
              </w:rPr>
              <w:t xml:space="preserve">PARTIAL status (AMBER) — definition</w:t>
            </w:r>
            <w:r>
              <w:rPr>
                <w:rFonts w:ascii="Arial" w:cs="Arial" w:eastAsia="Arial" w:hAnsi="Arial"/>
                <w:b/>
                <w:bCs/>
                <w:i w:val="false"/>
                <w:iCs w:val="false"/>
                <w:caps w:val="false"/>
                <w:color w:val="c9a227"/>
                <w:sz w:val="12"/>
                <w:szCs w:val="12"/>
              </w:rPr>
              <w:t xml:space="preserve">   Introduction (p.1)</w:t>
            </w:r>
          </w:p>
          <w:p>
            <w:pPr>
              <w:spacing w:after="14" w:before="0"/>
            </w:pPr>
            <w:r>
              <w:rPr>
                <w:rFonts w:ascii="Arial" w:cs="Arial" w:eastAsia="Arial" w:hAnsi="Arial"/>
                <w:b/>
                <w:bCs/>
                <w:i w:val="false"/>
                <w:iCs w:val="false"/>
                <w:caps w:val="false"/>
                <w:color w:val="14335c"/>
                <w:sz w:val="15"/>
                <w:szCs w:val="15"/>
              </w:rPr>
              <w:t xml:space="preserve">Patient engagement</w:t>
            </w:r>
            <w:r>
              <w:rPr>
                <w:rFonts w:ascii="Arial" w:cs="Arial" w:eastAsia="Arial" w:hAnsi="Arial"/>
                <w:b/>
                <w:bCs/>
                <w:i w:val="false"/>
                <w:iCs w:val="false"/>
                <w:caps w:val="false"/>
                <w:color w:val="c9a227"/>
                <w:sz w:val="12"/>
                <w:szCs w:val="12"/>
              </w:rPr>
              <w:t xml:space="preserve">   4.12 (p.25)</w:t>
            </w:r>
          </w:p>
          <w:p>
            <w:pPr>
              <w:spacing w:after="14" w:before="0"/>
            </w:pPr>
            <w:r>
              <w:rPr>
                <w:rFonts w:ascii="Arial" w:cs="Arial" w:eastAsia="Arial" w:hAnsi="Arial"/>
                <w:b/>
                <w:bCs/>
                <w:i w:val="false"/>
                <w:iCs w:val="false"/>
                <w:caps w:val="false"/>
                <w:color w:val="14335c"/>
                <w:sz w:val="15"/>
                <w:szCs w:val="15"/>
              </w:rPr>
              <w:t xml:space="preserve">Patient satisfaction survey (IPC)</w:t>
            </w:r>
            <w:r>
              <w:rPr>
                <w:rFonts w:ascii="Arial" w:cs="Arial" w:eastAsia="Arial" w:hAnsi="Arial"/>
                <w:b/>
                <w:bCs/>
                <w:i w:val="false"/>
                <w:iCs w:val="false"/>
                <w:caps w:val="false"/>
                <w:color w:val="c9a227"/>
                <w:sz w:val="12"/>
                <w:szCs w:val="12"/>
              </w:rPr>
              <w:t xml:space="preserve">   4.12 (p.25)</w:t>
            </w:r>
          </w:p>
          <w:p>
            <w:pPr>
              <w:spacing w:after="14" w:before="0"/>
            </w:pPr>
            <w:r>
              <w:rPr>
                <w:rFonts w:ascii="Arial" w:cs="Arial" w:eastAsia="Arial" w:hAnsi="Arial"/>
                <w:b/>
                <w:bCs/>
                <w:i w:val="false"/>
                <w:iCs w:val="false"/>
                <w:caps w:val="false"/>
                <w:color w:val="14335c"/>
                <w:sz w:val="15"/>
                <w:szCs w:val="15"/>
              </w:rPr>
              <w:t xml:space="preserve">Pharmaceutical waste</w:t>
            </w:r>
            <w:r>
              <w:rPr>
                <w:rFonts w:ascii="Arial" w:cs="Arial" w:eastAsia="Arial" w:hAnsi="Arial"/>
                <w:b/>
                <w:bCs/>
                <w:i w:val="false"/>
                <w:iCs w:val="false"/>
                <w:caps w:val="false"/>
                <w:color w:val="c9a227"/>
                <w:sz w:val="12"/>
                <w:szCs w:val="12"/>
              </w:rPr>
              <w:t xml:space="preserve">   4.3 (p.7)</w:t>
            </w:r>
          </w:p>
          <w:p>
            <w:pPr>
              <w:spacing w:after="14" w:before="0"/>
            </w:pPr>
            <w:r>
              <w:rPr>
                <w:rFonts w:ascii="Arial" w:cs="Arial" w:eastAsia="Arial" w:hAnsi="Arial"/>
                <w:b/>
                <w:bCs/>
                <w:i w:val="false"/>
                <w:iCs w:val="false"/>
                <w:caps w:val="false"/>
                <w:color w:val="14335c"/>
                <w:sz w:val="15"/>
                <w:szCs w:val="15"/>
              </w:rPr>
              <w:t xml:space="preserve">PPE (personal protective equipment)</w:t>
            </w:r>
            <w:r>
              <w:rPr>
                <w:rFonts w:ascii="Arial" w:cs="Arial" w:eastAsia="Arial" w:hAnsi="Arial"/>
                <w:b/>
                <w:bCs/>
                <w:i w:val="false"/>
                <w:iCs w:val="false"/>
                <w:caps w:val="false"/>
                <w:color w:val="c9a227"/>
                <w:sz w:val="12"/>
                <w:szCs w:val="12"/>
              </w:rPr>
              <w:t xml:space="preserve">   4.2 (p.5),  4.9 (p.19)</w:t>
            </w:r>
          </w:p>
          <w:p>
            <w:pPr>
              <w:spacing w:after="14" w:before="0"/>
            </w:pPr>
            <w:r>
              <w:rPr>
                <w:rFonts w:ascii="Arial" w:cs="Arial" w:eastAsia="Arial" w:hAnsi="Arial"/>
                <w:b/>
                <w:bCs/>
                <w:i w:val="false"/>
                <w:iCs w:val="false"/>
                <w:caps w:val="false"/>
                <w:color w:val="14335c"/>
                <w:sz w:val="15"/>
                <w:szCs w:val="15"/>
              </w:rPr>
              <w:t xml:space="preserve">Prescription review</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Public health authority notification</w:t>
            </w:r>
            <w:r>
              <w:rPr>
                <w:rFonts w:ascii="Arial" w:cs="Arial" w:eastAsia="Arial" w:hAnsi="Arial"/>
                <w:b/>
                <w:bCs/>
                <w:i w:val="false"/>
                <w:iCs w:val="false"/>
                <w:caps w:val="false"/>
                <w:color w:val="c9a227"/>
                <w:sz w:val="12"/>
                <w:szCs w:val="12"/>
              </w:rPr>
              <w:t xml:space="preserve">   4.7 (p.15)</w:t>
            </w:r>
          </w:p>
          <w:p>
            <w:pPr>
              <w:spacing w:after="14" w:before="0"/>
            </w:pPr>
            <w:r>
              <w:rPr>
                <w:rFonts w:ascii="Arial" w:cs="Arial" w:eastAsia="Arial" w:hAnsi="Arial"/>
                <w:b/>
                <w:bCs/>
                <w:i w:val="false"/>
                <w:iCs w:val="false"/>
                <w:caps w:val="false"/>
                <w:color w:val="14335c"/>
                <w:sz w:val="15"/>
                <w:szCs w:val="15"/>
              </w:rPr>
              <w:t xml:space="preserve">Restricted antibiotic list</w:t>
            </w:r>
            <w:r>
              <w:rPr>
                <w:rFonts w:ascii="Arial" w:cs="Arial" w:eastAsia="Arial" w:hAnsi="Arial"/>
                <w:b/>
                <w:bCs/>
                <w:i w:val="false"/>
                <w:iCs w:val="false"/>
                <w:caps w:val="false"/>
                <w:color w:val="c9a227"/>
                <w:sz w:val="12"/>
                <w:szCs w:val="12"/>
              </w:rPr>
              <w:t xml:space="preserve">   4.10 (p.21)</w:t>
            </w:r>
          </w:p>
          <w:p>
            <w:pPr>
              <w:spacing w:after="14" w:before="0"/>
            </w:pPr>
            <w:r>
              <w:rPr>
                <w:rFonts w:ascii="Arial" w:cs="Arial" w:eastAsia="Arial" w:hAnsi="Arial"/>
                <w:b/>
                <w:bCs/>
                <w:i w:val="false"/>
                <w:iCs w:val="false"/>
                <w:caps w:val="false"/>
                <w:color w:val="14335c"/>
                <w:sz w:val="15"/>
                <w:szCs w:val="15"/>
              </w:rPr>
              <w:t xml:space="preserve">Sharps container</w:t>
            </w:r>
            <w:r>
              <w:rPr>
                <w:rFonts w:ascii="Arial" w:cs="Arial" w:eastAsia="Arial" w:hAnsi="Arial"/>
                <w:b/>
                <w:bCs/>
                <w:i w:val="false"/>
                <w:iCs w:val="false"/>
                <w:caps w:val="false"/>
                <w:color w:val="c9a227"/>
                <w:sz w:val="12"/>
                <w:szCs w:val="12"/>
              </w:rPr>
              <w:t xml:space="preserve">   4.3 (p.7)</w:t>
            </w:r>
          </w:p>
          <w:p>
            <w:pPr>
              <w:spacing w:after="14" w:before="0"/>
            </w:pPr>
            <w:r>
              <w:rPr>
                <w:rFonts w:ascii="Arial" w:cs="Arial" w:eastAsia="Arial" w:hAnsi="Arial"/>
                <w:b/>
                <w:bCs/>
                <w:i w:val="false"/>
                <w:iCs w:val="false"/>
                <w:caps w:val="false"/>
                <w:color w:val="14335c"/>
                <w:sz w:val="15"/>
                <w:szCs w:val="15"/>
              </w:rPr>
              <w:t xml:space="preserve">Sphere Handbook</w:t>
            </w:r>
            <w:r>
              <w:rPr>
                <w:rFonts w:ascii="Arial" w:cs="Arial" w:eastAsia="Arial" w:hAnsi="Arial"/>
                <w:b/>
                <w:bCs/>
                <w:i w:val="false"/>
                <w:iCs w:val="false"/>
                <w:caps w:val="false"/>
                <w:color w:val="c9a227"/>
                <w:sz w:val="12"/>
                <w:szCs w:val="12"/>
              </w:rPr>
              <w:t xml:space="preserve">   4.1 (p.3),  4.3 (p.7),  4.7 (p.15)</w:t>
            </w:r>
          </w:p>
          <w:p>
            <w:pPr>
              <w:spacing w:after="14" w:before="0"/>
            </w:pPr>
            <w:r>
              <w:rPr>
                <w:rFonts w:ascii="Arial" w:cs="Arial" w:eastAsia="Arial" w:hAnsi="Arial"/>
                <w:b/>
                <w:bCs/>
                <w:i w:val="false"/>
                <w:iCs w:val="false"/>
                <w:caps w:val="false"/>
                <w:color w:val="14335c"/>
                <w:sz w:val="15"/>
                <w:szCs w:val="15"/>
              </w:rPr>
              <w:t xml:space="preserve">SSI — surgical site infection</w:t>
            </w:r>
            <w:r>
              <w:rPr>
                <w:rFonts w:ascii="Arial" w:cs="Arial" w:eastAsia="Arial" w:hAnsi="Arial"/>
                <w:b/>
                <w:bCs/>
                <w:i w:val="false"/>
                <w:iCs w:val="false"/>
                <w:caps w:val="false"/>
                <w:color w:val="c9a227"/>
                <w:sz w:val="12"/>
                <w:szCs w:val="12"/>
              </w:rPr>
              <w:t xml:space="preserve">   4.6 (p.13),  4.11 (p.23)</w:t>
            </w:r>
          </w:p>
          <w:p>
            <w:pPr>
              <w:spacing w:after="14" w:before="0"/>
            </w:pPr>
            <w:r>
              <w:rPr>
                <w:rFonts w:ascii="Arial" w:cs="Arial" w:eastAsia="Arial" w:hAnsi="Arial"/>
                <w:b/>
                <w:bCs/>
                <w:i w:val="false"/>
                <w:iCs w:val="false"/>
                <w:caps w:val="false"/>
                <w:color w:val="14335c"/>
                <w:sz w:val="15"/>
                <w:szCs w:val="15"/>
              </w:rPr>
              <w:t xml:space="preserve">Surveillance — infection rate</w:t>
            </w:r>
            <w:r>
              <w:rPr>
                <w:rFonts w:ascii="Arial" w:cs="Arial" w:eastAsia="Arial" w:hAnsi="Arial"/>
                <w:b/>
                <w:bCs/>
                <w:i w:val="false"/>
                <w:iCs w:val="false"/>
                <w:caps w:val="false"/>
                <w:color w:val="c9a227"/>
                <w:sz w:val="12"/>
                <w:szCs w:val="12"/>
              </w:rPr>
              <w:t xml:space="preserve">   4.6 (p.13)</w:t>
            </w:r>
          </w:p>
          <w:p>
            <w:pPr>
              <w:spacing w:after="14" w:before="0"/>
            </w:pPr>
            <w:r>
              <w:rPr>
                <w:rFonts w:ascii="Arial" w:cs="Arial" w:eastAsia="Arial" w:hAnsi="Arial"/>
                <w:b/>
                <w:bCs/>
                <w:i w:val="false"/>
                <w:iCs w:val="false"/>
                <w:caps w:val="false"/>
                <w:color w:val="14335c"/>
                <w:sz w:val="15"/>
                <w:szCs w:val="15"/>
              </w:rPr>
              <w:t xml:space="preserve">Surveyor methods: OBSERVE/DOCUMENT/ASK</w:t>
            </w:r>
            <w:r>
              <w:rPr>
                <w:rFonts w:ascii="Arial" w:cs="Arial" w:eastAsia="Arial" w:hAnsi="Arial"/>
                <w:b/>
                <w:bCs/>
                <w:i w:val="false"/>
                <w:iCs w:val="false"/>
                <w:caps w:val="false"/>
                <w:color w:val="c9a227"/>
                <w:sz w:val="12"/>
                <w:szCs w:val="12"/>
              </w:rPr>
              <w:t xml:space="preserve">   All standards (p.3–25)</w:t>
            </w:r>
          </w:p>
          <w:p>
            <w:pPr>
              <w:spacing w:after="14" w:before="0"/>
            </w:pPr>
            <w:r>
              <w:rPr>
                <w:rFonts w:ascii="Arial" w:cs="Arial" w:eastAsia="Arial" w:hAnsi="Arial"/>
                <w:b/>
                <w:bCs/>
                <w:i w:val="false"/>
                <w:iCs w:val="false"/>
                <w:caps w:val="false"/>
                <w:color w:val="14335c"/>
                <w:sz w:val="15"/>
                <w:szCs w:val="15"/>
              </w:rPr>
              <w:t xml:space="preserve">Transmission-based precautions</w:t>
            </w:r>
            <w:r>
              <w:rPr>
                <w:rFonts w:ascii="Arial" w:cs="Arial" w:eastAsia="Arial" w:hAnsi="Arial"/>
                <w:b/>
                <w:bCs/>
                <w:i w:val="false"/>
                <w:iCs w:val="false"/>
                <w:caps w:val="false"/>
                <w:color w:val="c9a227"/>
                <w:sz w:val="12"/>
                <w:szCs w:val="12"/>
              </w:rPr>
              <w:t xml:space="preserve">   4.9 (p.19)</w:t>
            </w:r>
          </w:p>
          <w:p>
            <w:pPr>
              <w:spacing w:after="14" w:before="0"/>
            </w:pPr>
            <w:r>
              <w:rPr>
                <w:rFonts w:ascii="Arial" w:cs="Arial" w:eastAsia="Arial" w:hAnsi="Arial"/>
                <w:b/>
                <w:bCs/>
                <w:i w:val="false"/>
                <w:iCs w:val="false"/>
                <w:caps w:val="false"/>
                <w:color w:val="14335c"/>
                <w:sz w:val="15"/>
                <w:szCs w:val="15"/>
              </w:rPr>
              <w:t xml:space="preserve">Tuberculosis (TB)</w:t>
            </w:r>
            <w:r>
              <w:rPr>
                <w:rFonts w:ascii="Arial" w:cs="Arial" w:eastAsia="Arial" w:hAnsi="Arial"/>
                <w:b/>
                <w:bCs/>
                <w:i w:val="false"/>
                <w:iCs w:val="false"/>
                <w:caps w:val="false"/>
                <w:color w:val="c9a227"/>
                <w:sz w:val="12"/>
                <w:szCs w:val="12"/>
              </w:rPr>
              <w:t xml:space="preserve">   4.9 (p.19)</w:t>
            </w:r>
          </w:p>
          <w:p>
            <w:pPr>
              <w:spacing w:after="14" w:before="0"/>
            </w:pPr>
            <w:r>
              <w:rPr>
                <w:rFonts w:ascii="Arial" w:cs="Arial" w:eastAsia="Arial" w:hAnsi="Arial"/>
                <w:b/>
                <w:bCs/>
                <w:i w:val="false"/>
                <w:iCs w:val="false"/>
                <w:caps w:val="false"/>
                <w:color w:val="14335c"/>
                <w:sz w:val="15"/>
                <w:szCs w:val="15"/>
              </w:rPr>
              <w:t xml:space="preserve">Vancouver reference style</w:t>
            </w:r>
            <w:r>
              <w:rPr>
                <w:rFonts w:ascii="Arial" w:cs="Arial" w:eastAsia="Arial" w:hAnsi="Arial"/>
                <w:b/>
                <w:bCs/>
                <w:i w:val="false"/>
                <w:iCs w:val="false"/>
                <w:caps w:val="false"/>
                <w:color w:val="c9a227"/>
                <w:sz w:val="12"/>
                <w:szCs w:val="12"/>
              </w:rPr>
              <w:t xml:space="preserve">   References (p.29)</w:t>
            </w:r>
          </w:p>
          <w:p>
            <w:pPr>
              <w:spacing w:after="14" w:before="0"/>
            </w:pPr>
            <w:r>
              <w:rPr>
                <w:rFonts w:ascii="Arial" w:cs="Arial" w:eastAsia="Arial" w:hAnsi="Arial"/>
                <w:b/>
                <w:bCs/>
                <w:i w:val="false"/>
                <w:iCs w:val="false"/>
                <w:caps w:val="false"/>
                <w:color w:val="14335c"/>
                <w:sz w:val="15"/>
                <w:szCs w:val="15"/>
              </w:rPr>
              <w:t xml:space="preserve">Waste management</w:t>
            </w:r>
            <w:r>
              <w:rPr>
                <w:rFonts w:ascii="Arial" w:cs="Arial" w:eastAsia="Arial" w:hAnsi="Arial"/>
                <w:b/>
                <w:bCs/>
                <w:i w:val="false"/>
                <w:iCs w:val="false"/>
                <w:caps w:val="false"/>
                <w:color w:val="c9a227"/>
                <w:sz w:val="12"/>
                <w:szCs w:val="12"/>
              </w:rPr>
              <w:t xml:space="preserve">   4.3 (p.7)</w:t>
            </w:r>
          </w:p>
          <w:p>
            <w:pPr>
              <w:spacing w:after="14" w:before="0"/>
            </w:pPr>
            <w:r>
              <w:rPr>
                <w:rFonts w:ascii="Arial" w:cs="Arial" w:eastAsia="Arial" w:hAnsi="Arial"/>
                <w:b/>
                <w:bCs/>
                <w:i w:val="false"/>
                <w:iCs w:val="false"/>
                <w:caps w:val="false"/>
                <w:color w:val="14335c"/>
                <w:sz w:val="15"/>
                <w:szCs w:val="15"/>
              </w:rPr>
              <w:t xml:space="preserve">WHO 5 Moments for hand hygiene</w:t>
            </w:r>
            <w:r>
              <w:rPr>
                <w:rFonts w:ascii="Arial" w:cs="Arial" w:eastAsia="Arial" w:hAnsi="Arial"/>
                <w:b/>
                <w:bCs/>
                <w:i w:val="false"/>
                <w:iCs w:val="false"/>
                <w:caps w:val="false"/>
                <w:color w:val="c9a227"/>
                <w:sz w:val="12"/>
                <w:szCs w:val="12"/>
              </w:rPr>
              <w:t xml:space="preserve">   4.1 (p.3),  4.8 (p.17)</w:t>
            </w:r>
          </w:p>
          <w:p>
            <w:pPr>
              <w:spacing w:after="14" w:before="0"/>
            </w:pPr>
            <w:r>
              <w:rPr>
                <w:rFonts w:ascii="Arial" w:cs="Arial" w:eastAsia="Arial" w:hAnsi="Arial"/>
                <w:b/>
                <w:bCs/>
                <w:i w:val="false"/>
                <w:iCs w:val="false"/>
                <w:caps w:val="false"/>
                <w:color w:val="14335c"/>
                <w:sz w:val="15"/>
                <w:szCs w:val="15"/>
              </w:rPr>
              <w:t xml:space="preserve">WHO core components (IPC)</w:t>
            </w:r>
            <w:r>
              <w:rPr>
                <w:rFonts w:ascii="Arial" w:cs="Arial" w:eastAsia="Arial" w:hAnsi="Arial"/>
                <w:b/>
                <w:bCs/>
                <w:i w:val="false"/>
                <w:iCs w:val="false"/>
                <w:caps w:val="false"/>
                <w:color w:val="c9a227"/>
                <w:sz w:val="12"/>
                <w:szCs w:val="12"/>
              </w:rPr>
              <w:t xml:space="preserve">   4.5 (p.11)</w:t>
            </w:r>
          </w:p>
          <w:p>
            <w:pPr>
              <w:spacing w:after="14" w:before="0"/>
            </w:pPr>
            <w:r>
              <w:rPr>
                <w:rFonts w:ascii="Arial" w:cs="Arial" w:eastAsia="Arial" w:hAnsi="Arial"/>
                <w:b/>
                <w:bCs/>
                <w:i w:val="false"/>
                <w:iCs w:val="false"/>
                <w:caps w:val="false"/>
                <w:color w:val="14335c"/>
                <w:sz w:val="15"/>
                <w:szCs w:val="15"/>
              </w:rPr>
              <w:t xml:space="preserve">Work plan — IPC annual</w:t>
            </w:r>
            <w:r>
              <w:rPr>
                <w:rFonts w:ascii="Arial" w:cs="Arial" w:eastAsia="Arial" w:hAnsi="Arial"/>
                <w:b/>
                <w:bCs/>
                <w:i w:val="false"/>
                <w:iCs w:val="false"/>
                <w:caps w:val="false"/>
                <w:color w:val="c9a227"/>
                <w:sz w:val="12"/>
                <w:szCs w:val="12"/>
              </w:rPr>
              <w:t xml:space="preserve">   4.5 (p.11)</w:t>
            </w:r>
          </w:p>
          <w:p>
            <w:pPr>
              <w:spacing w:after="14" w:before="0"/>
            </w:pPr>
            <w:r>
              <w:rPr>
                <w:rFonts w:ascii="Arial" w:cs="Arial" w:eastAsia="Arial" w:hAnsi="Arial"/>
                <w:b/>
                <w:bCs/>
                <w:i w:val="false"/>
                <w:iCs w:val="false"/>
                <w:caps w:val="false"/>
                <w:color w:val="14335c"/>
                <w:sz w:val="15"/>
                <w:szCs w:val="15"/>
              </w:rPr>
              <w:t xml:space="preserve">YES status (GREEN) — definition</w:t>
            </w:r>
            <w:r>
              <w:rPr>
                <w:rFonts w:ascii="Arial" w:cs="Arial" w:eastAsia="Arial" w:hAnsi="Arial"/>
                <w:b/>
                <w:bCs/>
                <w:i w:val="false"/>
                <w:iCs w:val="false"/>
                <w:caps w:val="false"/>
                <w:color w:val="c9a227"/>
                <w:sz w:val="12"/>
                <w:szCs w:val="12"/>
              </w:rPr>
              <w:t xml:space="preserve">   Introduction (p.1)</w:t>
            </w:r>
          </w:p>
        </w:tc>
      </w:tr>
    </w:tbl>
    <w:p>
      <w:pPr>
        <w:spacing w:after="36" w:before="24"/>
      </w:pPr>
      <w:r>
        <w:rPr>
          <w:rFonts w:ascii="Arial" w:cs="Arial" w:eastAsia="Arial" w:hAnsi="Arial"/>
          <w:b w:val="false"/>
          <w:bCs w:val="false"/>
          <w:i w:val="false"/>
          <w:iCs w:val="false"/>
          <w:caps w:val="false"/>
          <w:color w:val="374151"/>
          <w:sz w:val="18"/>
          <w:szCs w:val="18"/>
        </w:rPr>
        <w:t xml:space="preserve"/>
      </w:r>
    </w:p>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4 — Infection Prevention and Control. Version 2.0. Paris: ASF; 2025.   </w:t>
    </w:r>
    <w:r>
      <w:rPr>
        <w:rFonts w:ascii="Arial" w:cs="Arial" w:eastAsia="Arial" w:hAnsi="Arial"/>
        <w:i/>
        <w:iCs/>
        <w:color w:val="aaaaaa"/>
        <w:sz w:val="16"/>
        <w:szCs w:val="16"/>
      </w:rPr>
      <w:t xml:space="preserve">Ref: ASF-CH4-IPC-v2.0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fra74kks4peeqptazcv" Type="http://schemas.openxmlformats.org/officeDocument/2006/relationships/hyperlink" Target="https://france-asf.fr" TargetMode="External"/><Relationship Id="rIdaxwwqdornaz9zu8rslm4b" Type="http://schemas.openxmlformats.org/officeDocument/2006/relationships/hyperlink" Target="mailto:info@france-asf.fr" TargetMode="External"/><Relationship Id="rIdk9ig1g4ovt1ihupyo_nzz" Type="http://schemas.openxmlformats.org/officeDocument/2006/relationships/hyperlink" Target="https://academy.gmj.ge" TargetMode="External"/><Relationship Id="rIdsabwebubvlssalpiov1p_" Type="http://schemas.openxmlformats.org/officeDocument/2006/relationships/hyperlink" Target="mailto:info@france-asf.fr" TargetMode="External"/><Relationship Id="rIdghvcm_cudwoaey31mmjwo" Type="http://schemas.openxmlformats.org/officeDocument/2006/relationships/hyperlink" Target="https://france-asf.fr" TargetMode="External"/><Relationship Id="rIdxoob9s6-imcgrgkfr2lio" Type="http://schemas.openxmlformats.org/officeDocument/2006/relationships/hyperlink" Target="https://academy.gmj.ge" TargetMode="External"/><Relationship Id="rIdetwlyvx9rzlpskbfdynaa" Type="http://schemas.openxmlformats.org/officeDocument/2006/relationships/hyperlink" Target="mailto:info@france-asf.fr" TargetMode="External"/><Relationship Id="rId4gwmp1-alnpyb9mklrcnz" Type="http://schemas.openxmlformats.org/officeDocument/2006/relationships/hyperlink" Target="https://www.who.int/publications/i/item/9789241597906" TargetMode="External"/><Relationship Id="rId2tvtxn5d6rurhapahdmfz" Type="http://schemas.openxmlformats.org/officeDocument/2006/relationships/hyperlink" Target="https://www.who.int/docs/default-source/infection-prevention-and-control/hand-hygiene-why-how-when.pdf" TargetMode="External"/><Relationship Id="rIdwgacexoiypigm9fqz3cwh" Type="http://schemas.openxmlformats.org/officeDocument/2006/relationships/hyperlink" Target="https://spherestandards.org/handbook/" TargetMode="External"/><Relationship Id="rIdpju05bv1me3pgft9f1yw7" Type="http://schemas.openxmlformats.org/officeDocument/2006/relationships/hyperlink" Target="https://www.iom.int/resources/infection-prevention-and-control-migration-health" TargetMode="External"/><Relationship Id="rId7mvimihngbzjtv6vlyzph" Type="http://schemas.openxmlformats.org/officeDocument/2006/relationships/hyperlink" Target="https://doi.org/10.1016/S0140-6736(00)02814-2" TargetMode="External"/><Relationship Id="rIdxjjdbmb9utbvcvlb07i2j" Type="http://schemas.openxmlformats.org/officeDocument/2006/relationships/hyperlink" Target="https://academy.gmj.ge/ipc-4-1-hand-hygiene" TargetMode="External"/><Relationship Id="rIdchj3j3bcbltikbpmajzhn" Type="http://schemas.openxmlformats.org/officeDocument/2006/relationships/hyperlink" Target="https://www.who.int/publications/i/item/rational-use-of-personal-protective-equipment-for-coronavirus-disease-(covid-19)-and-considerations-during-severe-shortages" TargetMode="External"/><Relationship Id="rIdehisygnrfheqzv0ym4aob" Type="http://schemas.openxmlformats.org/officeDocument/2006/relationships/hyperlink" Target="https://www.who.int/occupational_health/publications/en/" TargetMode="External"/><Relationship Id="rId-uhnwvxvvpyvj-jn4rwby" Type="http://schemas.openxmlformats.org/officeDocument/2006/relationships/hyperlink" Target="https://www.iom.int/resources/infection-prevention-and-control-migration-health" TargetMode="External"/><Relationship Id="rIdg9z0aea6y7llqzrhxzjjr" Type="http://schemas.openxmlformats.org/officeDocument/2006/relationships/hyperlink" Target="https://academy.gmj.ge/ipc-4-2-ppe" TargetMode="External"/><Relationship Id="rIdxs6bdxlgc040yge-frkpm" Type="http://schemas.openxmlformats.org/officeDocument/2006/relationships/hyperlink" Target="https://www.who.int/publications/i/item/9789241548274" TargetMode="External"/><Relationship Id="rId4ivdfsovltzpmibhgv5y4" Type="http://schemas.openxmlformats.org/officeDocument/2006/relationships/hyperlink" Target="https://spherestandards.org/handbook/" TargetMode="External"/><Relationship Id="rId8o3yqmz04wifg5azcskne" Type="http://schemas.openxmlformats.org/officeDocument/2006/relationships/hyperlink" Target="https://www.who.int/news-room/fact-sheets/detail/health-care-waste" TargetMode="External"/><Relationship Id="rIduqrhpe9g0kfblatkffq67" Type="http://schemas.openxmlformats.org/officeDocument/2006/relationships/hyperlink" Target="https://academy.gmj.ge/ipc-4-3-waste" TargetMode="External"/><Relationship Id="rIdsplexxnfjeygah6cd4lok" Type="http://schemas.openxmlformats.org/officeDocument/2006/relationships/hyperlink" Target="https://www.who.int/publications/i/item/decontamination-and-reprocessing-of-medical-devices" TargetMode="External"/><Relationship Id="rIdmudtbdr0hmla7d_p4siy3" Type="http://schemas.openxmlformats.org/officeDocument/2006/relationships/hyperlink" Target="https://doi.org/10.1055/a-0759-1629" TargetMode="External"/><Relationship Id="rIdxxjxavv0uffdadxm1r_8d" Type="http://schemas.openxmlformats.org/officeDocument/2006/relationships/hyperlink" Target="https://www.who.int/publications/i/item/practical-guidelines-for-infection-control-in-health-care-facilities" TargetMode="External"/><Relationship Id="rId0slph5w7yfpjatlwfhsmw" Type="http://schemas.openxmlformats.org/officeDocument/2006/relationships/hyperlink" Target="https://academy.gmj.ge/ipc-4-4-decontamination" TargetMode="External"/><Relationship Id="rIdgmsjaetig7i3jjun_znwz" Type="http://schemas.openxmlformats.org/officeDocument/2006/relationships/hyperlink" Target="https://www.who.int/publications/i/item/9789241549899" TargetMode="External"/><Relationship Id="rIdxuqjubhcdc9qtlberjtnb" Type="http://schemas.openxmlformats.org/officeDocument/2006/relationships/hyperlink" Target="https://www.who.int/initiatives/glass" TargetMode="External"/><Relationship Id="rIdd70ofxmz6bvjdwnhdng7f" Type="http://schemas.openxmlformats.org/officeDocument/2006/relationships/hyperlink" Target="https://www.iom.int/resources/infection-prevention-and-control-migration-health" TargetMode="External"/><Relationship Id="rId9yfd0gyymcyptyppixqlb" Type="http://schemas.openxmlformats.org/officeDocument/2006/relationships/hyperlink" Target="https://academy.gmj.ge/ipc-4-5-programme" TargetMode="External"/><Relationship Id="rIdxc-mff2d0h0emsvfnnpij" Type="http://schemas.openxmlformats.org/officeDocument/2006/relationships/hyperlink" Target="https://www.who.int/publications/i/item/9789240046252" TargetMode="External"/><Relationship Id="rIdsczcukwdxnqvdzxzqxg9e" Type="http://schemas.openxmlformats.org/officeDocument/2006/relationships/hyperlink" Target="https://www.cdc.gov/nhsn/pdfs/pscmanual/17pscnosinfdef_current.pdf" TargetMode="External"/><Relationship Id="rId2bgybsy755_8tqhid8nxr" Type="http://schemas.openxmlformats.org/officeDocument/2006/relationships/hyperlink" Target="https://www.iom.int/resources/infection-prevention-and-control-migration-health" TargetMode="External"/><Relationship Id="rIdh5_6wbzr-syrho6y_pqkh" Type="http://schemas.openxmlformats.org/officeDocument/2006/relationships/hyperlink" Target="https://academy.gmj.ge/ipc-4-6-surveillance" TargetMode="External"/><Relationship Id="rId2fe7m0vtzuebcnrq77c7p" Type="http://schemas.openxmlformats.org/officeDocument/2006/relationships/hyperlink" Target="https://www.who.int/publications/i/item/managing-epidemics-key-facts-about-major-deadly-diseases" TargetMode="External"/><Relationship Id="rId8l2a1sy-bshck0iwg5uep" Type="http://schemas.openxmlformats.org/officeDocument/2006/relationships/hyperlink" Target="https://www.who.int/publications/i/item/9789241596664" TargetMode="External"/><Relationship Id="rId4zw2juaxp_g3jp7ykhaz-" Type="http://schemas.openxmlformats.org/officeDocument/2006/relationships/hyperlink" Target="https://spherestandards.org/handbook/" TargetMode="External"/><Relationship Id="rIdr_aje0cuqjphybuoiaxfc" Type="http://schemas.openxmlformats.org/officeDocument/2006/relationships/hyperlink" Target="https://academy.gmj.ge/ipc-4-7-outbreak" TargetMode="External"/><Relationship Id="rIdtrmzyftenspgo8bnlnfl5" Type="http://schemas.openxmlformats.org/officeDocument/2006/relationships/hyperlink" Target="https://www.who.int/publications/i/item/9789241549899" TargetMode="External"/><Relationship Id="rIdejdg2_e_iyssy_mralwzs" Type="http://schemas.openxmlformats.org/officeDocument/2006/relationships/hyperlink" Target="https://www.iom.int/resources/infection-prevention-and-control-migration-health" TargetMode="External"/><Relationship Id="rIdxq3p3higar4absaodmmpb" Type="http://schemas.openxmlformats.org/officeDocument/2006/relationships/hyperlink" Target="https://academy.gmj.ge" TargetMode="External"/><Relationship Id="rId-hohm-mrgl4msq1ecucyl" Type="http://schemas.openxmlformats.org/officeDocument/2006/relationships/hyperlink" Target="https://academy.gmj.ge/ipc-4-8-training" TargetMode="External"/><Relationship Id="rId4kydajbyjgibkqthfbyuf" Type="http://schemas.openxmlformats.org/officeDocument/2006/relationships/hyperlink" Target="https://www.who.int/publications/i/item/9789241516839" TargetMode="External"/><Relationship Id="rId_1szflf9ysozmjidk4ok9" Type="http://schemas.openxmlformats.org/officeDocument/2006/relationships/hyperlink" Target="https://www.who.int/publications/i/item/natural-ventilation-for-infection-control-in-health-care-settings" TargetMode="External"/><Relationship Id="rId2frekxswqt3dw8hsotztl" Type="http://schemas.openxmlformats.org/officeDocument/2006/relationships/hyperlink" Target="https://www.unhcr.org/publications/technical/5e7c9eb54/covid-19-infection-prevention-and-control-guidance-for-refugee-settings.html" TargetMode="External"/><Relationship Id="rIdf6luv58n8pkadxcfyexqc" Type="http://schemas.openxmlformats.org/officeDocument/2006/relationships/hyperlink" Target="https://academy.gmj.ge/ipc-4-9-isolation" TargetMode="External"/><Relationship Id="rIdqsqffjp4stp8zhf6iiipl" Type="http://schemas.openxmlformats.org/officeDocument/2006/relationships/hyperlink" Target="https://www.who.int/publications/i/item/9789241515528" TargetMode="External"/><Relationship Id="rId0hlne9pwrwgkp4w5rv25z" Type="http://schemas.openxmlformats.org/officeDocument/2006/relationships/hyperlink" Target="https://www.who.int/initiatives/glass" TargetMode="External"/><Relationship Id="rIdctcgvoe9e4feigbos5rza" Type="http://schemas.openxmlformats.org/officeDocument/2006/relationships/hyperlink" Target="https://www.iom.int/resources/infection-prevention-and-control-migration-health" TargetMode="External"/><Relationship Id="rIdruuvcjuudw1dhaeyzkejv" Type="http://schemas.openxmlformats.org/officeDocument/2006/relationships/hyperlink" Target="https://academy.gmj.ge/ipc-4-10-stewardship" TargetMode="External"/><Relationship Id="rIdkt4lrf_gb8nadld0w67md" Type="http://schemas.openxmlformats.org/officeDocument/2006/relationships/hyperlink" Target="https://www.who.int/publications/i/item/9789240046252" TargetMode="External"/><Relationship Id="rIdifieyhoqdmfnb5d0obhnw" Type="http://schemas.openxmlformats.org/officeDocument/2006/relationships/hyperlink" Target="https://www.ecdc.europa.eu/en/healthcare-associated-infections-surveillance" TargetMode="External"/><Relationship Id="rIdpsivmcuotts1bpv52fqwa" Type="http://schemas.openxmlformats.org/officeDocument/2006/relationships/hyperlink" Target="https://france-asf.fr" TargetMode="External"/><Relationship Id="rIdm4_vyjepxl0uf4nz_aek5" Type="http://schemas.openxmlformats.org/officeDocument/2006/relationships/hyperlink" Target="https://academy.gmj.ge/ipc-4-11-benchmarking" TargetMode="External"/><Relationship Id="rIdt01mncub1mgi4hzmgysqd" Type="http://schemas.openxmlformats.org/officeDocument/2006/relationships/hyperlink" Target="https://www.who.int/teams/integrated-health-services/infection-prevention-control/hand-hygiene" TargetMode="External"/><Relationship Id="rIdqq5wlkgvzu6r-mi-vcish" Type="http://schemas.openxmlformats.org/officeDocument/2006/relationships/hyperlink" Target="https://www.who.int/teams/integrated-health-services/patient-safety" TargetMode="External"/><Relationship Id="rIdahly2c0glogq25xiz6kgu" Type="http://schemas.openxmlformats.org/officeDocument/2006/relationships/hyperlink" Target="https://doi.org/10.4065/mcp.2009.0248" TargetMode="External"/><Relationship Id="rIdezsx5bxzjkl0lizlszeoj" Type="http://schemas.openxmlformats.org/officeDocument/2006/relationships/hyperlink" Target="https://academy.gmj.ge/ipc-4-12-patient-engagement" TargetMode="External"/><Relationship Id="rId4n2cc40qgbkpffdlc5yux" Type="http://schemas.openxmlformats.org/officeDocument/2006/relationships/hyperlink" Target="https://www.who.int/publications/i/item/9789241597906" TargetMode="External"/><Relationship Id="rIdu2yqgss8c-sdtn7phvwdb" Type="http://schemas.openxmlformats.org/officeDocument/2006/relationships/hyperlink" Target="https://www.who.int/docs/default-source/infection-prevention-and-control/hand-hygiene-why-how-when.pdf" TargetMode="External"/><Relationship Id="rIdskykfwtgyiqufuilyqhl_" Type="http://schemas.openxmlformats.org/officeDocument/2006/relationships/hyperlink" Target="https://spherestandards.org/handbook/" TargetMode="External"/><Relationship Id="rIdd7mwzyjk0neyrqagfvva2" Type="http://schemas.openxmlformats.org/officeDocument/2006/relationships/hyperlink" Target="https://www.iom.int/resources/infection-prevention-and-control-migration-health" TargetMode="External"/><Relationship Id="rId-qtwozx1xgyddllzd_vnu" Type="http://schemas.openxmlformats.org/officeDocument/2006/relationships/hyperlink" Target="https://doi.org/10.1016/S0140-6736(00)02814-2" TargetMode="External"/><Relationship Id="rIdgmdxhswhosdlihemjifmr" Type="http://schemas.openxmlformats.org/officeDocument/2006/relationships/hyperlink" Target="https://www.who.int/publications/i/item/rational-use-of-personal-protective-equipment-for-coronavirus-disease-(covid-19)-and-considerations-during-severe-shortages" TargetMode="External"/><Relationship Id="rIdebkh3wdmjvwn6gvmif0uq" Type="http://schemas.openxmlformats.org/officeDocument/2006/relationships/hyperlink" Target="https://www.who.int/occupational_health/publications/en/" TargetMode="External"/><Relationship Id="rIdbjq2i0kdwfjskbvqyvmeu" Type="http://schemas.openxmlformats.org/officeDocument/2006/relationships/hyperlink" Target="https://www.iom.int/resources/infection-prevention-and-control-migration-health" TargetMode="External"/><Relationship Id="rIdvu3kslshlowoln-lobtja" Type="http://schemas.openxmlformats.org/officeDocument/2006/relationships/hyperlink" Target="https://www.who.int/publications/i/item/9789241548274" TargetMode="External"/><Relationship Id="rIdn7t0_h4zb8wk6__bfsah1" Type="http://schemas.openxmlformats.org/officeDocument/2006/relationships/hyperlink" Target="https://spherestandards.org/handbook/" TargetMode="External"/><Relationship Id="rIdiubojo2ocw-ilytyanrxs" Type="http://schemas.openxmlformats.org/officeDocument/2006/relationships/hyperlink" Target="https://www.who.int/news-room/fact-sheets/detail/health-care-waste" TargetMode="External"/><Relationship Id="rIdysayymkbjazc2mkihrgnt" Type="http://schemas.openxmlformats.org/officeDocument/2006/relationships/hyperlink" Target="https://www.who.int/publications/i/item/decontamination-and-reprocessing-of-medical-devices" TargetMode="External"/><Relationship Id="rIdkzkbf5duntpffey_cddue" Type="http://schemas.openxmlformats.org/officeDocument/2006/relationships/hyperlink" Target="https://doi.org/10.1055/a-0759-1629" TargetMode="External"/><Relationship Id="rIde2zppva-rqr9m7vzwbjer" Type="http://schemas.openxmlformats.org/officeDocument/2006/relationships/hyperlink" Target="https://www.who.int/publications/i/item/practical-guidelines-for-infection-control-in-health-care-facilities" TargetMode="External"/><Relationship Id="rIdlibenpsaxnrrvhzqnh0_-" Type="http://schemas.openxmlformats.org/officeDocument/2006/relationships/hyperlink" Target="https://www.who.int/publications/i/item/9789241549899" TargetMode="External"/><Relationship Id="rIdxzvonrdg4cjvho3wb4rop" Type="http://schemas.openxmlformats.org/officeDocument/2006/relationships/hyperlink" Target="https://www.who.int/initiatives/glass" TargetMode="External"/><Relationship Id="rIdayje4yeeqbd61fdcoz0b-" Type="http://schemas.openxmlformats.org/officeDocument/2006/relationships/hyperlink" Target="https://www.iom.int/resources/infection-prevention-and-control-migration-health" TargetMode="External"/><Relationship Id="rId1riodmjoxb20j8b2hnq4r" Type="http://schemas.openxmlformats.org/officeDocument/2006/relationships/hyperlink" Target="https://www.who.int/publications/i/item/9789240046252" TargetMode="External"/><Relationship Id="rIdqxzvbac2bjsvpeh79_-kr" Type="http://schemas.openxmlformats.org/officeDocument/2006/relationships/hyperlink" Target="https://www.cdc.gov/nhsn/pdfs/pscmanual/17pscnosinfdef_current.pdf" TargetMode="External"/><Relationship Id="rIdrhuszzzpvi_in4lxyl2yk" Type="http://schemas.openxmlformats.org/officeDocument/2006/relationships/hyperlink" Target="https://www.iom.int/resources/infection-prevention-and-control-migration-health" TargetMode="External"/><Relationship Id="rIdzyaudv693cdcj38f8fddb" Type="http://schemas.openxmlformats.org/officeDocument/2006/relationships/hyperlink" Target="https://www.who.int/publications/i/item/managing-epidemics-key-facts-about-major-deadly-diseases" TargetMode="External"/><Relationship Id="rIdjxyxh0zfjp9eokvxo4th9" Type="http://schemas.openxmlformats.org/officeDocument/2006/relationships/hyperlink" Target="https://www.who.int/publications/i/item/9789241596664" TargetMode="External"/><Relationship Id="rId10di0p5zaf67d-h3vi89n" Type="http://schemas.openxmlformats.org/officeDocument/2006/relationships/hyperlink" Target="https://spherestandards.org/handbook/" TargetMode="External"/><Relationship Id="rIdivxscouahqjtehbbjcpyu" Type="http://schemas.openxmlformats.org/officeDocument/2006/relationships/hyperlink" Target="https://www.who.int/publications/i/item/9789241549899" TargetMode="External"/><Relationship Id="rIdo0ktd8ul5kks-wh8acc4y" Type="http://schemas.openxmlformats.org/officeDocument/2006/relationships/hyperlink" Target="https://www.iom.int/resources/infection-prevention-and-control-migration-health" TargetMode="External"/><Relationship Id="rId3_se9rovyuiomj7xll7-g" Type="http://schemas.openxmlformats.org/officeDocument/2006/relationships/hyperlink" Target="https://academy.gmj.ge" TargetMode="External"/><Relationship Id="rIdydmajopphm6emghfaf3f8" Type="http://schemas.openxmlformats.org/officeDocument/2006/relationships/hyperlink" Target="https://www.who.int/publications/i/item/9789241516839" TargetMode="External"/><Relationship Id="rIdpauy0m0lqwa6gsgjkuuad" Type="http://schemas.openxmlformats.org/officeDocument/2006/relationships/hyperlink" Target="https://www.who.int/publications/i/item/natural-ventilation-for-infection-control-in-health-care-settings" TargetMode="External"/><Relationship Id="rIdinf0jdq54nnty9n4ydhx8" Type="http://schemas.openxmlformats.org/officeDocument/2006/relationships/hyperlink" Target="https://www.unhcr.org/publications/technical/5e7c9eb54/covid-19-infection-prevention-and-control-guidance-for-refugee-settings.html" TargetMode="External"/><Relationship Id="rIdttwstn_djdkexu_mfx8ai" Type="http://schemas.openxmlformats.org/officeDocument/2006/relationships/hyperlink" Target="https://www.who.int/publications/i/item/9789241515528" TargetMode="External"/><Relationship Id="rId3q_e4_fnh-prmlvedqkxj" Type="http://schemas.openxmlformats.org/officeDocument/2006/relationships/hyperlink" Target="https://www.who.int/initiatives/glass" TargetMode="External"/><Relationship Id="rIdigmjj8uqdfwry-ox0famq" Type="http://schemas.openxmlformats.org/officeDocument/2006/relationships/hyperlink" Target="https://www.iom.int/resources/infection-prevention-and-control-migration-health" TargetMode="External"/><Relationship Id="rIduklfh_daezqw4y2dv7rjf" Type="http://schemas.openxmlformats.org/officeDocument/2006/relationships/hyperlink" Target="https://www.who.int/publications/i/item/9789240046252" TargetMode="External"/><Relationship Id="rIdefxrv3-2oq-vv-excjxrm" Type="http://schemas.openxmlformats.org/officeDocument/2006/relationships/hyperlink" Target="https://www.ecdc.europa.eu/en/healthcare-associated-infections-surveillance" TargetMode="External"/><Relationship Id="rIdhgp5i945r9khhow5xhfno" Type="http://schemas.openxmlformats.org/officeDocument/2006/relationships/hyperlink" Target="https://france-asf.fr" TargetMode="External"/><Relationship Id="rIduuscu3dtv35z-l1mc313l" Type="http://schemas.openxmlformats.org/officeDocument/2006/relationships/hyperlink" Target="https://www.who.int/teams/integrated-health-services/infection-prevention-control/hand-hygiene" TargetMode="External"/><Relationship Id="rIdpkvnnmrb07evltex2wjbe" Type="http://schemas.openxmlformats.org/officeDocument/2006/relationships/hyperlink" Target="https://www.who.int/teams/integrated-health-services/patient-safety" TargetMode="External"/><Relationship Id="rIdjwzrpt4xhknvh_tk3gboj" Type="http://schemas.openxmlformats.org/officeDocument/2006/relationships/hyperlink" Target="https://doi.org/10.4065/mcp.2009.0248" TargetMode="External"/><Relationship Id="rId6spkrfndl7ybw2gtk0gwn" Type="http://schemas.openxmlformats.org/officeDocument/2006/relationships/hyperlink" Target="mailto:info@france-asf.fr" TargetMode="External"/><Relationship Id="rId8" Type="http://schemas.openxmlformats.org/officeDocument/2006/relationships/image" Target="media/d139395916e07bb04734db2f45792b16c08ff223.png"/><Relationship Id="rId1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2026-08-29T17:52:32.926Z</dcterms:created>
  <dcterms:modified xsi:type="dcterms:W3CDTF">2026-08-29T17:52:32.940Z</dcterms:modified>
</cp:coreProperties>
</file>

<file path=docProps/custom.xml><?xml version="1.0" encoding="utf-8"?>
<Properties xmlns="http://schemas.openxmlformats.org/officeDocument/2006/custom-properties" xmlns:vt="http://schemas.openxmlformats.org/officeDocument/2006/docPropsVTypes"/>
</file>