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c9a227" w:sz="8"/>
          <w:left w:val="none"/>
          <w:bottom w:val="single" w:color="c9a227" w:sz="8"/>
          <w:right w:val="none"/>
          <w:insideH w:val="single" w:color="auto" w:sz="4"/>
          <w:insideV w:val="single" w:color="auto" w:sz="4"/>
        </w:tblBorders>
      </w:tblPr>
      <w:tblGrid>
        <w:gridCol w:w="1100"/>
        <w:gridCol w:w="8260"/>
      </w:tblGrid>
      <w:tr>
        <w:tc>
          <w:tcPr>
            <w:tcW w:type="dxa" w:w="1100"/>
            <w:shd w:fill="0e2647" w:color="auto" w:val="clear"/>
            <w:tcMar>
              <w:top w:type="dxa" w:w="30"/>
              <w:left w:type="dxa" w:w="60"/>
              <w:bottom w:type="dxa" w:w="30"/>
              <w:right w:type="dxa" w:w="40"/>
            </w:tcMar>
            <w:vAlign w:val="center"/>
          </w:tcPr>
          <w:p>
            <w:pPr>
              <w:spacing w:after="0" w:before="0"/>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66750" cy="666750"/>
                          </a:xfrm>
                          <a:prstGeom prst="rect">
                            <a:avLst/>
                          </a:prstGeom>
                        </pic:spPr>
                      </pic:pic>
                    </a:graphicData>
                  </a:graphic>
                </wp:inline>
              </w:drawing>
            </w:r>
          </w:p>
        </w:tc>
        <w:tc>
          <w:tcPr>
            <w:tcW w:type="dxa" w:w="8260"/>
            <w:shd w:fill="0e2647" w:color="auto" w:val="clear"/>
            <w:tcMar>
              <w:top w:type="dxa" w:w="30"/>
              <w:left w:type="dxa" w:w="60"/>
              <w:bottom w:type="dxa" w:w="30"/>
              <w:right w:type="dxa" w:w="75"/>
            </w:tcMar>
            <w:vAlign w:val="top"/>
          </w:tcPr>
          <w:p>
            <w:pPr>
              <w:spacing w:after="10" w:before="0"/>
            </w:pPr>
            <w:r>
              <w:rPr>
                <w:rFonts w:ascii="Helvetica" w:cs="Helvetica" w:eastAsia="Helvetica" w:hAnsi="Helvetica"/>
                <w:b/>
                <w:bCs/>
                <w:i w:val="false"/>
                <w:iCs w:val="false"/>
                <w:caps/>
                <w:color w:val="c9a227"/>
                <w:spacing w:val="40"/>
                <w:sz w:val="13"/>
                <w:szCs w:val="13"/>
              </w:rPr>
              <w:t xml:space="preserve">ACCRÉDITATION SANS FRONTIÈRES</w:t>
            </w:r>
          </w:p>
          <w:p>
            <w:pPr>
              <w:spacing w:after="8" w:before="0"/>
            </w:pPr>
            <w:r>
              <w:rPr>
                <w:rFonts w:ascii="Georgia" w:cs="Georgia" w:eastAsia="Georgia" w:hAnsi="Georgia"/>
                <w:b/>
                <w:bCs/>
                <w:i w:val="false"/>
                <w:iCs w:val="false"/>
                <w:caps w:val="false"/>
                <w:color w:val="ffffff"/>
                <w:sz w:val="26"/>
                <w:szCs w:val="26"/>
              </w:rPr>
              <w:t xml:space="preserve">CLINICAL CARE &amp; PATIENT MANAGEMENT</w:t>
            </w:r>
          </w:p>
          <w:p>
            <w:pPr>
              <w:spacing w:after="36" w:before="0"/>
            </w:pPr>
            <w:r>
              <w:rPr>
                <w:rFonts w:ascii="Arial" w:cs="Arial" w:eastAsia="Arial" w:hAnsi="Arial"/>
                <w:b w:val="false"/>
                <w:bCs w:val="false"/>
                <w:i/>
                <w:iCs/>
                <w:caps w:val="false"/>
                <w:color w:val="8fa8c8"/>
                <w:sz w:val="11"/>
                <w:szCs w:val="11"/>
              </w:rPr>
              <w:t xml:space="preserve">Version 2.0  ·  January 2025  ·  Open Standards  ·  Ref: ASF-CH5-CCM-v2.0  ·  Approved: January 2025  ·  Next Review: January 2027</w:t>
            </w:r>
          </w:p>
        </w:tc>
      </w:tr>
    </w:tbl>
    <w:p>
      <w:pPr>
        <w:spacing w:after="36" w:before="2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single" w:color="dce3ee" w:sz="4"/>
          <w:bottom w:val="single" w:color="dce3ee" w:sz="4"/>
          <w:right w:val="single" w:color="dce3ee" w:sz="4"/>
          <w:insideH w:val="single" w:color="auto" w:sz="4"/>
          <w:insideV w:val="single" w:color="auto" w:sz="4"/>
        </w:tblBorders>
      </w:tblPr>
      <w:tblGrid>
        <w:gridCol w:w="2340"/>
        <w:gridCol w:w="2340"/>
        <w:gridCol w:w="2340"/>
        <w:gridCol w:w="2340"/>
      </w:tblGrid>
      <w:tr>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PUBLISHER</w:t>
            </w:r>
          </w:p>
          <w:p>
            <w:pPr>
              <w:spacing w:after="4" w:before="0"/>
            </w:pPr>
            <w:r>
              <w:rPr>
                <w:rFonts w:ascii="Arial" w:cs="Arial" w:eastAsia="Arial" w:hAnsi="Arial"/>
                <w:b/>
                <w:bCs/>
                <w:i w:val="false"/>
                <w:iCs w:val="false"/>
                <w:caps w:val="false"/>
                <w:color w:val="0e2647"/>
                <w:sz w:val="13"/>
                <w:szCs w:val="13"/>
              </w:rPr>
              <w:t xml:space="preserve">Accréditation Sans Frontières</w:t>
            </w:r>
          </w:p>
          <w:p>
            <w:pPr>
              <w:spacing w:after="3" w:before="0"/>
            </w:pPr>
            <w:hyperlink w:history="1" r:id="rIdaorb0ibtq4ehfblbzdzwd">
              <w:r>
                <w:rPr>
                  <w:rFonts w:ascii="Arial" w:cs="Arial" w:eastAsia="Arial" w:hAnsi="Arial"/>
                  <w:b/>
                  <w:bCs/>
                  <w:color w:val="c9a227"/>
                  <w:sz w:val="13"/>
                  <w:szCs w:val="13"/>
                  <w:u w:val="single"/>
                </w:rPr>
                <w:t xml:space="preserve">france-asf.fr</w:t>
              </w:r>
            </w:hyperlink>
          </w:p>
          <w:p>
            <w:pPr>
              <w:spacing w:after="36" w:before="0"/>
            </w:pPr>
            <w:hyperlink w:history="1" r:id="rIdv3eg8fqxs-nwqy5zfgsnz">
              <w:r>
                <w:rPr>
                  <w:rFonts w:ascii="Arial" w:cs="Arial" w:eastAsia="Arial" w:hAnsi="Arial"/>
                  <w:b/>
                  <w:bCs/>
                  <w:color w:val="c9a227"/>
                  <w:sz w:val="13"/>
                  <w:szCs w:val="13"/>
                  <w:u w:val="single"/>
                </w:rPr>
                <w:t xml:space="preserve">info@france-asf.fr</w:t>
              </w:r>
            </w:hyperlink>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DOCUMENT REF</w:t>
            </w:r>
          </w:p>
          <w:p>
            <w:pPr>
              <w:spacing w:after="4" w:before="0"/>
            </w:pPr>
            <w:r>
              <w:rPr>
                <w:rFonts w:ascii="Arial" w:cs="Arial" w:eastAsia="Arial" w:hAnsi="Arial"/>
                <w:b/>
                <w:bCs/>
                <w:i w:val="false"/>
                <w:iCs w:val="false"/>
                <w:caps w:val="false"/>
                <w:color w:val="0e2647"/>
                <w:sz w:val="13"/>
                <w:szCs w:val="13"/>
              </w:rPr>
              <w:t xml:space="preserve">ASF-CH5-CCM-v2.0</w:t>
            </w:r>
          </w:p>
          <w:p>
            <w:pPr>
              <w:spacing w:after="36" w:before="0"/>
            </w:pPr>
            <w:r>
              <w:rPr>
                <w:rFonts w:ascii="Arial" w:cs="Arial" w:eastAsia="Arial" w:hAnsi="Arial"/>
                <w:b w:val="false"/>
                <w:bCs w:val="false"/>
                <w:i w:val="false"/>
                <w:iCs w:val="false"/>
                <w:caps w:val="false"/>
                <w:color w:val="6b778c"/>
                <w:sz w:val="12"/>
                <w:szCs w:val="12"/>
              </w:rPr>
              <w:t xml:space="preserve">ISSN: 3088-4322  ·  DOI: 10.66636</w:t>
            </w:r>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E-LEARNING</w:t>
            </w:r>
          </w:p>
          <w:p>
            <w:pPr>
              <w:spacing w:after="4" w:before="0"/>
            </w:pPr>
            <w:r>
              <w:rPr>
                <w:rFonts w:ascii="Arial" w:cs="Arial" w:eastAsia="Arial" w:hAnsi="Arial"/>
                <w:b/>
                <w:bCs/>
                <w:i w:val="false"/>
                <w:iCs w:val="false"/>
                <w:caps w:val="false"/>
                <w:color w:val="0e2647"/>
                <w:sz w:val="13"/>
                <w:szCs w:val="13"/>
              </w:rPr>
              <w:t xml:space="preserve">30 min per standard — free</w:t>
            </w:r>
          </w:p>
          <w:p>
            <w:pPr>
              <w:spacing w:after="36" w:before="0"/>
            </w:pPr>
            <w:hyperlink w:history="1" r:id="rIdjfvuflytyugjw-vrntuzy">
              <w:r>
                <w:rPr>
                  <w:rFonts w:ascii="Arial" w:cs="Arial" w:eastAsia="Arial" w:hAnsi="Arial"/>
                  <w:b/>
                  <w:bCs/>
                  <w:color w:val="c9a227"/>
                  <w:sz w:val="13"/>
                  <w:szCs w:val="13"/>
                  <w:u w:val="single"/>
                </w:rPr>
                <w:t xml:space="preserve">academy.gmj.ge</w:t>
              </w:r>
            </w:hyperlink>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CITE AS</w:t>
            </w:r>
          </w:p>
          <w:p>
            <w:pPr>
              <w:spacing w:after="36" w:before="0"/>
            </w:pPr>
            <w:r>
              <w:rPr>
                <w:rFonts w:ascii="Arial" w:cs="Arial" w:eastAsia="Arial" w:hAnsi="Arial"/>
                <w:b w:val="false"/>
                <w:bCs w:val="false"/>
                <w:i w:val="false"/>
                <w:iCs w:val="false"/>
                <w:caps w:val="false"/>
                <w:color w:val="374151"/>
                <w:sz w:val="11"/>
                <w:szCs w:val="11"/>
              </w:rPr>
              <w:t xml:space="preserve">Accreditation Sans Frontieres. ASF Hospital Standards: Chapter 5 — Clinical Care &amp; Patient Management. Version 2.0. Paris: ASF; 2025.</w:t>
            </w:r>
          </w:p>
        </w:tc>
      </w:tr>
    </w:tbl>
    <w:p>
      <w:pPr>
        <w:pBdr>
          <w:top w:val="single" w:color="dce3ee" w:sz="2"/>
        </w:pBdr>
        <w:spacing w:after="0" w:before="80"/>
      </w:pPr>
      <w:r>
        <w:rPr>
          <w:rFonts w:ascii="Arial" w:cs="Arial" w:eastAsia="Arial" w:hAnsi="Arial"/>
          <w:i/>
          <w:iCs/>
          <w:color w:val="aaaaaa"/>
          <w:sz w:val="16"/>
          <w:szCs w:val="16"/>
        </w:rPr>
        <w:t xml:space="preserve">© 2025 Accréditation Sans Frontières. Open standards licence. Free non-commercial reproduction with attribution. Commercial reproduction requires written ASF permission.</w:t>
      </w:r>
    </w:p>
    <w:p>
      <w:pPr>
        <w:spacing w:after="36" w:before="32"/>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ABOUT THIS DOCUMENT</w:t>
            </w:r>
          </w:p>
        </w:tc>
      </w:tr>
    </w:tbl>
    <w:tbl>
      <w:tblPr>
        <w:tblW w:type="dxa" w:w="9360"/>
        <w:tblBorders>
          <w:top w:val="none"/>
          <w:left w:val="single" w:color="dce3ee" w:sz="4"/>
          <w:bottom w:val="none"/>
          <w:right w:val="single" w:color="dce3ee" w:sz="4"/>
          <w:insideH w:val="single" w:color="auto" w:sz="4"/>
          <w:insideV w:val="single" w:color="auto" w:sz="4"/>
        </w:tblBorders>
      </w:tblPr>
      <w:tblGrid>
        <w:gridCol w:w="4680"/>
        <w:gridCol w:w="4680"/>
      </w:tblGrid>
      <w:tr>
        <w:tc>
          <w:tcPr>
            <w:tcW w:type="dxa" w:w="4680"/>
            <w:tcMar>
              <w:top w:type="dxa" w:w="56"/>
              <w:left w:type="dxa" w:w="60"/>
              <w:bottom w:type="dxa" w:w="56"/>
              <w:right w:type="dxa" w:w="50"/>
            </w:tcMar>
            <w:vAlign w:val="top"/>
          </w:tcPr>
          <w:p>
            <w:pPr>
              <w:spacing w:after="10" w:before="0"/>
            </w:pPr>
            <w:r>
              <w:rPr>
                <w:rFonts w:ascii="Helvetica" w:cs="Helvetica" w:eastAsia="Helvetica" w:hAnsi="Helvetica"/>
                <w:b/>
                <w:bCs/>
                <w:i w:val="false"/>
                <w:iCs w:val="false"/>
                <w:caps/>
                <w:color w:val="6b778c"/>
                <w:sz w:val="11"/>
                <w:szCs w:val="11"/>
              </w:rPr>
              <w:t xml:space="preserve">PURPOSE</w:t>
            </w:r>
          </w:p>
          <w:p>
            <w:pPr>
              <w:spacing w:after="20" w:before="0"/>
            </w:pPr>
            <w:r>
              <w:rPr>
                <w:rFonts w:ascii="Arial" w:cs="Arial" w:eastAsia="Arial" w:hAnsi="Arial"/>
                <w:b w:val="false"/>
                <w:bCs w:val="false"/>
                <w:i w:val="false"/>
                <w:iCs w:val="false"/>
                <w:caps w:val="false"/>
                <w:color w:val="374151"/>
                <w:sz w:val="15"/>
                <w:szCs w:val="15"/>
              </w:rPr>
              <w:t xml:space="preserve">Ten standards for clinical care and patient management for ASF hospital accreditation. Each standard is a complete two-page unit — Page 1 is the official assessment form; Page 2 is the guidance and learning resource with evidence, good practice examples, implementation steps, and surveyor tips. The document works standalone without any other publication.</w:t>
            </w:r>
          </w:p>
          <w:p>
            <w:pPr>
              <w:spacing w:after="10" w:before="0"/>
            </w:pPr>
            <w:r>
              <w:rPr>
                <w:rFonts w:ascii="Helvetica" w:cs="Helvetica" w:eastAsia="Helvetica" w:hAnsi="Helvetica"/>
                <w:b/>
                <w:bCs/>
                <w:i w:val="false"/>
                <w:iCs w:val="false"/>
                <w:caps/>
                <w:color w:val="6b778c"/>
                <w:sz w:val="11"/>
                <w:szCs w:val="11"/>
              </w:rPr>
              <w:t xml:space="preserve">CROSS-CUTTING CONNECTIONS</w:t>
            </w:r>
          </w:p>
          <w:p>
            <w:pPr>
              <w:spacing w:after="36" w:before="0"/>
            </w:pPr>
            <w:r>
              <w:rPr>
                <w:rFonts w:ascii="Arial" w:cs="Arial" w:eastAsia="Arial" w:hAnsi="Arial"/>
                <w:b w:val="false"/>
                <w:bCs w:val="false"/>
                <w:i w:val="false"/>
                <w:iCs w:val="false"/>
                <w:caps w:val="false"/>
                <w:color w:val="374151"/>
                <w:sz w:val="15"/>
                <w:szCs w:val="15"/>
              </w:rPr>
              <w:t xml:space="preserve">This chapter is where governance, workforce, and patient rights become clinical practice. Standard 5.3 (Medication Safety) connects directly to Standard 9.1–9.5 (Pharmacy) and Standard 4.10 (Antimicrobial Stewardship). Standard 5.5 (Handover) underpins Standard 7.4 (Critical Care Admission) and Standard 6.8 (Post-Operative Care). Standard 5.9 (Discharge Planning) connects to Standard 2.8 (Interpreter Services) for patients who need language support to understand discharge instructions. ASF is developing a visual cross-cutting map showing how all chapters connect — available at france-asf.fr. When completing this assessment, treat each standard as part of a system, not a standalone checklist item.</w:t>
            </w:r>
          </w:p>
        </w:tc>
        <w:tc>
          <w:tcPr>
            <w:tcW w:type="dxa" w:w="4680"/>
            <w:tcMar>
              <w:top w:type="dxa" w:w="56"/>
              <w:left w:type="dxa" w:w="50"/>
              <w:bottom w:type="dxa" w:w="56"/>
              <w:right w:type="dxa" w:w="60"/>
            </w:tcMar>
            <w:vAlign w:val="top"/>
          </w:tcPr>
          <w:p>
            <w:pPr>
              <w:spacing w:after="10" w:before="0"/>
            </w:pPr>
            <w:r>
              <w:rPr>
                <w:rFonts w:ascii="Helvetica" w:cs="Helvetica" w:eastAsia="Helvetica" w:hAnsi="Helvetica"/>
                <w:b/>
                <w:bCs/>
                <w:i w:val="false"/>
                <w:iCs w:val="false"/>
                <w:caps/>
                <w:color w:val="6b778c"/>
                <w:sz w:val="11"/>
                <w:szCs w:val="11"/>
              </w:rPr>
              <w:t xml:space="preserve">STATUS COLOURS</w:t>
            </w:r>
          </w:p>
          <w:p>
            <w:pPr>
              <w:spacing w:after="10" w:before="0"/>
            </w:pPr>
            <w:r>
              <w:rPr>
                <w:rFonts w:ascii="Arial" w:cs="Arial" w:eastAsia="Arial" w:hAnsi="Arial"/>
                <w:b/>
                <w:bCs/>
                <w:i w:val="false"/>
                <w:iCs w:val="false"/>
                <w:caps w:val="false"/>
                <w:color w:val="15803d"/>
                <w:sz w:val="14"/>
                <w:szCs w:val="14"/>
              </w:rPr>
              <w:t xml:space="preserve">YES — GREEN  </w:t>
            </w:r>
            <w:r>
              <w:rPr>
                <w:rFonts w:ascii="Arial" w:cs="Arial" w:eastAsia="Arial" w:hAnsi="Arial"/>
                <w:b w:val="false"/>
                <w:bCs w:val="false"/>
                <w:i w:val="false"/>
                <w:iCs w:val="false"/>
                <w:caps w:val="false"/>
                <w:color w:val="374151"/>
                <w:sz w:val="14"/>
                <w:szCs w:val="14"/>
              </w:rPr>
              <w:t xml:space="preserve">Fully in place, consistent, evidenced. Observable on the visit day.</w:t>
            </w:r>
          </w:p>
          <w:p>
            <w:pPr>
              <w:spacing w:after="10" w:before="0"/>
            </w:pPr>
            <w:r>
              <w:rPr>
                <w:rFonts w:ascii="Arial" w:cs="Arial" w:eastAsia="Arial" w:hAnsi="Arial"/>
                <w:b/>
                <w:bCs/>
                <w:i w:val="false"/>
                <w:iCs w:val="false"/>
                <w:caps w:val="false"/>
                <w:color w:val="92400e"/>
                <w:sz w:val="14"/>
                <w:szCs w:val="14"/>
              </w:rPr>
              <w:t xml:space="preserve">PARTIAL — AMBER  </w:t>
            </w:r>
            <w:r>
              <w:rPr>
                <w:rFonts w:ascii="Arial" w:cs="Arial" w:eastAsia="Arial" w:hAnsi="Arial"/>
                <w:b w:val="false"/>
                <w:bCs w:val="false"/>
                <w:i w:val="false"/>
                <w:iCs w:val="false"/>
                <w:caps w:val="false"/>
                <w:color w:val="374151"/>
                <w:sz w:val="14"/>
                <w:szCs w:val="14"/>
              </w:rPr>
              <w:t xml:space="preserve">Exists but incomplete or inconsistent. NOT a pass — needs an improvement plan with a deadline.</w:t>
            </w:r>
          </w:p>
          <w:p>
            <w:pPr>
              <w:spacing w:after="36" w:before="0"/>
            </w:pPr>
            <w:r>
              <w:rPr>
                <w:rFonts w:ascii="Arial" w:cs="Arial" w:eastAsia="Arial" w:hAnsi="Arial"/>
                <w:b/>
                <w:bCs/>
                <w:i w:val="false"/>
                <w:iCs w:val="false"/>
                <w:caps w:val="false"/>
                <w:color w:val="b91c1c"/>
                <w:sz w:val="14"/>
                <w:szCs w:val="14"/>
              </w:rPr>
              <w:t xml:space="preserve">NO — RED  </w:t>
            </w:r>
            <w:r>
              <w:rPr>
                <w:rFonts w:ascii="Arial" w:cs="Arial" w:eastAsia="Arial" w:hAnsi="Arial"/>
                <w:b w:val="false"/>
                <w:bCs w:val="false"/>
                <w:i w:val="false"/>
                <w:iCs w:val="false"/>
                <w:caps w:val="false"/>
                <w:color w:val="374151"/>
                <w:sz w:val="14"/>
                <w:szCs w:val="14"/>
              </w:rPr>
              <w:t xml:space="preserve">Does not exist or inadequate. For CORE standards: blocks Level 1 accreditation until fixed.</w:t>
            </w:r>
          </w:p>
          <w:p>
            <w:pPr>
              <w:spacing w:after="36" w:before="8"/>
            </w:pPr>
            <w:r>
              <w:rPr>
                <w:rFonts w:ascii="Arial" w:cs="Arial" w:eastAsia="Arial" w:hAnsi="Arial"/>
                <w:b w:val="false"/>
                <w:bCs w:val="false"/>
                <w:i w:val="false"/>
                <w:iCs w:val="false"/>
                <w:caps w:val="false"/>
                <w:color w:val="374151"/>
                <w:sz w:val="18"/>
                <w:szCs w:val="18"/>
              </w:rPr>
              <w:t xml:space="preserve"/>
            </w:r>
          </w:p>
          <w:p>
            <w:pPr>
              <w:spacing w:after="10" w:before="0"/>
            </w:pPr>
            <w:r>
              <w:rPr>
                <w:rFonts w:ascii="Helvetica" w:cs="Helvetica" w:eastAsia="Helvetica" w:hAnsi="Helvetica"/>
                <w:b/>
                <w:bCs/>
                <w:i w:val="false"/>
                <w:iCs w:val="false"/>
                <w:caps/>
                <w:color w:val="6b778c"/>
                <w:sz w:val="11"/>
                <w:szCs w:val="11"/>
              </w:rPr>
              <w:t xml:space="preserve">HOW TO USE — FIVE STEPS</w:t>
            </w:r>
          </w:p>
          <w:p>
            <w:pPr>
              <w:spacing w:after="8" w:before="0"/>
            </w:pPr>
            <w:r>
              <w:rPr>
                <w:rFonts w:ascii="Arial" w:cs="Arial" w:eastAsia="Arial" w:hAnsi="Arial"/>
                <w:b/>
                <w:bCs/>
                <w:i w:val="false"/>
                <w:iCs w:val="false"/>
                <w:caps w:val="false"/>
                <w:color w:val="c9a227"/>
                <w:sz w:val="13"/>
                <w:szCs w:val="13"/>
              </w:rPr>
              <w:t xml:space="preserve">1  </w:t>
            </w:r>
            <w:r>
              <w:rPr>
                <w:rFonts w:ascii="Arial" w:cs="Arial" w:eastAsia="Arial" w:hAnsi="Arial"/>
                <w:b w:val="false"/>
                <w:bCs w:val="false"/>
                <w:i w:val="false"/>
                <w:iCs w:val="false"/>
                <w:caps w:val="false"/>
                <w:color w:val="374151"/>
                <w:sz w:val="14"/>
                <w:szCs w:val="14"/>
              </w:rPr>
              <w:t xml:space="preserve">Read this page first.</w:t>
            </w:r>
          </w:p>
          <w:p>
            <w:pPr>
              <w:spacing w:after="8" w:before="0"/>
            </w:pPr>
            <w:r>
              <w:rPr>
                <w:rFonts w:ascii="Arial" w:cs="Arial" w:eastAsia="Arial" w:hAnsi="Arial"/>
                <w:b/>
                <w:bCs/>
                <w:i w:val="false"/>
                <w:iCs w:val="false"/>
                <w:caps w:val="false"/>
                <w:color w:val="c9a227"/>
                <w:sz w:val="13"/>
                <w:szCs w:val="13"/>
              </w:rPr>
              <w:t xml:space="preserve">2  </w:t>
            </w:r>
            <w:r>
              <w:rPr>
                <w:rFonts w:ascii="Arial" w:cs="Arial" w:eastAsia="Arial" w:hAnsi="Arial"/>
                <w:b w:val="false"/>
                <w:bCs w:val="false"/>
                <w:i w:val="false"/>
                <w:iCs w:val="false"/>
                <w:caps w:val="false"/>
                <w:color w:val="374151"/>
                <w:sz w:val="14"/>
                <w:szCs w:val="14"/>
              </w:rPr>
              <w:t xml:space="preserve">Complete Page 1 self-assessment for each standard. Be honest.</w:t>
            </w:r>
          </w:p>
          <w:p>
            <w:pPr>
              <w:spacing w:after="8" w:before="0"/>
            </w:pPr>
            <w:r>
              <w:rPr>
                <w:rFonts w:ascii="Arial" w:cs="Arial" w:eastAsia="Arial" w:hAnsi="Arial"/>
                <w:b/>
                <w:bCs/>
                <w:i w:val="false"/>
                <w:iCs w:val="false"/>
                <w:caps w:val="false"/>
                <w:color w:val="c9a227"/>
                <w:sz w:val="13"/>
                <w:szCs w:val="13"/>
              </w:rPr>
              <w:t xml:space="preserve">3  </w:t>
            </w:r>
            <w:r>
              <w:rPr>
                <w:rFonts w:ascii="Arial" w:cs="Arial" w:eastAsia="Arial" w:hAnsi="Arial"/>
                <w:b w:val="false"/>
                <w:bCs w:val="false"/>
                <w:i w:val="false"/>
                <w:iCs w:val="false"/>
                <w:caps w:val="false"/>
                <w:color w:val="374151"/>
                <w:sz w:val="14"/>
                <w:szCs w:val="14"/>
              </w:rPr>
              <w:t xml:space="preserve">Do not understand a standard? Read Page 2.</w:t>
            </w:r>
          </w:p>
          <w:p>
            <w:pPr>
              <w:spacing w:after="8" w:before="0"/>
            </w:pPr>
            <w:r>
              <w:rPr>
                <w:rFonts w:ascii="Arial" w:cs="Arial" w:eastAsia="Arial" w:hAnsi="Arial"/>
                <w:b/>
                <w:bCs/>
                <w:i w:val="false"/>
                <w:iCs w:val="false"/>
                <w:caps w:val="false"/>
                <w:color w:val="c9a227"/>
                <w:sz w:val="13"/>
                <w:szCs w:val="13"/>
              </w:rPr>
              <w:t xml:space="preserve">4  </w:t>
            </w:r>
            <w:r>
              <w:rPr>
                <w:rFonts w:ascii="Arial" w:cs="Arial" w:eastAsia="Arial" w:hAnsi="Arial"/>
                <w:b w:val="false"/>
                <w:bCs w:val="false"/>
                <w:i w:val="false"/>
                <w:iCs w:val="false"/>
                <w:caps w:val="false"/>
                <w:color w:val="374151"/>
                <w:sz w:val="14"/>
                <w:szCs w:val="14"/>
              </w:rPr>
              <w:t xml:space="preserve">PARTIAL or NO? Write an improvement plan on Page 1.</w:t>
            </w:r>
          </w:p>
          <w:p>
            <w:pPr>
              <w:spacing w:after="36" w:before="0"/>
            </w:pPr>
            <w:r>
              <w:rPr>
                <w:rFonts w:ascii="Arial" w:cs="Arial" w:eastAsia="Arial" w:hAnsi="Arial"/>
                <w:b/>
                <w:bCs/>
                <w:i w:val="false"/>
                <w:iCs w:val="false"/>
                <w:caps w:val="false"/>
                <w:color w:val="c9a227"/>
                <w:sz w:val="13"/>
                <w:szCs w:val="13"/>
              </w:rPr>
              <w:t xml:space="preserve">5  </w:t>
            </w:r>
            <w:r>
              <w:rPr>
                <w:rFonts w:ascii="Arial" w:cs="Arial" w:eastAsia="Arial" w:hAnsi="Arial"/>
                <w:b w:val="false"/>
                <w:bCs w:val="false"/>
                <w:i w:val="false"/>
                <w:iCs w:val="false"/>
                <w:caps w:val="false"/>
                <w:color w:val="374151"/>
                <w:sz w:val="14"/>
                <w:szCs w:val="14"/>
              </w:rPr>
              <w:t xml:space="preserve">Deep learning: 30-min e-learning per standard at academy.gmj.ge.</w:t>
            </w:r>
          </w:p>
          <w:p>
            <w:pPr>
              <w:spacing w:after="36" w:before="8"/>
            </w:pPr>
            <w:r>
              <w:rPr>
                <w:rFonts w:ascii="Arial" w:cs="Arial" w:eastAsia="Arial" w:hAnsi="Arial"/>
                <w:b w:val="false"/>
                <w:bCs w:val="false"/>
                <w:i w:val="false"/>
                <w:iCs w:val="false"/>
                <w:caps w:val="false"/>
                <w:color w:val="374151"/>
                <w:sz w:val="18"/>
                <w:szCs w:val="18"/>
              </w:rPr>
              <w:t xml:space="preserve"/>
            </w:r>
          </w:p>
          <w:p>
            <w:pPr>
              <w:spacing w:after="10" w:before="0"/>
            </w:pPr>
            <w:r>
              <w:rPr>
                <w:rFonts w:ascii="Helvetica" w:cs="Helvetica" w:eastAsia="Helvetica" w:hAnsi="Helvetica"/>
                <w:b/>
                <w:bCs/>
                <w:i w:val="false"/>
                <w:iCs w:val="false"/>
                <w:caps/>
                <w:color w:val="6b778c"/>
                <w:sz w:val="11"/>
                <w:szCs w:val="11"/>
              </w:rPr>
              <w:t xml:space="preserve">ADVISORY SUPPORT</w:t>
            </w:r>
          </w:p>
          <w:p>
            <w:pPr>
              <w:spacing w:after="4" w:before="0"/>
            </w:pPr>
            <w:r>
              <w:rPr>
                <w:rFonts w:ascii="Arial" w:cs="Arial" w:eastAsia="Arial" w:hAnsi="Arial"/>
                <w:b w:val="false"/>
                <w:bCs w:val="false"/>
                <w:i w:val="false"/>
                <w:iCs w:val="false"/>
                <w:caps w:val="false"/>
                <w:color w:val="374151"/>
                <w:sz w:val="14"/>
                <w:szCs w:val="14"/>
              </w:rPr>
              <w:t xml:space="preserve">ASF advisers help at any stage — before self-assessment, before the survey, or when any standard is unclear.</w:t>
            </w:r>
          </w:p>
          <w:p>
            <w:pPr>
              <w:spacing w:after="36" w:before="0"/>
            </w:pPr>
            <w:hyperlink w:history="1" r:id="rIdpcorg4tvdzzkhd8un1cji">
              <w:r>
                <w:rPr>
                  <w:rFonts w:ascii="Arial" w:cs="Arial" w:eastAsia="Arial" w:hAnsi="Arial"/>
                  <w:b/>
                  <w:bCs/>
                  <w:color w:val="c9a227"/>
                  <w:sz w:val="13"/>
                  <w:szCs w:val="13"/>
                  <w:u w:val="single"/>
                </w:rPr>
                <w:t xml:space="preserve">info@france-asf.fr</w:t>
              </w:r>
            </w:hyperlink>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5: CLINICAL CARE &amp; PATIENT MANAGEMENT</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Table of Contents —</w:t>
            </w:r>
          </w:p>
          <w:p>
            <w:pPr>
              <w:spacing w:after="36" w:before="0"/>
            </w:pPr>
            <w:r>
              <w:rPr>
                <w:rFonts w:ascii="Arial" w:cs="Arial" w:eastAsia="Arial" w:hAnsi="Arial"/>
                <w:b w:val="false"/>
                <w:bCs w:val="false"/>
                <w:i/>
                <w:iCs/>
                <w:caps w:val="false"/>
                <w:color w:val="6b778c"/>
                <w:sz w:val="11"/>
                <w:szCs w:val="11"/>
              </w:rPr>
              <w:t xml:space="preserve">Version 2.0</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TABLE OF CONTENTS</w:t>
            </w:r>
          </w:p>
        </w:tc>
      </w:tr>
    </w:tbl>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700"/>
        <w:gridCol w:w="5460"/>
        <w:gridCol w:w="2200"/>
        <w:gridCol w:w="1000"/>
      </w:tblGrid>
      <w:tr>
        <w:tc>
          <w:tcPr>
            <w:tcW w:type="dxa" w:w="700"/>
            <w:shd w:fill="f3f4f6" w:color="auto" w:val="clear"/>
            <w:tcMar>
              <w:top w:type="dxa" w:w="16"/>
              <w:left w:type="dxa" w:w="40"/>
              <w:bottom w:type="dxa" w:w="1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STD</w:t>
            </w:r>
          </w:p>
        </w:tc>
        <w:tc>
          <w:tcPr>
            <w:tcW w:type="dxa" w:w="5460"/>
            <w:shd w:fill="f3f4f6" w:color="auto" w:val="clear"/>
            <w:tcMar>
              <w:top w:type="dxa" w:w="16"/>
              <w:left w:type="dxa" w:w="60"/>
              <w:bottom w:type="dxa" w:w="16"/>
              <w:right w:type="dxa" w:w="75"/>
            </w:tcMar>
            <w:vAlign w:val="top"/>
          </w:tcPr>
          <w:p>
            <w:pPr>
              <w:spacing w:after="36" w:before="0"/>
            </w:pPr>
            <w:r>
              <w:rPr>
                <w:rFonts w:ascii="Helvetica" w:cs="Helvetica" w:eastAsia="Helvetica" w:hAnsi="Helvetica"/>
                <w:b/>
                <w:bCs/>
                <w:i/>
                <w:iCs/>
                <w:caps/>
                <w:color w:val="6b778c"/>
                <w:sz w:val="10"/>
                <w:szCs w:val="10"/>
              </w:rPr>
              <w:t xml:space="preserve">STANDARD TITLE  and one-line description of what it covers</w:t>
            </w:r>
          </w:p>
        </w:tc>
        <w:tc>
          <w:tcPr>
            <w:tcW w:type="dxa" w:w="2200"/>
            <w:shd w:fill="f3f4f6" w:color="auto" w:val="clear"/>
            <w:tcMar>
              <w:top w:type="dxa" w:w="16"/>
              <w:left w:type="dxa" w:w="60"/>
              <w:bottom w:type="dxa" w:w="16"/>
              <w:right w:type="dxa" w:w="75"/>
            </w:tcMar>
            <w:vAlign w:val="top"/>
          </w:tcPr>
          <w:p>
            <w:pPr>
              <w:spacing w:after="36" w:before="0"/>
            </w:pPr>
            <w:r>
              <w:rPr>
                <w:rFonts w:ascii="Helvetica" w:cs="Helvetica" w:eastAsia="Helvetica" w:hAnsi="Helvetica"/>
                <w:b/>
                <w:bCs/>
                <w:i/>
                <w:iCs/>
                <w:caps/>
                <w:color w:val="6b778c"/>
                <w:sz w:val="10"/>
                <w:szCs w:val="10"/>
              </w:rPr>
              <w:t xml:space="preserve">REQUIREMENT — who must meet this standard</w:t>
            </w:r>
          </w:p>
        </w:tc>
        <w:tc>
          <w:tcPr>
            <w:tcW w:type="dxa" w:w="1000"/>
            <w:shd w:fill="f3f4f6" w:color="auto" w:val="clear"/>
            <w:tcMar>
              <w:top w:type="dxa" w:w="16"/>
              <w:left w:type="dxa" w:w="40"/>
              <w:bottom w:type="dxa" w:w="1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PAGE</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INTRODUCTION</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Title, Publisher, Citation, Copyright, Executive Summary, Cross-Cutting Note</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1</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Table of Contents — all 10 standards described</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1 — FOUNDATION  |  Standards 5.1 to 5.5</w:t>
            </w:r>
          </w:p>
        </w:tc>
      </w:tr>
      <w:tr>
        <w:tc>
          <w:tcPr>
            <w:tcW w:type="dxa" w:w="9360"/>
            <w:gridSpan w:val="4"/>
            <w:shd w:fill="d1fae5"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15803d"/>
                <w:sz w:val="12"/>
                <w:szCs w:val="12"/>
              </w:rPr>
              <w:t xml:space="preserve">What this level means:  </w:t>
            </w:r>
            <w:r>
              <w:rPr>
                <w:rFonts w:ascii="Arial" w:cs="Arial" w:eastAsia="Arial" w:hAnsi="Arial"/>
                <w:b w:val="false"/>
                <w:bCs w:val="false"/>
                <w:i w:val="false"/>
                <w:iCs w:val="false"/>
                <w:caps w:val="false"/>
                <w:color w:val="374151"/>
                <w:sz w:val="12"/>
                <w:szCs w:val="12"/>
              </w:rPr>
              <w:t xml:space="preserve">These are the non-negotiable minimum requirements. Any facility seeing patients must fully meet all five. Standards 5.1, 5.2, and 5.3 are marked CORE — a NO finding on any of these three blocks accreditation until the gap is resolved. No exceptions.</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5.1</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Patient Assessment on Admission</w:t>
            </w:r>
          </w:p>
          <w:p>
            <w:pPr>
              <w:spacing w:after="36" w:before="0"/>
            </w:pPr>
            <w:r>
              <w:rPr>
                <w:rFonts w:ascii="Arial" w:cs="Arial" w:eastAsia="Arial" w:hAnsi="Arial"/>
                <w:b w:val="false"/>
                <w:bCs w:val="false"/>
                <w:i/>
                <w:iCs/>
                <w:caps w:val="false"/>
                <w:color w:val="4b5563"/>
                <w:sz w:val="12"/>
                <w:szCs w:val="12"/>
              </w:rPr>
              <w:t xml:space="preserve">Every patient receives a documented clinical assessment within a defined timeframe of admission, covering presenting condition, relevant history, and initial risk screening.</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3</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5.2</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Care Planning and Goal Setting</w:t>
            </w:r>
          </w:p>
          <w:p>
            <w:pPr>
              <w:spacing w:after="36" w:before="0"/>
            </w:pPr>
            <w:r>
              <w:rPr>
                <w:rFonts w:ascii="Arial" w:cs="Arial" w:eastAsia="Arial" w:hAnsi="Arial"/>
                <w:b w:val="false"/>
                <w:bCs w:val="false"/>
                <w:i/>
                <w:iCs/>
                <w:caps w:val="false"/>
                <w:color w:val="4b5563"/>
                <w:sz w:val="12"/>
                <w:szCs w:val="12"/>
              </w:rPr>
              <w:t xml:space="preserve">Every patient has a documented, individualised care plan derived from their assessment, with defined goals, reviewed and updated as their condition changes.</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5</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5.3</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Medication Safety and Prescribing</w:t>
            </w:r>
          </w:p>
          <w:p>
            <w:pPr>
              <w:spacing w:after="36" w:before="0"/>
            </w:pPr>
            <w:r>
              <w:rPr>
                <w:rFonts w:ascii="Arial" w:cs="Arial" w:eastAsia="Arial" w:hAnsi="Arial"/>
                <w:b w:val="false"/>
                <w:bCs w:val="false"/>
                <w:i/>
                <w:iCs/>
                <w:caps w:val="false"/>
                <w:color w:val="4b5563"/>
                <w:sz w:val="12"/>
                <w:szCs w:val="12"/>
              </w:rPr>
              <w:t xml:space="preserve">The hospital has a documented, followed process for safe prescribing, dispensing, and administration of medication, including allergy checks, dose verification, and a defined double-check for high-risk medications.</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7</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5.4</w:t>
            </w:r>
          </w:p>
        </w:tc>
        <w:tc>
          <w:tcPr>
            <w:tcW w:type="dxa" w:w="5460"/>
            <w:shd w:fill="d1fae5"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Clinical Documentation Standards</w:t>
            </w:r>
          </w:p>
          <w:p>
            <w:pPr>
              <w:spacing w:after="36" w:before="0"/>
            </w:pPr>
            <w:r>
              <w:rPr>
                <w:rFonts w:ascii="Arial" w:cs="Arial" w:eastAsia="Arial" w:hAnsi="Arial"/>
                <w:b w:val="false"/>
                <w:bCs w:val="false"/>
                <w:i/>
                <w:iCs/>
                <w:caps w:val="false"/>
                <w:color w:val="4b5563"/>
                <w:sz w:val="12"/>
                <w:szCs w:val="12"/>
              </w:rPr>
              <w:t xml:space="preserve">The hospital maintains complete, timely, and legible clinical documentation for every patient encounter, following a defined documentation standard.</w:t>
            </w:r>
          </w:p>
        </w:tc>
        <w:tc>
          <w:tcPr>
            <w:tcW w:type="dxa" w:w="2200"/>
            <w:shd w:fill="d1fae5"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5803d"/>
                <w:sz w:val="11"/>
                <w:szCs w:val="11"/>
              </w:rPr>
              <w:t xml:space="preserve">Required for ALL facilities</w:t>
            </w:r>
          </w:p>
        </w:tc>
        <w:tc>
          <w:tcPr>
            <w:tcW w:type="dxa" w:w="1000"/>
            <w:shd w:fill="d1fae5"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9</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5.5</w:t>
            </w:r>
          </w:p>
        </w:tc>
        <w:tc>
          <w:tcPr>
            <w:tcW w:type="dxa" w:w="5460"/>
            <w:shd w:fill="d1fae5"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Handover and Transfer of Care</w:t>
            </w:r>
          </w:p>
          <w:p>
            <w:pPr>
              <w:spacing w:after="36" w:before="0"/>
            </w:pPr>
            <w:r>
              <w:rPr>
                <w:rFonts w:ascii="Arial" w:cs="Arial" w:eastAsia="Arial" w:hAnsi="Arial"/>
                <w:b w:val="false"/>
                <w:bCs w:val="false"/>
                <w:i/>
                <w:iCs/>
                <w:caps w:val="false"/>
                <w:color w:val="4b5563"/>
                <w:sz w:val="12"/>
                <w:szCs w:val="12"/>
              </w:rPr>
              <w:t xml:space="preserve">The hospital uses a structured handover process for every transfer of clinical responsibility, whether between shifts, departments, or facilities, ensuring critical information is not lost.</w:t>
            </w:r>
          </w:p>
        </w:tc>
        <w:tc>
          <w:tcPr>
            <w:tcW w:type="dxa" w:w="2200"/>
            <w:shd w:fill="d1fae5"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5803d"/>
                <w:sz w:val="11"/>
                <w:szCs w:val="11"/>
              </w:rPr>
              <w:t xml:space="preserve">Required for ALL facilities</w:t>
            </w:r>
          </w:p>
        </w:tc>
        <w:tc>
          <w:tcPr>
            <w:tcW w:type="dxa" w:w="1000"/>
            <w:shd w:fill="d1fae5"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11</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2 — ACCREDITED  |  Standards 5.6 to 5.8</w:t>
            </w:r>
          </w:p>
        </w:tc>
      </w:tr>
      <w:tr>
        <w:tc>
          <w:tcPr>
            <w:tcW w:type="dxa" w:w="9360"/>
            <w:gridSpan w:val="4"/>
            <w:shd w:fill="fef3c7"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92400e"/>
                <w:sz w:val="12"/>
                <w:szCs w:val="12"/>
              </w:rPr>
              <w:t xml:space="preserve">What this level means:  </w:t>
            </w:r>
            <w:r>
              <w:rPr>
                <w:rFonts w:ascii="Arial" w:cs="Arial" w:eastAsia="Arial" w:hAnsi="Arial"/>
                <w:b w:val="false"/>
                <w:bCs w:val="false"/>
                <w:i w:val="false"/>
                <w:iCs w:val="false"/>
                <w:caps w:val="false"/>
                <w:color w:val="374151"/>
                <w:sz w:val="12"/>
                <w:szCs w:val="12"/>
              </w:rPr>
              <w:t xml:space="preserve">A facility meeting Foundation standards assesses, plans, and documents care safely. An Accredited facility actively monitors patients at risk of deterioration, closes the loop on diagnostic results, and integrates rehabilitation into recovery rather than treating it as an afterthought. These are the marks of a facility that manages clinical risk proactively, not reactively.</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5.6</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Monitoring of High-Risk Patients</w:t>
            </w:r>
          </w:p>
          <w:p>
            <w:pPr>
              <w:spacing w:after="36" w:before="0"/>
            </w:pPr>
            <w:r>
              <w:rPr>
                <w:rFonts w:ascii="Arial" w:cs="Arial" w:eastAsia="Arial" w:hAnsi="Arial"/>
                <w:b w:val="false"/>
                <w:bCs w:val="false"/>
                <w:i/>
                <w:iCs/>
                <w:caps w:val="false"/>
                <w:color w:val="4b5563"/>
                <w:sz w:val="12"/>
                <w:szCs w:val="12"/>
              </w:rPr>
              <w:t xml:space="preserve">The hospital uses a structured early warning system to monitor patients at risk of deterioration, with defined trigger thresholds and an escalation response.</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13</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5.7</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Diagnostic Testing and Results Management</w:t>
            </w:r>
          </w:p>
          <w:p>
            <w:pPr>
              <w:spacing w:after="36" w:before="0"/>
            </w:pPr>
            <w:r>
              <w:rPr>
                <w:rFonts w:ascii="Arial" w:cs="Arial" w:eastAsia="Arial" w:hAnsi="Arial"/>
                <w:b w:val="false"/>
                <w:bCs w:val="false"/>
                <w:i/>
                <w:iCs/>
                <w:caps w:val="false"/>
                <w:color w:val="4b5563"/>
                <w:sz w:val="12"/>
                <w:szCs w:val="12"/>
              </w:rPr>
              <w:t xml:space="preserve">The hospital has a documented process ensuring diagnostic test results, including critical values, reach the ordering clinician and are acted on within a defined timeframe.</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15</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5.8</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Rehabilitation and Allied Health Services</w:t>
            </w:r>
          </w:p>
          <w:p>
            <w:pPr>
              <w:spacing w:after="36" w:before="0"/>
            </w:pPr>
            <w:r>
              <w:rPr>
                <w:rFonts w:ascii="Arial" w:cs="Arial" w:eastAsia="Arial" w:hAnsi="Arial"/>
                <w:b w:val="false"/>
                <w:bCs w:val="false"/>
                <w:i/>
                <w:iCs/>
                <w:caps w:val="false"/>
                <w:color w:val="4b5563"/>
                <w:sz w:val="12"/>
                <w:szCs w:val="12"/>
              </w:rPr>
              <w:t xml:space="preserve">The hospital provides access to rehabilitation and allied health services, such as physiotherapy and occupational therapy, integrated into the patient’s overall care plan when clinically indicated.</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17</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3 — ADVANCED  |  Standards 5.9 to 5.10</w:t>
            </w:r>
          </w:p>
        </w:tc>
      </w:tr>
      <w:tr>
        <w:tc>
          <w:tcPr>
            <w:tcW w:type="dxa" w:w="9360"/>
            <w:gridSpan w:val="4"/>
            <w:shd w:fill="dbeafe"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14335c"/>
                <w:sz w:val="12"/>
                <w:szCs w:val="12"/>
              </w:rPr>
              <w:t xml:space="preserve">What this level means:  </w:t>
            </w:r>
            <w:r>
              <w:rPr>
                <w:rFonts w:ascii="Arial" w:cs="Arial" w:eastAsia="Arial" w:hAnsi="Arial"/>
                <w:b w:val="false"/>
                <w:bCs w:val="false"/>
                <w:i w:val="false"/>
                <w:iCs w:val="false"/>
                <w:caps w:val="false"/>
                <w:color w:val="374151"/>
                <w:sz w:val="12"/>
                <w:szCs w:val="12"/>
              </w:rPr>
              <w:t xml:space="preserve">An Advanced facility’s clinical care extends beyond the hospital stay itself. It plans discharge from early in admission and genuinely connects patients to what comes next, and it manages chronic disease as a continuous process across care settings, not a series of disconnected encounters. These mark a facility at international best-practice level.</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5.9</w:t>
            </w:r>
          </w:p>
        </w:tc>
        <w:tc>
          <w:tcPr>
            <w:tcW w:type="dxa" w:w="5460"/>
            <w:shd w:fill="dbeafe"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Discharge Planning and Community Linkage</w:t>
            </w:r>
          </w:p>
          <w:p>
            <w:pPr>
              <w:spacing w:after="36" w:before="0"/>
            </w:pPr>
            <w:r>
              <w:rPr>
                <w:rFonts w:ascii="Arial" w:cs="Arial" w:eastAsia="Arial" w:hAnsi="Arial"/>
                <w:b w:val="false"/>
                <w:bCs w:val="false"/>
                <w:i/>
                <w:iCs/>
                <w:caps w:val="false"/>
                <w:color w:val="4b5563"/>
                <w:sz w:val="12"/>
                <w:szCs w:val="12"/>
              </w:rPr>
              <w:t xml:space="preserve">The hospital begins discharge planning early in the admission, provides patients with clear post-discharge instructions, and links them to appropriate community or follow-up services.</w:t>
            </w:r>
          </w:p>
        </w:tc>
        <w:tc>
          <w:tcPr>
            <w:tcW w:type="dxa" w:w="2200"/>
            <w:shd w:fill="dbeafe"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4335c"/>
                <w:sz w:val="11"/>
                <w:szCs w:val="11"/>
              </w:rPr>
              <w:t xml:space="preserve">INTERNATIONAL BEST PRACTICE</w:t>
            </w:r>
          </w:p>
        </w:tc>
        <w:tc>
          <w:tcPr>
            <w:tcW w:type="dxa" w:w="1000"/>
            <w:shd w:fill="dbeafe"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19</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5.10</w:t>
            </w:r>
          </w:p>
        </w:tc>
        <w:tc>
          <w:tcPr>
            <w:tcW w:type="dxa" w:w="5460"/>
            <w:shd w:fill="dbeafe"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Chronic Disease Management Protocols</w:t>
            </w:r>
          </w:p>
          <w:p>
            <w:pPr>
              <w:spacing w:after="36" w:before="0"/>
            </w:pPr>
            <w:r>
              <w:rPr>
                <w:rFonts w:ascii="Arial" w:cs="Arial" w:eastAsia="Arial" w:hAnsi="Arial"/>
                <w:b w:val="false"/>
                <w:bCs w:val="false"/>
                <w:i/>
                <w:iCs/>
                <w:caps w:val="false"/>
                <w:color w:val="4b5563"/>
                <w:sz w:val="12"/>
                <w:szCs w:val="12"/>
              </w:rPr>
              <w:t xml:space="preserve">The hospital has structured protocols for managing common chronic diseases across inpatient and outpatient settings, with defined monitoring and coordination with primary care.</w:t>
            </w:r>
          </w:p>
        </w:tc>
        <w:tc>
          <w:tcPr>
            <w:tcW w:type="dxa" w:w="2200"/>
            <w:shd w:fill="dbeafe"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4335c"/>
                <w:sz w:val="11"/>
                <w:szCs w:val="11"/>
              </w:rPr>
              <w:t xml:space="preserve">INTERNATIONAL BEST PRACTICE</w:t>
            </w:r>
          </w:p>
        </w:tc>
        <w:tc>
          <w:tcPr>
            <w:tcW w:type="dxa" w:w="1000"/>
            <w:shd w:fill="dbeafe"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21</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BACK MATTER</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Combined References — Vancouver style, with full URL for each citation</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23</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Keyword Index — alphabetical, with standard number and page for each term</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25</w:t>
            </w:r>
          </w:p>
        </w:tc>
      </w:tr>
    </w:tbl>
    <w:p>
      <w:pPr>
        <w:spacing w:after="36" w:before="2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4"/>
          <w:left w:val="none"/>
          <w:bottom w:val="none"/>
          <w:right w:val="none"/>
          <w:insideH w:val="single" w:color="auto" w:sz="4"/>
          <w:insideV w:val="single" w:color="auto" w:sz="4"/>
        </w:tblBorders>
      </w:tblPr>
      <w:tblGrid>
        <w:gridCol w:w="7000"/>
        <w:gridCol w:w="2360"/>
      </w:tblGrid>
      <w:tr>
        <w:tc>
          <w:tcPr>
            <w:tcW w:type="dxa" w:w="7000"/>
            <w:shd w:fill="0e2647" w:color="auto" w:val="clear"/>
            <w:tcMar>
              <w:top w:type="dxa" w:w="26"/>
              <w:left w:type="dxa" w:w="110"/>
              <w:bottom w:type="dxa" w:w="26"/>
              <w:right w:type="dxa" w:w="75"/>
            </w:tcMar>
            <w:vAlign w:val="top"/>
          </w:tcPr>
          <w:p>
            <w:pPr>
              <w:spacing w:after="36" w:before="0"/>
            </w:pPr>
            <w:r>
              <w:rPr>
                <w:rFonts w:ascii="Arial" w:cs="Arial" w:eastAsia="Arial" w:hAnsi="Arial"/>
                <w:b w:val="false"/>
                <w:bCs w:val="false"/>
                <w:i/>
                <w:iCs/>
                <w:caps w:val="false"/>
                <w:color w:val="6b778c"/>
                <w:sz w:val="12"/>
                <w:szCs w:val="12"/>
              </w:rPr>
              <w:t xml:space="preserve">Cross-cutting map and digital standards: </w:t>
            </w:r>
            <w:hyperlink w:history="1" r:id="rIdwooes3d8pa_nv28p6qjvv">
              <w:r>
                <w:rPr>
                  <w:rFonts w:ascii="Arial" w:cs="Arial" w:eastAsia="Arial" w:hAnsi="Arial"/>
                  <w:b/>
                  <w:bCs/>
                  <w:color w:val="c9a227"/>
                  <w:sz w:val="12"/>
                  <w:szCs w:val="12"/>
                  <w:u w:val="single"/>
                </w:rPr>
                <w:t xml:space="preserve">france-asf.fr</w:t>
              </w:r>
            </w:hyperlink>
            <w:r>
              <w:rPr>
                <w:rFonts w:ascii="Arial" w:cs="Arial" w:eastAsia="Arial" w:hAnsi="Arial"/>
                <w:b w:val="false"/>
                <w:bCs w:val="false"/>
                <w:i/>
                <w:iCs/>
                <w:caps w:val="false"/>
                <w:color w:val="6b778c"/>
                <w:sz w:val="12"/>
                <w:szCs w:val="12"/>
              </w:rPr>
              <w:t xml:space="preserve">   E-learning: </w:t>
            </w:r>
            <w:hyperlink w:history="1" r:id="rIdmgtnbano8caejchnrx_vr">
              <w:r>
                <w:rPr>
                  <w:rFonts w:ascii="Arial" w:cs="Arial" w:eastAsia="Arial" w:hAnsi="Arial"/>
                  <w:b/>
                  <w:bCs/>
                  <w:color w:val="c9a227"/>
                  <w:sz w:val="12"/>
                  <w:szCs w:val="12"/>
                  <w:u w:val="single"/>
                </w:rPr>
                <w:t xml:space="preserve">academy.gmj.ge</w:t>
              </w:r>
            </w:hyperlink>
            <w:r>
              <w:rPr>
                <w:rFonts w:ascii="Arial" w:cs="Arial" w:eastAsia="Arial" w:hAnsi="Arial"/>
                <w:b w:val="false"/>
                <w:bCs w:val="false"/>
                <w:i/>
                <w:iCs/>
                <w:caps w:val="false"/>
                <w:color w:val="6b778c"/>
                <w:sz w:val="12"/>
                <w:szCs w:val="12"/>
              </w:rPr>
              <w:t xml:space="preserve">   Advisory support: </w:t>
            </w:r>
            <w:hyperlink w:history="1" r:id="rIdmrzbqohvjaqd_gxt3hasz">
              <w:r>
                <w:rPr>
                  <w:rFonts w:ascii="Arial" w:cs="Arial" w:eastAsia="Arial" w:hAnsi="Arial"/>
                  <w:b/>
                  <w:bCs/>
                  <w:color w:val="c9a227"/>
                  <w:sz w:val="12"/>
                  <w:szCs w:val="12"/>
                  <w:u w:val="single"/>
                </w:rPr>
                <w:t xml:space="preserve">info@france-asf.fr</w:t>
              </w:r>
            </w:hyperlink>
          </w:p>
        </w:tc>
        <w:tc>
          <w:tcPr>
            <w:tcW w:type="dxa" w:w="2360"/>
            <w:shd w:fill="0e2647" w:color="auto" w:val="clear"/>
            <w:tcMar>
              <w:top w:type="dxa" w:w="26"/>
              <w:left w:type="dxa" w:w="70"/>
              <w:bottom w:type="dxa" w:w="26"/>
              <w:right w:type="dxa" w:w="75"/>
            </w:tcMar>
            <w:vAlign w:val="top"/>
          </w:tcPr>
          <w:p>
            <w:pPr>
              <w:spacing w:after="36" w:before="0"/>
            </w:pPr>
            <w:r>
              <w:rPr>
                <w:rFonts w:ascii="Arial" w:cs="Arial" w:eastAsia="Arial" w:hAnsi="Arial"/>
                <w:b w:val="false"/>
                <w:bCs w:val="false"/>
                <w:i/>
                <w:iCs/>
                <w:caps w:val="false"/>
                <w:color w:val="8fa8c8"/>
                <w:sz w:val="11"/>
                <w:szCs w:val="11"/>
              </w:rPr>
              <w:t xml:space="preserve">ASF-CH5-CCM-v2.0   ·   January 2025</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5.1</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5: Clinical Care &amp; Patient Management</w:t>
            </w:r>
          </w:p>
          <w:p>
            <w:pPr>
              <w:spacing w:after="36" w:before="0"/>
            </w:pPr>
            <w:r>
              <w:rPr>
                <w:rFonts w:ascii="Arial" w:cs="Arial" w:eastAsia="Arial" w:hAnsi="Arial"/>
                <w:b/>
                <w:bCs/>
                <w:i w:val="false"/>
                <w:iCs w:val="false"/>
                <w:caps w:val="false"/>
                <w:color w:val="dce8f5"/>
                <w:sz w:val="12"/>
                <w:szCs w:val="12"/>
              </w:rPr>
              <w:t xml:space="preserve">Patient Assessment on Admission</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3</w:t>
            </w:r>
          </w:p>
          <w:p>
            <w:pPr>
              <w:spacing w:after="36" w:before="0"/>
            </w:pPr>
            <w:r>
              <w:rPr>
                <w:rFonts w:ascii="Arial" w:cs="Arial" w:eastAsia="Arial" w:hAnsi="Arial"/>
                <w:b w:val="false"/>
                <w:bCs w:val="false"/>
                <w:i/>
                <w:iCs/>
                <w:caps w:val="false"/>
                <w:color w:val="8fa8c8"/>
                <w:sz w:val="9"/>
                <w:szCs w:val="9"/>
              </w:rPr>
              <w:t xml:space="preserve">ASF-CH5-CCM-v2.0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5.1</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Patient Assessment on Admission</w:t>
            </w:r>
          </w:p>
          <w:p>
            <w:pPr>
              <w:spacing w:after="36" w:before="0"/>
            </w:pPr>
            <w:r>
              <w:rPr>
                <w:rFonts w:ascii="Arial" w:cs="Arial" w:eastAsia="Arial" w:hAnsi="Arial"/>
                <w:b w:val="false"/>
                <w:bCs w:val="false"/>
                <w:i w:val="false"/>
                <w:iCs w:val="false"/>
                <w:caps w:val="false"/>
                <w:color w:val="4b5563"/>
                <w:sz w:val="15"/>
                <w:szCs w:val="15"/>
              </w:rPr>
              <w:t xml:space="preserve">Every patient receives a documented clinical assessment within a defined timeframe of admission, covering presenting condition, relevant history, and initial risk screening.</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policy defining the maximum time within which an initial assessment must be completed after admission?</w:t>
            </w:r>
          </w:p>
          <w:p>
            <w:pPr>
              <w:spacing w:after="7" w:before="0"/>
            </w:pPr>
            <w:r>
              <w:rPr>
                <w:rFonts w:ascii="Arial" w:cs="Arial" w:eastAsia="Arial" w:hAnsi="Arial"/>
                <w:b w:val="false"/>
                <w:bCs w:val="false"/>
                <w:i/>
                <w:iCs/>
                <w:caps w:val="false"/>
                <w:color w:val="4b5563"/>
                <w:sz w:val="15"/>
                <w:szCs w:val="15"/>
              </w:rPr>
              <w:t xml:space="preserve">Check the timeframe is specific, e.g. within 1 hour for emergency admission, not "promptly".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Assessment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completed assessments on file for a sample of recent admissions across departments?</w:t>
            </w:r>
          </w:p>
          <w:p>
            <w:pPr>
              <w:spacing w:after="7" w:before="0"/>
            </w:pPr>
            <w:r>
              <w:rPr>
                <w:rFonts w:ascii="Arial" w:cs="Arial" w:eastAsia="Arial" w:hAnsi="Arial"/>
                <w:b w:val="false"/>
                <w:bCs w:val="false"/>
                <w:i/>
                <w:iCs/>
                <w:caps w:val="false"/>
                <w:color w:val="4b5563"/>
                <w:sz w:val="15"/>
                <w:szCs w:val="15"/>
              </w:rPr>
              <w:t xml:space="preserve">Spot-check five records for completeness.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Sample assessment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the initial assessment include risk screening, such as falls, pressure injury, and nutrition?</w:t>
            </w:r>
          </w:p>
          <w:p>
            <w:pPr>
              <w:spacing w:after="7" w:before="0"/>
            </w:pPr>
            <w:r>
              <w:rPr>
                <w:rFonts w:ascii="Arial" w:cs="Arial" w:eastAsia="Arial" w:hAnsi="Arial"/>
                <w:b w:val="false"/>
                <w:bCs w:val="false"/>
                <w:i/>
                <w:iCs/>
                <w:caps w:val="false"/>
                <w:color w:val="4b5563"/>
                <w:sz w:val="15"/>
                <w:szCs w:val="15"/>
              </w:rPr>
              <w:t xml:space="preserve">Check the assessment form for these specific elements.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Assessment form/template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 assessment completed by a clinician qualified to perform it, with the assessor identified in the record?</w:t>
            </w:r>
          </w:p>
          <w:p>
            <w:pPr>
              <w:spacing w:after="36" w:before="0"/>
            </w:pPr>
            <w:r>
              <w:rPr>
                <w:rFonts w:ascii="Arial" w:cs="Arial" w:eastAsia="Arial" w:hAnsi="Arial"/>
                <w:b w:val="false"/>
                <w:bCs w:val="false"/>
                <w:i/>
                <w:iCs/>
                <w:caps w:val="false"/>
                <w:color w:val="4b5563"/>
                <w:sz w:val="15"/>
                <w:szCs w:val="15"/>
              </w:rPr>
              <w:t xml:space="preserve">Check who signs the assessment.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assessments completed within the defined timeframe in observed practice, not only in policy?</w:t>
            </w:r>
          </w:p>
          <w:p>
            <w:pPr>
              <w:spacing w:after="7" w:before="0"/>
            </w:pPr>
            <w:r>
              <w:rPr>
                <w:rFonts w:ascii="Arial" w:cs="Arial" w:eastAsia="Arial" w:hAnsi="Arial"/>
                <w:b w:val="false"/>
                <w:bCs w:val="false"/>
                <w:i/>
                <w:iCs/>
                <w:caps w:val="false"/>
                <w:color w:val="4b5563"/>
                <w:sz w:val="15"/>
                <w:szCs w:val="15"/>
              </w:rPr>
              <w:t xml:space="preserve">Compare admission time to assessment completion time for a sample of records.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Timestamp comparison sample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Assessment timeframe compliance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Compares admission timestamps to assessment completion timestamps for a sample of records against the policy standard.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Risk screening content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the assessment form includes falls, pressure injury, and nutrition screening at minimum.</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Assessor qualification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who is authorised to complete the initial assessment and checks this against a sample of signed records.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Ward assessment observation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Where possible, observes or reviews documentation of an assessment being conducted on a newly admitted patient.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ut_vihueopsvhmd204isx">
              <w:r>
                <w:rPr>
                  <w:rFonts w:ascii="Arial" w:cs="Arial" w:eastAsia="Arial" w:hAnsi="Arial"/>
                  <w:b/>
                  <w:bCs/>
                  <w:color w:val="c9a227"/>
                  <w:sz w:val="13"/>
                  <w:szCs w:val="13"/>
                  <w:u w:val="single"/>
                </w:rPr>
                <w:t xml:space="preserve">World Health Organization. WHO recommendations for clinical assessment and referral. Geneva: WHO; 2019.</w:t>
              </w:r>
            </w:hyperlink>
            <w:r>
              <w:rPr>
                <w:rFonts w:ascii="Arial" w:cs="Arial" w:eastAsia="Arial" w:hAnsi="Arial"/>
                <w:b/>
                <w:bCs/>
                <w:i w:val="false"/>
                <w:iCs w:val="false"/>
                <w:caps w:val="false"/>
                <w:color w:val="6b778c"/>
                <w:sz w:val="13"/>
                <w:szCs w:val="13"/>
              </w:rPr>
              <w:t xml:space="preserve">   2. </w:t>
            </w:r>
            <w:hyperlink w:history="1" r:id="rId_35nqojyjctdcfcsrq08w">
              <w:r>
                <w:rPr>
                  <w:rFonts w:ascii="Arial" w:cs="Arial" w:eastAsia="Arial" w:hAnsi="Arial"/>
                  <w:b/>
                  <w:bCs/>
                  <w:color w:val="c9a227"/>
                  <w:sz w:val="13"/>
                  <w:szCs w:val="13"/>
                  <w:u w:val="single"/>
                </w:rPr>
                <w:t xml:space="preserve">National Institute for Health and Care Excellence. Emergency and acute medical care in over 16s: service delivery and organisation. London: NICE; 2018.</w:t>
              </w:r>
            </w:hyperlink>
            <w:r>
              <w:rPr>
                <w:rFonts w:ascii="Arial" w:cs="Arial" w:eastAsia="Arial" w:hAnsi="Arial"/>
                <w:b/>
                <w:bCs/>
                <w:i w:val="false"/>
                <w:iCs w:val="false"/>
                <w:caps w:val="false"/>
                <w:color w:val="6b778c"/>
                <w:sz w:val="13"/>
                <w:szCs w:val="13"/>
              </w:rPr>
              <w:t xml:space="preserve">   3. </w:t>
            </w:r>
            <w:hyperlink w:history="1" r:id="rIdb5dshkj-0ug8gp6ply5lq">
              <w:r>
                <w:rPr>
                  <w:rFonts w:ascii="Arial" w:cs="Arial" w:eastAsia="Arial" w:hAnsi="Arial"/>
                  <w:b/>
                  <w:bCs/>
                  <w:color w:val="c9a227"/>
                  <w:sz w:val="13"/>
                  <w:szCs w:val="13"/>
                  <w:u w:val="single"/>
                </w:rPr>
                <w:t xml:space="preserve">Royal College of Physicians. National Early Warning Score (NEWS2). London: RCP; 2017.</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5.1</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5.1</w:t>
            </w:r>
            <w:r>
              <w:rPr>
                <w:rFonts w:ascii="Arial" w:cs="Arial" w:eastAsia="Arial" w:hAnsi="Arial"/>
                <w:b w:val="false"/>
                <w:bCs w:val="false"/>
                <w:i/>
                <w:iCs/>
                <w:caps w:val="false"/>
                <w:color w:val="8fa8c8"/>
                <w:sz w:val="10"/>
                <w:szCs w:val="10"/>
              </w:rPr>
              <w:t xml:space="preserve">  ·  Level 1  ·  Chapter 5: Clinical Care &amp; Patient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4</w:t>
            </w:r>
          </w:p>
          <w:p>
            <w:pPr>
              <w:spacing w:after="36" w:before="0"/>
            </w:pPr>
            <w:r>
              <w:rPr>
                <w:rFonts w:ascii="Arial" w:cs="Arial" w:eastAsia="Arial" w:hAnsi="Arial"/>
                <w:b w:val="false"/>
                <w:bCs w:val="false"/>
                <w:i/>
                <w:iCs/>
                <w:caps w:val="false"/>
                <w:color w:val="8fa8c8"/>
                <w:sz w:val="9"/>
                <w:szCs w:val="9"/>
              </w:rPr>
              <w:t xml:space="preserve">ASF-CH5-CCM-v2.0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patient whose condition and risks are not properly characterised at the point of admission is being cared for on assumptions rather than evidence — a missed fall risk, an unrecognised allergy, an underlying condition not asked about, each becomes a preventable event down the line. A timely, structured initial assessment is what allows every subsequent decision in that patient’s stay to be built on an accurate picture, not a guess.</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Royal College of Physicians 2017 — structured, standardised initial assessment and risk scoring is associated with earlier identification of clinical deterioration and reduced adverse outcomes.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Initial assessment is completed within a clearly defined timeframe after admission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Assessment includes structured risk screening for falls, pressure injury, and nutrition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assessing clinician is identified and appropriately qualified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Assessments are consistently completed within the timeframe in observed practice, not only on paper</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Assessment findings visibly inform the initial care plan</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timeframe exists for completing an initial assessment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Assessments are missing or incomplete for a significant proportion of admissions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Risk screening is absent or inconsistent across patients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Assessments are sometimes completed by staff not qualified to perform them</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Assessment timing routinely exceeds the policy standard without being flagged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policy states a timeframe that is rarely met in practice.</w:t>
            </w:r>
          </w:p>
          <w:p>
            <w:pPr>
              <w:spacing w:after="20" w:before="0"/>
            </w:pPr>
            <w:r>
              <w:rPr>
                <w:rFonts w:ascii="Arial" w:cs="Arial" w:eastAsia="Arial" w:hAnsi="Arial"/>
                <w:b w:val="false"/>
                <w:bCs w:val="false"/>
                <w:i/>
                <w:iCs/>
                <w:caps w:val="false"/>
                <w:color w:val="4b5563"/>
                <w:sz w:val="15"/>
                <w:szCs w:val="15"/>
              </w:rPr>
              <w:t xml:space="preserve">A clear standard exists, but under admission pressure, actual assessment completion regularly lags well behind the stated target.</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Assessment happens but risk screening is inconsistently included.</w:t>
            </w:r>
          </w:p>
          <w:p>
            <w:pPr>
              <w:spacing w:after="20" w:before="0"/>
            </w:pPr>
            <w:r>
              <w:rPr>
                <w:rFonts w:ascii="Arial" w:cs="Arial" w:eastAsia="Arial" w:hAnsi="Arial"/>
                <w:b w:val="false"/>
                <w:bCs w:val="false"/>
                <w:i/>
                <w:iCs/>
                <w:caps w:val="false"/>
                <w:color w:val="4b5563"/>
                <w:sz w:val="15"/>
                <w:szCs w:val="15"/>
              </w:rPr>
              <w:t xml:space="preserve">A general clinical assessment is completed reliably, but falls, pressure injury, or nutrition screening is sometimes skipped.</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Assessment quality varies significantly by department or shift.</w:t>
            </w:r>
          </w:p>
          <w:p>
            <w:pPr>
              <w:spacing w:after="36" w:before="0"/>
            </w:pPr>
            <w:r>
              <w:rPr>
                <w:rFonts w:ascii="Arial" w:cs="Arial" w:eastAsia="Arial" w:hAnsi="Arial"/>
                <w:b w:val="false"/>
                <w:bCs w:val="false"/>
                <w:i/>
                <w:iCs/>
                <w:caps w:val="false"/>
                <w:color w:val="4b5563"/>
                <w:sz w:val="15"/>
                <w:szCs w:val="15"/>
              </w:rPr>
              <w:t xml:space="preserve">Some areas of the hospital consistently produce thorough, timely assessments; others treat it as a lower priority under pressure.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or set a specific timeframe for completing initial assessment after admission.</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Review the assessment form for inclusion of falls, pressure injury, and nutrition risk screening.</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Audit a sample of recent admissions for timeliness and completeness.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Address gaps found in the audit with targeted training or workflow adjustment.</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Track assessment timeliness and completeness as a routine quality indicator.</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Compare timestamps, not just the presence of a form.  </w:t>
            </w:r>
            <w:r>
              <w:rPr>
                <w:rFonts w:ascii="Arial" w:cs="Arial" w:eastAsia="Arial" w:hAnsi="Arial"/>
                <w:b w:val="false"/>
                <w:bCs w:val="false"/>
                <w:i w:val="false"/>
                <w:iCs w:val="false"/>
                <w:caps w:val="false"/>
                <w:color w:val="374151"/>
                <w:sz w:val="16"/>
                <w:szCs w:val="16"/>
              </w:rPr>
              <w:t xml:space="preserve">A completed assessment form proves little without checking when it was actually done relative to admission.</w:t>
            </w:r>
          </w:p>
          <w:p>
            <w:pPr>
              <w:spacing w:after="16" w:before="0"/>
            </w:pPr>
            <w:r>
              <w:rPr>
                <w:rFonts w:ascii="Arial" w:cs="Arial" w:eastAsia="Arial" w:hAnsi="Arial"/>
                <w:b/>
                <w:bCs/>
                <w:i w:val="false"/>
                <w:iCs w:val="false"/>
                <w:caps w:val="false"/>
                <w:color w:val="b91c1c"/>
                <w:sz w:val="15"/>
                <w:szCs w:val="15"/>
              </w:rPr>
              <w:t xml:space="preserve">Check risk screening fields specifically, not just the overall assessment.  </w:t>
            </w:r>
            <w:r>
              <w:rPr>
                <w:rFonts w:ascii="Arial" w:cs="Arial" w:eastAsia="Arial" w:hAnsi="Arial"/>
                <w:b w:val="false"/>
                <w:bCs w:val="false"/>
                <w:i w:val="false"/>
                <w:iCs w:val="false"/>
                <w:caps w:val="false"/>
                <w:color w:val="374151"/>
                <w:sz w:val="16"/>
                <w:szCs w:val="16"/>
              </w:rPr>
              <w:t xml:space="preserve">Falls, pressure injury, and nutrition screening are the fields most often skipped under time pressure.</w:t>
            </w:r>
          </w:p>
          <w:p>
            <w:pPr>
              <w:spacing w:after="36" w:before="0"/>
            </w:pPr>
            <w:r>
              <w:rPr>
                <w:rFonts w:ascii="Arial" w:cs="Arial" w:eastAsia="Arial" w:hAnsi="Arial"/>
                <w:b/>
                <w:bCs/>
                <w:i w:val="false"/>
                <w:iCs w:val="false"/>
                <w:caps w:val="false"/>
                <w:color w:val="b91c1c"/>
                <w:sz w:val="15"/>
                <w:szCs w:val="15"/>
              </w:rPr>
              <w:t xml:space="preserve">Sample across departments and shifts.  </w:t>
            </w:r>
            <w:r>
              <w:rPr>
                <w:rFonts w:ascii="Arial" w:cs="Arial" w:eastAsia="Arial" w:hAnsi="Arial"/>
                <w:b w:val="false"/>
                <w:bCs w:val="false"/>
                <w:i w:val="false"/>
                <w:iCs w:val="false"/>
                <w:caps w:val="false"/>
                <w:color w:val="374151"/>
                <w:sz w:val="16"/>
                <w:szCs w:val="16"/>
              </w:rPr>
              <w:t xml:space="preserve">Assessment quality often varies more by department or time of day than by hospital-wide policy.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fyqvkeorhevqywzdotezd">
              <w:r>
                <w:rPr>
                  <w:rFonts w:ascii="Arial" w:cs="Arial" w:eastAsia="Arial" w:hAnsi="Arial"/>
                  <w:b/>
                  <w:bCs/>
                  <w:color w:val="c9a227"/>
                  <w:sz w:val="13"/>
                  <w:szCs w:val="13"/>
                  <w:u w:val="single"/>
                </w:rPr>
                <w:t xml:space="preserve">academy.gmj.ge/ch5-1-patient-assessment-admission</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5.2</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5: Clinical Care &amp; Patient Management</w:t>
            </w:r>
          </w:p>
          <w:p>
            <w:pPr>
              <w:spacing w:after="36" w:before="0"/>
            </w:pPr>
            <w:r>
              <w:rPr>
                <w:rFonts w:ascii="Arial" w:cs="Arial" w:eastAsia="Arial" w:hAnsi="Arial"/>
                <w:b/>
                <w:bCs/>
                <w:i w:val="false"/>
                <w:iCs w:val="false"/>
                <w:caps w:val="false"/>
                <w:color w:val="dce8f5"/>
                <w:sz w:val="12"/>
                <w:szCs w:val="12"/>
              </w:rPr>
              <w:t xml:space="preserve">Care Planning and Goal Setting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5</w:t>
            </w:r>
          </w:p>
          <w:p>
            <w:pPr>
              <w:spacing w:after="36" w:before="0"/>
            </w:pPr>
            <w:r>
              <w:rPr>
                <w:rFonts w:ascii="Arial" w:cs="Arial" w:eastAsia="Arial" w:hAnsi="Arial"/>
                <w:b w:val="false"/>
                <w:bCs w:val="false"/>
                <w:i/>
                <w:iCs/>
                <w:caps w:val="false"/>
                <w:color w:val="8fa8c8"/>
                <w:sz w:val="9"/>
                <w:szCs w:val="9"/>
              </w:rPr>
              <w:t xml:space="preserve">ASF-CH5-CCM-v2.0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5.2</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Care Planning and Goal Setting</w:t>
            </w:r>
          </w:p>
          <w:p>
            <w:pPr>
              <w:spacing w:after="36" w:before="0"/>
            </w:pPr>
            <w:r>
              <w:rPr>
                <w:rFonts w:ascii="Arial" w:cs="Arial" w:eastAsia="Arial" w:hAnsi="Arial"/>
                <w:b w:val="false"/>
                <w:bCs w:val="false"/>
                <w:i w:val="false"/>
                <w:iCs w:val="false"/>
                <w:caps w:val="false"/>
                <w:color w:val="4b5563"/>
                <w:sz w:val="15"/>
                <w:szCs w:val="15"/>
              </w:rPr>
              <w:t xml:space="preserve">Every patient has a documented, individualised care plan derived from their assessment, with defined goals, reviewed and updated as their condition changes.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policy requiring an individualised care plan for every patient, derived from assessment findings?</w:t>
            </w:r>
          </w:p>
          <w:p>
            <w:pPr>
              <w:spacing w:after="7" w:before="0"/>
            </w:pPr>
            <w:r>
              <w:rPr>
                <w:rFonts w:ascii="Arial" w:cs="Arial" w:eastAsia="Arial" w:hAnsi="Arial"/>
                <w:b w:val="false"/>
                <w:bCs w:val="false"/>
                <w:i/>
                <w:iCs/>
                <w:caps w:val="false"/>
                <w:color w:val="4b5563"/>
                <w:sz w:val="15"/>
                <w:szCs w:val="15"/>
              </w:rPr>
              <w:t xml:space="preserve">Check the plan is patient-specific, not a generic template applied unchanged.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Care planning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care plans on file and up to date for a sample of current inpatients?</w:t>
            </w:r>
          </w:p>
          <w:p>
            <w:pPr>
              <w:spacing w:after="7" w:before="0"/>
            </w:pPr>
            <w:r>
              <w:rPr>
                <w:rFonts w:ascii="Arial" w:cs="Arial" w:eastAsia="Arial" w:hAnsi="Arial"/>
                <w:b w:val="false"/>
                <w:bCs w:val="false"/>
                <w:i/>
                <w:iCs/>
                <w:caps w:val="false"/>
                <w:color w:val="4b5563"/>
                <w:sz w:val="15"/>
                <w:szCs w:val="15"/>
              </w:rPr>
              <w:t xml:space="preserve">Spot-check five current patient records.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Sample care plans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 care plans include specific, patient-relevant goals, not only tasks?</w:t>
            </w:r>
          </w:p>
          <w:p>
            <w:pPr>
              <w:spacing w:after="36" w:before="0"/>
            </w:pPr>
            <w:r>
              <w:rPr>
                <w:rFonts w:ascii="Arial" w:cs="Arial" w:eastAsia="Arial" w:hAnsi="Arial"/>
                <w:b w:val="false"/>
                <w:bCs w:val="false"/>
                <w:i/>
                <w:iCs/>
                <w:caps w:val="false"/>
                <w:color w:val="4b5563"/>
                <w:sz w:val="15"/>
                <w:szCs w:val="15"/>
              </w:rPr>
              <w:t xml:space="preserve">Check for goals stated in terms meaningful to the patient’s condition and recovery.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 care plan reviewed and updated at a defined frequency or when the patient’s condition changes?</w:t>
            </w:r>
          </w:p>
          <w:p>
            <w:pPr>
              <w:spacing w:after="7" w:before="0"/>
            </w:pPr>
            <w:r>
              <w:rPr>
                <w:rFonts w:ascii="Arial" w:cs="Arial" w:eastAsia="Arial" w:hAnsi="Arial"/>
                <w:b w:val="false"/>
                <w:bCs w:val="false"/>
                <w:i/>
                <w:iCs/>
                <w:caps w:val="false"/>
                <w:color w:val="4b5563"/>
                <w:sz w:val="15"/>
                <w:szCs w:val="15"/>
              </w:rPr>
              <w:t xml:space="preserve">Check review dates against the policy standard.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Review log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 patient, or their representative, involved in setting care goals where possible?</w:t>
            </w:r>
          </w:p>
          <w:p>
            <w:pPr>
              <w:spacing w:after="36" w:before="0"/>
            </w:pPr>
            <w:r>
              <w:rPr>
                <w:rFonts w:ascii="Arial" w:cs="Arial" w:eastAsia="Arial" w:hAnsi="Arial"/>
                <w:b w:val="false"/>
                <w:bCs w:val="false"/>
                <w:i/>
                <w:iCs/>
                <w:caps w:val="false"/>
                <w:color w:val="4b5563"/>
                <w:sz w:val="15"/>
                <w:szCs w:val="15"/>
              </w:rPr>
              <w:t xml:space="preserve">Ask a patient or check documentation for evidence of involvement.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Care plan individualisation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 sample of care plans to confirm they are patient-specific and derived from assessment findings, not generic templates.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Review frequency audit</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care plan review dates against the policy-defined frequency for a sample of current patients.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Patient involvement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patient, where appropriate, whether they were involved in setting their own care goals.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Goal specificity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care plans for goals stated in specific, patient-relevant terms rather than generic task lists.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2iwfkyyhu4bzwutaixalb">
              <w:r>
                <w:rPr>
                  <w:rFonts w:ascii="Arial" w:cs="Arial" w:eastAsia="Arial" w:hAnsi="Arial"/>
                  <w:b/>
                  <w:bCs/>
                  <w:color w:val="c9a227"/>
                  <w:sz w:val="13"/>
                  <w:szCs w:val="13"/>
                  <w:u w:val="single"/>
                </w:rPr>
                <w:t xml:space="preserve">World Health Organization. WHO framework on integrated people-centred health services. Geneva: WHO; 2016.</w:t>
              </w:r>
            </w:hyperlink>
            <w:r>
              <w:rPr>
                <w:rFonts w:ascii="Arial" w:cs="Arial" w:eastAsia="Arial" w:hAnsi="Arial"/>
                <w:b/>
                <w:bCs/>
                <w:i w:val="false"/>
                <w:iCs w:val="false"/>
                <w:caps w:val="false"/>
                <w:color w:val="6b778c"/>
                <w:sz w:val="13"/>
                <w:szCs w:val="13"/>
              </w:rPr>
              <w:t xml:space="preserve">   2. </w:t>
            </w:r>
            <w:hyperlink w:history="1" r:id="rIdi6ksqlvklg-dbuya-rj9t">
              <w:r>
                <w:rPr>
                  <w:rFonts w:ascii="Arial" w:cs="Arial" w:eastAsia="Arial" w:hAnsi="Arial"/>
                  <w:b/>
                  <w:bCs/>
                  <w:color w:val="c9a227"/>
                  <w:sz w:val="13"/>
                  <w:szCs w:val="13"/>
                  <w:u w:val="single"/>
                </w:rPr>
                <w:t xml:space="preserve">National Institute for Health and Care Excellence. Patient experience in adult NHS services: improving the experience of care for people using adult NHS services. London: NICE; 2012.</w:t>
              </w:r>
            </w:hyperlink>
            <w:r>
              <w:rPr>
                <w:rFonts w:ascii="Arial" w:cs="Arial" w:eastAsia="Arial" w:hAnsi="Arial"/>
                <w:b/>
                <w:bCs/>
                <w:i w:val="false"/>
                <w:iCs w:val="false"/>
                <w:caps w:val="false"/>
                <w:color w:val="6b778c"/>
                <w:sz w:val="13"/>
                <w:szCs w:val="13"/>
              </w:rPr>
              <w:t xml:space="preserve">   3. </w:t>
            </w:r>
            <w:hyperlink w:history="1" r:id="rIdu3aqa45sx_jxwar3n9kuj">
              <w:r>
                <w:rPr>
                  <w:rFonts w:ascii="Arial" w:cs="Arial" w:eastAsia="Arial" w:hAnsi="Arial"/>
                  <w:b/>
                  <w:bCs/>
                  <w:color w:val="c9a227"/>
                  <w:sz w:val="13"/>
                  <w:szCs w:val="13"/>
                  <w:u w:val="single"/>
                </w:rPr>
                <w:t xml:space="preserve">Coulter A, Collins A. Making Shared Decision-Making a Reality. London: The King’s Fund; 2011.</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5.2</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5.2</w:t>
            </w:r>
            <w:r>
              <w:rPr>
                <w:rFonts w:ascii="Arial" w:cs="Arial" w:eastAsia="Arial" w:hAnsi="Arial"/>
                <w:b w:val="false"/>
                <w:bCs w:val="false"/>
                <w:i/>
                <w:iCs/>
                <w:caps w:val="false"/>
                <w:color w:val="8fa8c8"/>
                <w:sz w:val="10"/>
                <w:szCs w:val="10"/>
              </w:rPr>
              <w:t xml:space="preserve">  ·  Level 1  ·  Chapter 5: Clinical Care &amp; Patient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6</w:t>
            </w:r>
          </w:p>
          <w:p>
            <w:pPr>
              <w:spacing w:after="36" w:before="0"/>
            </w:pPr>
            <w:r>
              <w:rPr>
                <w:rFonts w:ascii="Arial" w:cs="Arial" w:eastAsia="Arial" w:hAnsi="Arial"/>
                <w:b w:val="false"/>
                <w:bCs w:val="false"/>
                <w:i/>
                <w:iCs/>
                <w:caps w:val="false"/>
                <w:color w:val="8fa8c8"/>
                <w:sz w:val="9"/>
                <w:szCs w:val="9"/>
              </w:rPr>
              <w:t xml:space="preserve">ASF-CH5-CCM-v2.0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care plan copied unchanged from a generic template, or never revisited as a patient’s condition evolves, stops reflecting the actual person being treated — it becomes paperwork rather than a working guide to their care. An individualised, regularly reviewed plan, built with the patient’s own goals in view, keeps the whole care team oriented toward the same specific outcome for that specific patient.</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Coulter &amp; Collins 2011 — care planning that genuinely involves patients in setting their own goals is associated with better adherence to treatment and improved patient-reported outcomes.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Every patient has an individualised care plan derived from their own assessment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Goals are specific and meaningful to the patient’s condition, not generic tasks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Care plans are reviewed and updated at a defined frequency or with condition changes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Patients or their representatives are involved in setting care goals where possible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Care plans are current and consistent with the patient’s latest clinical status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Care plans are generic templates applied unchanged across patients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Care plans are missing or absent for a significant proportion of inpatients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Goals, where stated, are vague or purely task-based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Care plans are not reviewed as a patient’s condition changes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Patients have no involvement in or awareness of their own care goals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A care plan exists but reads identically across many patients.</w:t>
            </w:r>
          </w:p>
          <w:p>
            <w:pPr>
              <w:spacing w:after="20" w:before="0"/>
            </w:pPr>
            <w:r>
              <w:rPr>
                <w:rFonts w:ascii="Arial" w:cs="Arial" w:eastAsia="Arial" w:hAnsi="Arial"/>
                <w:b w:val="false"/>
                <w:bCs w:val="false"/>
                <w:i/>
                <w:iCs/>
                <w:caps w:val="false"/>
                <w:color w:val="4b5563"/>
                <w:sz w:val="15"/>
                <w:szCs w:val="15"/>
              </w:rPr>
              <w:t xml:space="preserve">Plans are technically completed for every patient, but the content is so templated that it does not reflect individual circumstances.</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Plans are current at admission but not updated as condition changes.</w:t>
            </w:r>
          </w:p>
          <w:p>
            <w:pPr>
              <w:spacing w:after="20" w:before="0"/>
            </w:pPr>
            <w:r>
              <w:rPr>
                <w:rFonts w:ascii="Arial" w:cs="Arial" w:eastAsia="Arial" w:hAnsi="Arial"/>
                <w:b w:val="false"/>
                <w:bCs w:val="false"/>
                <w:i/>
                <w:iCs/>
                <w:caps w:val="false"/>
                <w:color w:val="4b5563"/>
                <w:sz w:val="15"/>
                <w:szCs w:val="15"/>
              </w:rPr>
              <w:t xml:space="preserve">An individualised plan is created initially, but as the patient’s status evolves, the plan is not revisited to match.</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Goals are documented but the patient was never actually asked.</w:t>
            </w:r>
          </w:p>
          <w:p>
            <w:pPr>
              <w:spacing w:after="36" w:before="0"/>
            </w:pPr>
            <w:r>
              <w:rPr>
                <w:rFonts w:ascii="Arial" w:cs="Arial" w:eastAsia="Arial" w:hAnsi="Arial"/>
                <w:b w:val="false"/>
                <w:bCs w:val="false"/>
                <w:i/>
                <w:iCs/>
                <w:caps w:val="false"/>
                <w:color w:val="4b5563"/>
                <w:sz w:val="15"/>
                <w:szCs w:val="15"/>
              </w:rPr>
              <w:t xml:space="preserve">Care plan goals are recorded, but they reflect clinical assumptions rather than any conversation with the patient about what matters to them.</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Review current care plan templates and ensure they can be genuinely individualised.</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Set or confirm a review frequency tied to condition change, not only a fixed calendar interval.</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Introduce a structured prompt for eliciting patient goals during care planning.</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Audit a sample of current care plans for individualisation and patient involvement.</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Review care plans at the defined frequency; track patient involvement as a quality indicator.</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Compare two patients’ care plans side by side.  </w:t>
            </w:r>
            <w:r>
              <w:rPr>
                <w:rFonts w:ascii="Arial" w:cs="Arial" w:eastAsia="Arial" w:hAnsi="Arial"/>
                <w:b w:val="false"/>
                <w:bCs w:val="false"/>
                <w:i w:val="false"/>
                <w:iCs w:val="false"/>
                <w:caps w:val="false"/>
                <w:color w:val="374151"/>
                <w:sz w:val="16"/>
                <w:szCs w:val="16"/>
              </w:rPr>
              <w:t xml:space="preserve">If the content is nearly identical regardless of the patient’s actual condition, individualisation is not genuinely happening.</w:t>
            </w:r>
          </w:p>
          <w:p>
            <w:pPr>
              <w:spacing w:after="16" w:before="0"/>
            </w:pPr>
            <w:r>
              <w:rPr>
                <w:rFonts w:ascii="Arial" w:cs="Arial" w:eastAsia="Arial" w:hAnsi="Arial"/>
                <w:b/>
                <w:bCs/>
                <w:i w:val="false"/>
                <w:iCs w:val="false"/>
                <w:caps w:val="false"/>
                <w:color w:val="b91c1c"/>
                <w:sz w:val="15"/>
                <w:szCs w:val="15"/>
              </w:rPr>
              <w:t xml:space="preserve">Ask a patient what their care goal is, if appropriate.  </w:t>
            </w:r>
            <w:r>
              <w:rPr>
                <w:rFonts w:ascii="Arial" w:cs="Arial" w:eastAsia="Arial" w:hAnsi="Arial"/>
                <w:b w:val="false"/>
                <w:bCs w:val="false"/>
                <w:i w:val="false"/>
                <w:iCs w:val="false"/>
                <w:caps w:val="false"/>
                <w:color w:val="374151"/>
                <w:sz w:val="16"/>
                <w:szCs w:val="16"/>
              </w:rPr>
              <w:t xml:space="preserve">A patient who can describe their own goal in their own words indicates real involvement; one who cannot suggests the plan was written without them.</w:t>
            </w:r>
          </w:p>
          <w:p>
            <w:pPr>
              <w:spacing w:after="36" w:before="0"/>
            </w:pPr>
            <w:r>
              <w:rPr>
                <w:rFonts w:ascii="Arial" w:cs="Arial" w:eastAsia="Arial" w:hAnsi="Arial"/>
                <w:b/>
                <w:bCs/>
                <w:i w:val="false"/>
                <w:iCs w:val="false"/>
                <w:caps w:val="false"/>
                <w:color w:val="b91c1c"/>
                <w:sz w:val="15"/>
                <w:szCs w:val="15"/>
              </w:rPr>
              <w:t xml:space="preserve">Check the last review date against the last significant clinical change.  </w:t>
            </w:r>
            <w:r>
              <w:rPr>
                <w:rFonts w:ascii="Arial" w:cs="Arial" w:eastAsia="Arial" w:hAnsi="Arial"/>
                <w:b w:val="false"/>
                <w:bCs w:val="false"/>
                <w:i w:val="false"/>
                <w:iCs w:val="false"/>
                <w:caps w:val="false"/>
                <w:color w:val="374151"/>
                <w:sz w:val="16"/>
                <w:szCs w:val="16"/>
              </w:rPr>
              <w:t xml:space="preserve">A plan unrevised despite a documented deterioration or improvement reveals a review process that exists on paper only.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zggtpzzrt5ceujehkmfgy">
              <w:r>
                <w:rPr>
                  <w:rFonts w:ascii="Arial" w:cs="Arial" w:eastAsia="Arial" w:hAnsi="Arial"/>
                  <w:b/>
                  <w:bCs/>
                  <w:color w:val="c9a227"/>
                  <w:sz w:val="13"/>
                  <w:szCs w:val="13"/>
                  <w:u w:val="single"/>
                </w:rPr>
                <w:t xml:space="preserve">academy.gmj.ge/ch5-2-care-planning-goal-setting</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5.3</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5: Clinical Care &amp; Patient Management</w:t>
            </w:r>
          </w:p>
          <w:p>
            <w:pPr>
              <w:spacing w:after="36" w:before="0"/>
            </w:pPr>
            <w:r>
              <w:rPr>
                <w:rFonts w:ascii="Arial" w:cs="Arial" w:eastAsia="Arial" w:hAnsi="Arial"/>
                <w:b/>
                <w:bCs/>
                <w:i w:val="false"/>
                <w:iCs w:val="false"/>
                <w:caps w:val="false"/>
                <w:color w:val="dce8f5"/>
                <w:sz w:val="12"/>
                <w:szCs w:val="12"/>
              </w:rPr>
              <w:t xml:space="preserve">Medication Safety and Prescribing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7</w:t>
            </w:r>
          </w:p>
          <w:p>
            <w:pPr>
              <w:spacing w:after="36" w:before="0"/>
            </w:pPr>
            <w:r>
              <w:rPr>
                <w:rFonts w:ascii="Arial" w:cs="Arial" w:eastAsia="Arial" w:hAnsi="Arial"/>
                <w:b w:val="false"/>
                <w:bCs w:val="false"/>
                <w:i/>
                <w:iCs/>
                <w:caps w:val="false"/>
                <w:color w:val="8fa8c8"/>
                <w:sz w:val="9"/>
                <w:szCs w:val="9"/>
              </w:rPr>
              <w:t xml:space="preserve">ASF-CH5-CCM-v2.0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5.3</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Medication Safety and Prescribing</w:t>
            </w:r>
          </w:p>
          <w:p>
            <w:pPr>
              <w:spacing w:after="36" w:before="0"/>
            </w:pPr>
            <w:r>
              <w:rPr>
                <w:rFonts w:ascii="Arial" w:cs="Arial" w:eastAsia="Arial" w:hAnsi="Arial"/>
                <w:b w:val="false"/>
                <w:bCs w:val="false"/>
                <w:i w:val="false"/>
                <w:iCs w:val="false"/>
                <w:caps w:val="false"/>
                <w:color w:val="4b5563"/>
                <w:sz w:val="15"/>
                <w:szCs w:val="15"/>
              </w:rPr>
              <w:t xml:space="preserve">The hospital has a documented, followed process for safe prescribing, dispensing, and administration of medication, including allergy checks, dose verification, and a defined double-check for high-risk medications.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written medication safety policy covering prescribing, dispensing, and administration?</w:t>
            </w:r>
          </w:p>
          <w:p>
            <w:pPr>
              <w:spacing w:after="7" w:before="0"/>
            </w:pPr>
            <w:r>
              <w:rPr>
                <w:rFonts w:ascii="Arial" w:cs="Arial" w:eastAsia="Arial" w:hAnsi="Arial"/>
                <w:b w:val="false"/>
                <w:bCs w:val="false"/>
                <w:i/>
                <w:iCs/>
                <w:caps w:val="false"/>
                <w:color w:val="4b5563"/>
                <w:sz w:val="15"/>
                <w:szCs w:val="15"/>
              </w:rPr>
              <w:t xml:space="preserve">Check all three stages are addressed, not only prescribing.</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Medication safety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allergy status checked and documented before every new prescription?</w:t>
            </w:r>
          </w:p>
          <w:p>
            <w:pPr>
              <w:spacing w:after="7" w:before="0"/>
            </w:pPr>
            <w:r>
              <w:rPr>
                <w:rFonts w:ascii="Arial" w:cs="Arial" w:eastAsia="Arial" w:hAnsi="Arial"/>
                <w:b w:val="false"/>
                <w:bCs w:val="false"/>
                <w:i/>
                <w:iCs/>
                <w:caps w:val="false"/>
                <w:color w:val="4b5563"/>
                <w:sz w:val="15"/>
                <w:szCs w:val="15"/>
              </w:rPr>
              <w:t xml:space="preserve">Spot-check a sample of prescriptions against documented allergy status.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Allergy documentation sample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double-check process for high-risk medications, such as insulin, anticoagulants, and opioids?</w:t>
            </w:r>
          </w:p>
          <w:p>
            <w:pPr>
              <w:spacing w:after="7" w:before="0"/>
            </w:pPr>
            <w:r>
              <w:rPr>
                <w:rFonts w:ascii="Arial" w:cs="Arial" w:eastAsia="Arial" w:hAnsi="Arial"/>
                <w:b w:val="false"/>
                <w:bCs w:val="false"/>
                <w:i/>
                <w:iCs/>
                <w:caps w:val="false"/>
                <w:color w:val="4b5563"/>
                <w:sz w:val="15"/>
                <w:szCs w:val="15"/>
              </w:rPr>
              <w:t xml:space="preserve">Check the process names specific high-risk categories, not a vague general caution.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High-risk medication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medication errors and near-misses tracked and reviewed?</w:t>
            </w:r>
          </w:p>
          <w:p>
            <w:pPr>
              <w:spacing w:after="7" w:before="0"/>
            </w:pPr>
            <w:r>
              <w:rPr>
                <w:rFonts w:ascii="Arial" w:cs="Arial" w:eastAsia="Arial" w:hAnsi="Arial"/>
                <w:b w:val="false"/>
                <w:bCs w:val="false"/>
                <w:i/>
                <w:iCs/>
                <w:caps w:val="false"/>
                <w:color w:val="4b5563"/>
                <w:sz w:val="15"/>
                <w:szCs w:val="15"/>
              </w:rPr>
              <w:t xml:space="preserve">Check the incident log for medication-specific entries.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Medication error log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process for verifying dose calculations, particularly for paediatric or weight-based dosing?</w:t>
            </w:r>
          </w:p>
          <w:p>
            <w:pPr>
              <w:spacing w:after="36" w:before="0"/>
            </w:pPr>
            <w:r>
              <w:rPr>
                <w:rFonts w:ascii="Arial" w:cs="Arial" w:eastAsia="Arial" w:hAnsi="Arial"/>
                <w:b w:val="false"/>
                <w:bCs w:val="false"/>
                <w:i/>
                <w:iCs/>
                <w:caps w:val="false"/>
                <w:color w:val="4b5563"/>
                <w:sz w:val="15"/>
                <w:szCs w:val="15"/>
              </w:rPr>
              <w:t xml:space="preserve">Ask how dose calculation is independently checked.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Allergy documentation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 sample of prescriptions against documented allergy status to confirm the check is genuinely performed.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High-risk medication double-check observation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Observes or reviews documentation of the double-check process for a high-risk medication administration.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Medication error log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log for medication errors and near-misses and evidence of follow-up.</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Dose verification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nurse or pharmacist how a weight-based or paediatric dose calculation is independently verified.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2tur9evbvhq2ba_7althp">
              <w:r>
                <w:rPr>
                  <w:rFonts w:ascii="Arial" w:cs="Arial" w:eastAsia="Arial" w:hAnsi="Arial"/>
                  <w:b/>
                  <w:bCs/>
                  <w:color w:val="c9a227"/>
                  <w:sz w:val="13"/>
                  <w:szCs w:val="13"/>
                  <w:u w:val="single"/>
                </w:rPr>
                <w:t xml:space="preserve">World Health Organization. Medication Without Harm: WHO Global Patient Safety Challenge. Geneva: WHO; 2017.</w:t>
              </w:r>
            </w:hyperlink>
            <w:r>
              <w:rPr>
                <w:rFonts w:ascii="Arial" w:cs="Arial" w:eastAsia="Arial" w:hAnsi="Arial"/>
                <w:b/>
                <w:bCs/>
                <w:i w:val="false"/>
                <w:iCs w:val="false"/>
                <w:caps w:val="false"/>
                <w:color w:val="6b778c"/>
                <w:sz w:val="13"/>
                <w:szCs w:val="13"/>
              </w:rPr>
              <w:t xml:space="preserve">   2. </w:t>
            </w:r>
            <w:hyperlink w:history="1" r:id="rIdth_kgv4omvutnscmpd6f2">
              <w:r>
                <w:rPr>
                  <w:rFonts w:ascii="Arial" w:cs="Arial" w:eastAsia="Arial" w:hAnsi="Arial"/>
                  <w:b/>
                  <w:bCs/>
                  <w:color w:val="c9a227"/>
                  <w:sz w:val="13"/>
                  <w:szCs w:val="13"/>
                  <w:u w:val="single"/>
                </w:rPr>
                <w:t xml:space="preserve">Institute for Safe Medication Practices. List of high-alert medications in acute care settings. Horsham: ISMP; 2018.</w:t>
              </w:r>
            </w:hyperlink>
            <w:r>
              <w:rPr>
                <w:rFonts w:ascii="Arial" w:cs="Arial" w:eastAsia="Arial" w:hAnsi="Arial"/>
                <w:b/>
                <w:bCs/>
                <w:i w:val="false"/>
                <w:iCs w:val="false"/>
                <w:caps w:val="false"/>
                <w:color w:val="6b778c"/>
                <w:sz w:val="13"/>
                <w:szCs w:val="13"/>
              </w:rPr>
              <w:t xml:space="preserve">   3. </w:t>
            </w:r>
            <w:hyperlink w:history="1" r:id="rIdbremknrnrv-lzeojp6u13">
              <w:r>
                <w:rPr>
                  <w:rFonts w:ascii="Arial" w:cs="Arial" w:eastAsia="Arial" w:hAnsi="Arial"/>
                  <w:b/>
                  <w:bCs/>
                  <w:color w:val="c9a227"/>
                  <w:sz w:val="13"/>
                  <w:szCs w:val="13"/>
                  <w:u w:val="single"/>
                </w:rPr>
                <w:t xml:space="preserve">World Health Organization. Patient safety curriculum guide: medication safety module. Geneva: WHO; 2011.</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5.3</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5.3</w:t>
            </w:r>
            <w:r>
              <w:rPr>
                <w:rFonts w:ascii="Arial" w:cs="Arial" w:eastAsia="Arial" w:hAnsi="Arial"/>
                <w:b w:val="false"/>
                <w:bCs w:val="false"/>
                <w:i/>
                <w:iCs/>
                <w:caps w:val="false"/>
                <w:color w:val="8fa8c8"/>
                <w:sz w:val="10"/>
                <w:szCs w:val="10"/>
              </w:rPr>
              <w:t xml:space="preserve">  ·  Level 1  ·  Chapter 5: Clinical Care &amp; Patient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8</w:t>
            </w:r>
          </w:p>
          <w:p>
            <w:pPr>
              <w:spacing w:after="36" w:before="0"/>
            </w:pPr>
            <w:r>
              <w:rPr>
                <w:rFonts w:ascii="Arial" w:cs="Arial" w:eastAsia="Arial" w:hAnsi="Arial"/>
                <w:b w:val="false"/>
                <w:bCs w:val="false"/>
                <w:i/>
                <w:iCs/>
                <w:caps w:val="false"/>
                <w:color w:val="8fa8c8"/>
                <w:sz w:val="9"/>
                <w:szCs w:val="9"/>
              </w:rPr>
              <w:t xml:space="preserve">ASF-CH5-CCM-v2.0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Medication error is one of the leading preventable causes of harm in hospitals worldwide, and it clusters predictably around a small number of high-risk drugs and moments — an unchecked allergy, a miscalculated dose, a missed double-check on insulin or an anticoagulant. A defined, actually followed safety process at each stage closes exactly the gaps where error is most likely and most consequential.</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Medication Without Harm 2017 — medication errors and avoidable medication-related harm cost health systems an estimated USD 42 billion annually worldwide, the large majority of it preventable through basic system-level safeguards.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Allergy status is checked and documented before every new prescription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defined double-check process is consistently applied to named high-risk medications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Medication errors and near-misses are tracked and reviewed for patterns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Dose calculations, particularly paediatric or weight-based, are independently verified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Prescribing, dispensing, and administration are all covered by defined safety steps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Allergy status is not routinely checked before prescribing</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double-check exists for high-risk medications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Medication errors are not tracked, or tracked without any review for patterns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Dose calculations rely on a single individual with no independent verification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Medication safety practice is inconsistent across departments or shifts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double-check exists on paper but is skipped under time pressure.</w:t>
            </w:r>
          </w:p>
          <w:p>
            <w:pPr>
              <w:spacing w:after="20" w:before="0"/>
            </w:pPr>
            <w:r>
              <w:rPr>
                <w:rFonts w:ascii="Arial" w:cs="Arial" w:eastAsia="Arial" w:hAnsi="Arial"/>
                <w:b w:val="false"/>
                <w:bCs w:val="false"/>
                <w:i/>
                <w:iCs/>
                <w:caps w:val="false"/>
                <w:color w:val="4b5563"/>
                <w:sz w:val="15"/>
                <w:szCs w:val="15"/>
              </w:rPr>
              <w:t xml:space="preserve">A high-risk medication double-check process is documented, but staff report it is frequently bypassed during busy periods.</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Allergy checking happens for admission but not for every subsequent new prescription.</w:t>
            </w:r>
          </w:p>
          <w:p>
            <w:pPr>
              <w:spacing w:after="20" w:before="0"/>
            </w:pPr>
            <w:r>
              <w:rPr>
                <w:rFonts w:ascii="Arial" w:cs="Arial" w:eastAsia="Arial" w:hAnsi="Arial"/>
                <w:b w:val="false"/>
                <w:bCs w:val="false"/>
                <w:i/>
                <w:iCs/>
                <w:caps w:val="false"/>
                <w:color w:val="4b5563"/>
                <w:sz w:val="15"/>
                <w:szCs w:val="15"/>
              </w:rPr>
              <w:t xml:space="preserve">Allergy status is captured at admission, but new medications added later in the stay do not always trigger a fresh check.</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Errors are logged but the review never closes the loop back to practice.</w:t>
            </w:r>
          </w:p>
          <w:p>
            <w:pPr>
              <w:spacing w:after="36" w:before="0"/>
            </w:pPr>
            <w:r>
              <w:rPr>
                <w:rFonts w:ascii="Arial" w:cs="Arial" w:eastAsia="Arial" w:hAnsi="Arial"/>
                <w:b w:val="false"/>
                <w:bCs w:val="false"/>
                <w:i/>
                <w:iCs/>
                <w:caps w:val="false"/>
                <w:color w:val="4b5563"/>
                <w:sz w:val="15"/>
                <w:szCs w:val="15"/>
              </w:rPr>
              <w:t xml:space="preserve">A medication error log exists and is reasonably complete, but findings rarely translate into a specific practice change.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the medication safety policy covers prescribing, dispensing, and administration.</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Audit a sample of prescriptions for allergy documentation.</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Confirm or establish a double-check process for named high-risk medications.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or strengthen independent verification of paediatric and weight-based dose calculations.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Track medication errors and near-misses; review trends and feed findings into practice changes.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Watch a high-risk medication administration directly, if possible.  </w:t>
            </w:r>
            <w:r>
              <w:rPr>
                <w:rFonts w:ascii="Arial" w:cs="Arial" w:eastAsia="Arial" w:hAnsi="Arial"/>
                <w:b w:val="false"/>
                <w:bCs w:val="false"/>
                <w:i w:val="false"/>
                <w:iCs w:val="false"/>
                <w:caps w:val="false"/>
                <w:color w:val="374151"/>
                <w:sz w:val="16"/>
                <w:szCs w:val="16"/>
              </w:rPr>
              <w:t xml:space="preserve">Observing whether the double-check genuinely happens is far more reliable than reviewing the policy that describes it.</w:t>
            </w:r>
          </w:p>
          <w:p>
            <w:pPr>
              <w:spacing w:after="16" w:before="0"/>
            </w:pPr>
            <w:r>
              <w:rPr>
                <w:rFonts w:ascii="Arial" w:cs="Arial" w:eastAsia="Arial" w:hAnsi="Arial"/>
                <w:b/>
                <w:bCs/>
                <w:i w:val="false"/>
                <w:iCs w:val="false"/>
                <w:caps w:val="false"/>
                <w:color w:val="b91c1c"/>
                <w:sz w:val="15"/>
                <w:szCs w:val="15"/>
              </w:rPr>
              <w:t xml:space="preserve">Check allergy documentation for a mid-stay prescription, not just the admission medication.  </w:t>
            </w:r>
            <w:r>
              <w:rPr>
                <w:rFonts w:ascii="Arial" w:cs="Arial" w:eastAsia="Arial" w:hAnsi="Arial"/>
                <w:b w:val="false"/>
                <w:bCs w:val="false"/>
                <w:i w:val="false"/>
                <w:iCs w:val="false"/>
                <w:caps w:val="false"/>
                <w:color w:val="374151"/>
                <w:sz w:val="16"/>
                <w:szCs w:val="16"/>
              </w:rPr>
              <w:t xml:space="preserve">This is where allergy checking is most likely to lapse in practice.</w:t>
            </w:r>
          </w:p>
          <w:p>
            <w:pPr>
              <w:spacing w:after="36" w:before="0"/>
            </w:pPr>
            <w:r>
              <w:rPr>
                <w:rFonts w:ascii="Arial" w:cs="Arial" w:eastAsia="Arial" w:hAnsi="Arial"/>
                <w:b/>
                <w:bCs/>
                <w:i w:val="false"/>
                <w:iCs w:val="false"/>
                <w:caps w:val="false"/>
                <w:color w:val="b91c1c"/>
                <w:sz w:val="15"/>
                <w:szCs w:val="15"/>
              </w:rPr>
              <w:t xml:space="preserve">Follow one logged medication error to its resolution.  </w:t>
            </w:r>
            <w:r>
              <w:rPr>
                <w:rFonts w:ascii="Arial" w:cs="Arial" w:eastAsia="Arial" w:hAnsi="Arial"/>
                <w:b w:val="false"/>
                <w:bCs w:val="false"/>
                <w:i w:val="false"/>
                <w:iCs w:val="false"/>
                <w:caps w:val="false"/>
                <w:color w:val="374151"/>
                <w:sz w:val="16"/>
                <w:szCs w:val="16"/>
              </w:rPr>
              <w:t xml:space="preserve">A hospital that can show a specific practice change resulting from a logged error demonstrates a functioning, not just a recording, system.</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a6cnuduipjo-x3ckftq_v">
              <w:r>
                <w:rPr>
                  <w:rFonts w:ascii="Arial" w:cs="Arial" w:eastAsia="Arial" w:hAnsi="Arial"/>
                  <w:b/>
                  <w:bCs/>
                  <w:color w:val="c9a227"/>
                  <w:sz w:val="13"/>
                  <w:szCs w:val="13"/>
                  <w:u w:val="single"/>
                </w:rPr>
                <w:t xml:space="preserve">academy.gmj.ge/ch5-3-medication-safety-prescribing</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5.4</w:t>
            </w:r>
            <w:r>
              <w:rPr>
                <w:rFonts w:ascii="Arial" w:cs="Arial" w:eastAsia="Arial" w:hAnsi="Arial"/>
                <w:b w:val="false"/>
                <w:bCs w:val="false"/>
                <w:i/>
                <w:iCs/>
                <w:caps w:val="false"/>
                <w:color w:val="8fa8c8"/>
                <w:sz w:val="10"/>
                <w:szCs w:val="10"/>
              </w:rPr>
              <w:t xml:space="preserve">  ·  Level 1  ·  Chapter 5: Clinical Care &amp; Patient Management</w:t>
            </w:r>
          </w:p>
          <w:p>
            <w:pPr>
              <w:spacing w:after="36" w:before="0"/>
            </w:pPr>
            <w:r>
              <w:rPr>
                <w:rFonts w:ascii="Arial" w:cs="Arial" w:eastAsia="Arial" w:hAnsi="Arial"/>
                <w:b/>
                <w:bCs/>
                <w:i w:val="false"/>
                <w:iCs w:val="false"/>
                <w:caps w:val="false"/>
                <w:color w:val="dce8f5"/>
                <w:sz w:val="12"/>
                <w:szCs w:val="12"/>
              </w:rPr>
              <w:t xml:space="preserve">Clinical Documentation Standards</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9</w:t>
            </w:r>
          </w:p>
          <w:p>
            <w:pPr>
              <w:spacing w:after="36" w:before="0"/>
            </w:pPr>
            <w:r>
              <w:rPr>
                <w:rFonts w:ascii="Arial" w:cs="Arial" w:eastAsia="Arial" w:hAnsi="Arial"/>
                <w:b w:val="false"/>
                <w:bCs w:val="false"/>
                <w:i/>
                <w:iCs/>
                <w:caps w:val="false"/>
                <w:color w:val="8fa8c8"/>
                <w:sz w:val="9"/>
                <w:szCs w:val="9"/>
              </w:rPr>
              <w:t xml:space="preserve">ASF-CH5-CCM-v2.0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5.4</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Clinical Documentation Standards</w:t>
            </w:r>
          </w:p>
          <w:p>
            <w:pPr>
              <w:spacing w:after="36" w:before="0"/>
            </w:pPr>
            <w:r>
              <w:rPr>
                <w:rFonts w:ascii="Arial" w:cs="Arial" w:eastAsia="Arial" w:hAnsi="Arial"/>
                <w:b w:val="false"/>
                <w:bCs w:val="false"/>
                <w:i w:val="false"/>
                <w:iCs w:val="false"/>
                <w:caps w:val="false"/>
                <w:color w:val="4b5563"/>
                <w:sz w:val="15"/>
                <w:szCs w:val="15"/>
              </w:rPr>
              <w:t xml:space="preserve">The hospital maintains complete, timely, and legible clinical documentation for every patient encounter, following a defined documentation standard.</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written clinical documentation standard defining what must be recorded and when?</w:t>
            </w:r>
          </w:p>
          <w:p>
            <w:pPr>
              <w:spacing w:after="7" w:before="0"/>
            </w:pPr>
            <w:r>
              <w:rPr>
                <w:rFonts w:ascii="Arial" w:cs="Arial" w:eastAsia="Arial" w:hAnsi="Arial"/>
                <w:b w:val="false"/>
                <w:bCs w:val="false"/>
                <w:i/>
                <w:iCs/>
                <w:caps w:val="false"/>
                <w:color w:val="4b5563"/>
                <w:sz w:val="15"/>
                <w:szCs w:val="15"/>
              </w:rPr>
              <w:t xml:space="preserve">Check the standard specifies content and timing, not only general expectations.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Documentation standard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entries in a sample of patient records complete, dated, timed, and identifiable to the author?</w:t>
            </w:r>
          </w:p>
          <w:p>
            <w:pPr>
              <w:spacing w:after="7" w:before="0"/>
            </w:pPr>
            <w:r>
              <w:rPr>
                <w:rFonts w:ascii="Arial" w:cs="Arial" w:eastAsia="Arial" w:hAnsi="Arial"/>
                <w:b w:val="false"/>
                <w:bCs w:val="false"/>
                <w:i/>
                <w:iCs/>
                <w:caps w:val="false"/>
                <w:color w:val="4b5563"/>
                <w:sz w:val="15"/>
                <w:szCs w:val="15"/>
              </w:rPr>
              <w:t xml:space="preserve">Spot-check five records for these elements.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Sample record entries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documentation completed within a defined timeframe of the clinical encounter, not retrospectively days later?</w:t>
            </w:r>
          </w:p>
          <w:p>
            <w:pPr>
              <w:spacing w:after="36" w:before="0"/>
            </w:pPr>
            <w:r>
              <w:rPr>
                <w:rFonts w:ascii="Arial" w:cs="Arial" w:eastAsia="Arial" w:hAnsi="Arial"/>
                <w:b w:val="false"/>
                <w:bCs w:val="false"/>
                <w:i/>
                <w:iCs/>
                <w:caps w:val="false"/>
                <w:color w:val="4b5563"/>
                <w:sz w:val="15"/>
                <w:szCs w:val="15"/>
              </w:rPr>
              <w:t xml:space="preserve">Check timestamps against the encounter date.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abbreviations restricted to an approved list to avoid ambiguity?</w:t>
            </w:r>
          </w:p>
          <w:p>
            <w:pPr>
              <w:spacing w:after="7" w:before="0"/>
            </w:pPr>
            <w:r>
              <w:rPr>
                <w:rFonts w:ascii="Arial" w:cs="Arial" w:eastAsia="Arial" w:hAnsi="Arial"/>
                <w:b w:val="false"/>
                <w:bCs w:val="false"/>
                <w:i/>
                <w:iCs/>
                <w:caps w:val="false"/>
                <w:color w:val="4b5563"/>
                <w:sz w:val="15"/>
                <w:szCs w:val="15"/>
              </w:rPr>
              <w:t xml:space="preserve">Check for an approved abbreviation list and evidence it is followed.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Approved abbreviation list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documentation legible and accessible to all members of the care team who need it?</w:t>
            </w:r>
          </w:p>
          <w:p>
            <w:pPr>
              <w:spacing w:after="36" w:before="0"/>
            </w:pPr>
            <w:r>
              <w:rPr>
                <w:rFonts w:ascii="Arial" w:cs="Arial" w:eastAsia="Arial" w:hAnsi="Arial"/>
                <w:b w:val="false"/>
                <w:bCs w:val="false"/>
                <w:i/>
                <w:iCs/>
                <w:caps w:val="false"/>
                <w:color w:val="4b5563"/>
                <w:sz w:val="15"/>
                <w:szCs w:val="15"/>
              </w:rPr>
              <w:t xml:space="preserve">Check for legibility issues in a sample of handwritten entries, if applicable.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Documentation completeness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 sample of records for complete, dated, timed, and author-identifiable entries.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Timeliness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Compares documentation timestamps to the actual clinical encounter for a sample of entries.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Abbreviation and legibility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 sample of entries for use of approved abbreviations and general legibility.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Access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staff member how quickly they can access another team member’s documentation when needed.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6oa8fir7inyzmxi0te5bo">
              <w:r>
                <w:rPr>
                  <w:rFonts w:ascii="Arial" w:cs="Arial" w:eastAsia="Arial" w:hAnsi="Arial"/>
                  <w:b/>
                  <w:bCs/>
                  <w:color w:val="c9a227"/>
                  <w:sz w:val="13"/>
                  <w:szCs w:val="13"/>
                  <w:u w:val="single"/>
                </w:rPr>
                <w:t xml:space="preserve">World Health Organization. WHO guidelines on health records and clinical documentation. Geneva: WHO; 2015.</w:t>
              </w:r>
            </w:hyperlink>
            <w:r>
              <w:rPr>
                <w:rFonts w:ascii="Arial" w:cs="Arial" w:eastAsia="Arial" w:hAnsi="Arial"/>
                <w:b/>
                <w:bCs/>
                <w:i w:val="false"/>
                <w:iCs w:val="false"/>
                <w:caps w:val="false"/>
                <w:color w:val="6b778c"/>
                <w:sz w:val="13"/>
                <w:szCs w:val="13"/>
              </w:rPr>
              <w:t xml:space="preserve">   2. </w:t>
            </w:r>
            <w:hyperlink w:history="1" r:id="rIdtlyl8hplngee-klujmdpj">
              <w:r>
                <w:rPr>
                  <w:rFonts w:ascii="Arial" w:cs="Arial" w:eastAsia="Arial" w:hAnsi="Arial"/>
                  <w:b/>
                  <w:bCs/>
                  <w:color w:val="c9a227"/>
                  <w:sz w:val="13"/>
                  <w:szCs w:val="13"/>
                  <w:u w:val="single"/>
                </w:rPr>
                <w:t xml:space="preserve">Joint Commission International. International Patient Safety Goals — Standards for Hospitals. Oak Brook: JCI; 2020.</w:t>
              </w:r>
            </w:hyperlink>
            <w:r>
              <w:rPr>
                <w:rFonts w:ascii="Arial" w:cs="Arial" w:eastAsia="Arial" w:hAnsi="Arial"/>
                <w:b/>
                <w:bCs/>
                <w:i w:val="false"/>
                <w:iCs w:val="false"/>
                <w:caps w:val="false"/>
                <w:color w:val="6b778c"/>
                <w:sz w:val="13"/>
                <w:szCs w:val="13"/>
              </w:rPr>
              <w:t xml:space="preserve">   3. </w:t>
            </w:r>
            <w:hyperlink w:history="1" r:id="rIdfi-hyhct7_2x4dkxeb677">
              <w:r>
                <w:rPr>
                  <w:rFonts w:ascii="Arial" w:cs="Arial" w:eastAsia="Arial" w:hAnsi="Arial"/>
                  <w:b/>
                  <w:bCs/>
                  <w:color w:val="c9a227"/>
                  <w:sz w:val="13"/>
                  <w:szCs w:val="13"/>
                  <w:u w:val="single"/>
                </w:rPr>
                <w:t xml:space="preserve">Institute for Safe Medication Practices. List of error-prone abbreviations, symbols, and dose designations. Horsham: ISMP; 2021.</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5.4</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5.4</w:t>
            </w:r>
            <w:r>
              <w:rPr>
                <w:rFonts w:ascii="Arial" w:cs="Arial" w:eastAsia="Arial" w:hAnsi="Arial"/>
                <w:b w:val="false"/>
                <w:bCs w:val="false"/>
                <w:i/>
                <w:iCs/>
                <w:caps w:val="false"/>
                <w:color w:val="8fa8c8"/>
                <w:sz w:val="10"/>
                <w:szCs w:val="10"/>
              </w:rPr>
              <w:t xml:space="preserve">  ·  Level 1  ·  Chapter 5: Clinical Care &amp; Patient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10</w:t>
            </w:r>
          </w:p>
          <w:p>
            <w:pPr>
              <w:spacing w:after="36" w:before="0"/>
            </w:pPr>
            <w:r>
              <w:rPr>
                <w:rFonts w:ascii="Arial" w:cs="Arial" w:eastAsia="Arial" w:hAnsi="Arial"/>
                <w:b w:val="false"/>
                <w:bCs w:val="false"/>
                <w:i/>
                <w:iCs/>
                <w:caps w:val="false"/>
                <w:color w:val="8fa8c8"/>
                <w:sz w:val="9"/>
                <w:szCs w:val="9"/>
              </w:rPr>
              <w:t xml:space="preserve">ASF-CH5-CCM-v2.0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Clinical documentation is not paperwork for its own sake — it is the shared memory the entire care team relies on to know what has already happened, what was found, and what was decided. Incomplete, late, or illegible documentation quietly breaks continuity of care, forcing the next clinician to either guess or repeat work that was already done, and an ambiguous abbreviation can directly cause a medication or treatment error.</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ISMP 2021 — a defined, small set of abbreviations and dose designations are responsible for a disproportionate share of documentation-related medication errors, which structured restriction measurably reduces.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Documentation is complete, dated, timed, and identifiable to the author for every entry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Entries are completed within a defined timeframe of the clinical encounter</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Only approved abbreviations are used, avoiding ambiguous shorthand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Documentation is legible and genuinely accessible to the whole care team</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documentation standard is consistently applied across departments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Entries are frequently incomplete, undated, or unattributable to an author</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Documentation is regularly completed days after the actual clinical encounter</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Unrestricted or ambiguous abbreviations are used throughout records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Handwritten entries are frequently illegible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Access to documentation is slow or inconsistent across the care team</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Documentation is complete but chronically late.</w:t>
            </w:r>
          </w:p>
          <w:p>
            <w:pPr>
              <w:spacing w:after="20" w:before="0"/>
            </w:pPr>
            <w:r>
              <w:rPr>
                <w:rFonts w:ascii="Arial" w:cs="Arial" w:eastAsia="Arial" w:hAnsi="Arial"/>
                <w:b w:val="false"/>
                <w:bCs w:val="false"/>
                <w:i/>
                <w:iCs/>
                <w:caps w:val="false"/>
                <w:color w:val="4b5563"/>
                <w:sz w:val="15"/>
                <w:szCs w:val="15"/>
              </w:rPr>
              <w:t xml:space="preserve">Entries eventually contain all required elements, but are often written well after the encounter, undermining their reliability as a real-time record.</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An approved abbreviation list exists but is not consistently followed.</w:t>
            </w:r>
          </w:p>
          <w:p>
            <w:pPr>
              <w:spacing w:after="20" w:before="0"/>
            </w:pPr>
            <w:r>
              <w:rPr>
                <w:rFonts w:ascii="Arial" w:cs="Arial" w:eastAsia="Arial" w:hAnsi="Arial"/>
                <w:b w:val="false"/>
                <w:bCs w:val="false"/>
                <w:i/>
                <w:iCs/>
                <w:caps w:val="false"/>
                <w:color w:val="4b5563"/>
                <w:sz w:val="15"/>
                <w:szCs w:val="15"/>
              </w:rPr>
              <w:t xml:space="preserve">A list has been published, but in practice staff continue using familiar shorthand outside the approved set.</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Documentation quality varies sharply between departments.</w:t>
            </w:r>
          </w:p>
          <w:p>
            <w:pPr>
              <w:spacing w:after="36" w:before="0"/>
            </w:pPr>
            <w:r>
              <w:rPr>
                <w:rFonts w:ascii="Arial" w:cs="Arial" w:eastAsia="Arial" w:hAnsi="Arial"/>
                <w:b w:val="false"/>
                <w:bCs w:val="false"/>
                <w:i/>
                <w:iCs/>
                <w:caps w:val="false"/>
                <w:color w:val="4b5563"/>
                <w:sz w:val="15"/>
                <w:szCs w:val="15"/>
              </w:rPr>
              <w:t xml:space="preserve">Some clinical areas maintain excellent records; others fall well below the same stated standard.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or draft the clinical documentation standard, specifying required content and timing.</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Publish or refresh the approved abbreviation list and communicate it to all clinical staff.</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Audit a sample of records for completeness, timeliness, and legibility.</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Address identified gaps through targeted feedback or training by department.</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Audit documentation quality periodically as a routine quality indicator.</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Compare the documentation timestamp to the actual encounter time, not just its existence.  </w:t>
            </w:r>
            <w:r>
              <w:rPr>
                <w:rFonts w:ascii="Arial" w:cs="Arial" w:eastAsia="Arial" w:hAnsi="Arial"/>
                <w:b w:val="false"/>
                <w:bCs w:val="false"/>
                <w:i w:val="false"/>
                <w:iCs w:val="false"/>
                <w:caps w:val="false"/>
                <w:color w:val="374151"/>
                <w:sz w:val="16"/>
                <w:szCs w:val="16"/>
              </w:rPr>
              <w:t xml:space="preserve">A complete-looking entry written two days late has much less value as a real-time clinical record.</w:t>
            </w:r>
          </w:p>
          <w:p>
            <w:pPr>
              <w:spacing w:after="16" w:before="0"/>
            </w:pPr>
            <w:r>
              <w:rPr>
                <w:rFonts w:ascii="Arial" w:cs="Arial" w:eastAsia="Arial" w:hAnsi="Arial"/>
                <w:b/>
                <w:bCs/>
                <w:i w:val="false"/>
                <w:iCs w:val="false"/>
                <w:caps w:val="false"/>
                <w:color w:val="b91c1c"/>
                <w:sz w:val="15"/>
                <w:szCs w:val="15"/>
              </w:rPr>
              <w:t xml:space="preserve">Scan for abbreviations outside the approved list.  </w:t>
            </w:r>
            <w:r>
              <w:rPr>
                <w:rFonts w:ascii="Arial" w:cs="Arial" w:eastAsia="Arial" w:hAnsi="Arial"/>
                <w:b w:val="false"/>
                <w:bCs w:val="false"/>
                <w:i w:val="false"/>
                <w:iCs w:val="false"/>
                <w:caps w:val="false"/>
                <w:color w:val="374151"/>
                <w:sz w:val="16"/>
                <w:szCs w:val="16"/>
              </w:rPr>
              <w:t xml:space="preserve">This is one of the fastest ways to assess whether a documentation standard is genuinely followed in practice.</w:t>
            </w:r>
          </w:p>
          <w:p>
            <w:pPr>
              <w:spacing w:after="36" w:before="0"/>
            </w:pPr>
            <w:r>
              <w:rPr>
                <w:rFonts w:ascii="Arial" w:cs="Arial" w:eastAsia="Arial" w:hAnsi="Arial"/>
                <w:b/>
                <w:bCs/>
                <w:i w:val="false"/>
                <w:iCs w:val="false"/>
                <w:caps w:val="false"/>
                <w:color w:val="b91c1c"/>
                <w:sz w:val="15"/>
                <w:szCs w:val="15"/>
              </w:rPr>
              <w:t xml:space="preserve">Ask how quickly another team member can find a specific note.  </w:t>
            </w:r>
            <w:r>
              <w:rPr>
                <w:rFonts w:ascii="Arial" w:cs="Arial" w:eastAsia="Arial" w:hAnsi="Arial"/>
                <w:b w:val="false"/>
                <w:bCs w:val="false"/>
                <w:i w:val="false"/>
                <w:iCs w:val="false"/>
                <w:caps w:val="false"/>
                <w:color w:val="374151"/>
                <w:sz w:val="16"/>
                <w:szCs w:val="16"/>
              </w:rPr>
              <w:t xml:space="preserve">Slow or inconsistent access reveals a documentation system that may be technically complete but practically unusable.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n61lmwc_byqxdjtt__a4v">
              <w:r>
                <w:rPr>
                  <w:rFonts w:ascii="Arial" w:cs="Arial" w:eastAsia="Arial" w:hAnsi="Arial"/>
                  <w:b/>
                  <w:bCs/>
                  <w:color w:val="c9a227"/>
                  <w:sz w:val="13"/>
                  <w:szCs w:val="13"/>
                  <w:u w:val="single"/>
                </w:rPr>
                <w:t xml:space="preserve">academy.gmj.ge/ch5-4-clinical-documentation-standards</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5.5</w:t>
            </w:r>
            <w:r>
              <w:rPr>
                <w:rFonts w:ascii="Arial" w:cs="Arial" w:eastAsia="Arial" w:hAnsi="Arial"/>
                <w:b w:val="false"/>
                <w:bCs w:val="false"/>
                <w:i/>
                <w:iCs/>
                <w:caps w:val="false"/>
                <w:color w:val="8fa8c8"/>
                <w:sz w:val="10"/>
                <w:szCs w:val="10"/>
              </w:rPr>
              <w:t xml:space="preserve">  ·  Level 1  ·  Chapter 5: Clinical Care &amp; Patient Management</w:t>
            </w:r>
          </w:p>
          <w:p>
            <w:pPr>
              <w:spacing w:after="36" w:before="0"/>
            </w:pPr>
            <w:r>
              <w:rPr>
                <w:rFonts w:ascii="Arial" w:cs="Arial" w:eastAsia="Arial" w:hAnsi="Arial"/>
                <w:b/>
                <w:bCs/>
                <w:i w:val="false"/>
                <w:iCs w:val="false"/>
                <w:caps w:val="false"/>
                <w:color w:val="dce8f5"/>
                <w:sz w:val="12"/>
                <w:szCs w:val="12"/>
              </w:rPr>
              <w:t xml:space="preserve">Handover and Transfer of Care</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11</w:t>
            </w:r>
          </w:p>
          <w:p>
            <w:pPr>
              <w:spacing w:after="36" w:before="0"/>
            </w:pPr>
            <w:r>
              <w:rPr>
                <w:rFonts w:ascii="Arial" w:cs="Arial" w:eastAsia="Arial" w:hAnsi="Arial"/>
                <w:b w:val="false"/>
                <w:bCs w:val="false"/>
                <w:i/>
                <w:iCs/>
                <w:caps w:val="false"/>
                <w:color w:val="8fa8c8"/>
                <w:sz w:val="9"/>
                <w:szCs w:val="9"/>
              </w:rPr>
              <w:t xml:space="preserve">ASF-CH5-CCM-v2.0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5.5</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Handover and Transfer of Care</w:t>
            </w:r>
          </w:p>
          <w:p>
            <w:pPr>
              <w:spacing w:after="36" w:before="0"/>
            </w:pPr>
            <w:r>
              <w:rPr>
                <w:rFonts w:ascii="Arial" w:cs="Arial" w:eastAsia="Arial" w:hAnsi="Arial"/>
                <w:b w:val="false"/>
                <w:bCs w:val="false"/>
                <w:i w:val="false"/>
                <w:iCs w:val="false"/>
                <w:caps w:val="false"/>
                <w:color w:val="4b5563"/>
                <w:sz w:val="15"/>
                <w:szCs w:val="15"/>
              </w:rPr>
              <w:t xml:space="preserve">The hospital uses a structured handover process for every transfer of clinical responsibility, whether between shifts, departments, or facilities, ensuring critical information is not lost.</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structured handover format required for shift, department, and facility transfers?</w:t>
            </w:r>
          </w:p>
          <w:p>
            <w:pPr>
              <w:spacing w:after="7" w:before="0"/>
            </w:pPr>
            <w:r>
              <w:rPr>
                <w:rFonts w:ascii="Arial" w:cs="Arial" w:eastAsia="Arial" w:hAnsi="Arial"/>
                <w:b w:val="false"/>
                <w:bCs w:val="false"/>
                <w:i/>
                <w:iCs/>
                <w:caps w:val="false"/>
                <w:color w:val="4b5563"/>
                <w:sz w:val="15"/>
                <w:szCs w:val="15"/>
              </w:rPr>
              <w:t xml:space="preserve">Check for a defined structure, such as SBAR, not an informal verbal summary.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Handover policy / format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handover documented, not only spoken?</w:t>
            </w:r>
          </w:p>
          <w:p>
            <w:pPr>
              <w:spacing w:after="7" w:before="0"/>
            </w:pPr>
            <w:r>
              <w:rPr>
                <w:rFonts w:ascii="Arial" w:cs="Arial" w:eastAsia="Arial" w:hAnsi="Arial"/>
                <w:b w:val="false"/>
                <w:bCs w:val="false"/>
                <w:i/>
                <w:iCs/>
                <w:caps w:val="false"/>
                <w:color w:val="4b5563"/>
                <w:sz w:val="15"/>
                <w:szCs w:val="15"/>
              </w:rPr>
              <w:t xml:space="preserve">Check for a written or logged record of handover content.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Handover documentation sample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handover include current status, recent changes, and pending tasks or concerns?</w:t>
            </w:r>
          </w:p>
          <w:p>
            <w:pPr>
              <w:spacing w:after="36" w:before="0"/>
            </w:pPr>
            <w:r>
              <w:rPr>
                <w:rFonts w:ascii="Arial" w:cs="Arial" w:eastAsia="Arial" w:hAnsi="Arial"/>
                <w:b w:val="false"/>
                <w:bCs w:val="false"/>
                <w:i/>
                <w:iCs/>
                <w:caps w:val="false"/>
                <w:color w:val="4b5563"/>
                <w:sz w:val="15"/>
                <w:szCs w:val="15"/>
              </w:rPr>
              <w:t xml:space="preserve">Check the format covers these elements specifically.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process to confirm the receiving team understood the handover, not just that it occurred?</w:t>
            </w:r>
          </w:p>
          <w:p>
            <w:pPr>
              <w:spacing w:after="36" w:before="0"/>
            </w:pPr>
            <w:r>
              <w:rPr>
                <w:rFonts w:ascii="Arial" w:cs="Arial" w:eastAsia="Arial" w:hAnsi="Arial"/>
                <w:b w:val="false"/>
                <w:bCs w:val="false"/>
                <w:i/>
                <w:iCs/>
                <w:caps w:val="false"/>
                <w:color w:val="4b5563"/>
                <w:sz w:val="15"/>
                <w:szCs w:val="15"/>
              </w:rPr>
              <w:t xml:space="preserve">Ask how understanding is confirmed.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handover-related incidents or near-misses tracked?</w:t>
            </w:r>
          </w:p>
          <w:p>
            <w:pPr>
              <w:spacing w:after="7" w:before="0"/>
            </w:pPr>
            <w:r>
              <w:rPr>
                <w:rFonts w:ascii="Arial" w:cs="Arial" w:eastAsia="Arial" w:hAnsi="Arial"/>
                <w:b w:val="false"/>
                <w:bCs w:val="false"/>
                <w:i/>
                <w:iCs/>
                <w:caps w:val="false"/>
                <w:color w:val="4b5563"/>
                <w:sz w:val="15"/>
                <w:szCs w:val="15"/>
              </w:rPr>
              <w:t xml:space="preserve">Check the incident log for handover-related entries.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Handover incident log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Handover format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required handover structure for coverage of status, recent changes, and pending concerns.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Handover observation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Where possible, observes an actual shift or department handover for adherence to the structured format.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Handover documentation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 sample of handover records for completeness.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Understanding confirmation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how the receiving team’s understanding of a handover is confirmed, not just its occurrence.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jd9e-k8cmobdyc7kxvhm-">
              <w:r>
                <w:rPr>
                  <w:rFonts w:ascii="Arial" w:cs="Arial" w:eastAsia="Arial" w:hAnsi="Arial"/>
                  <w:b/>
                  <w:bCs/>
                  <w:color w:val="c9a227"/>
                  <w:sz w:val="13"/>
                  <w:szCs w:val="13"/>
                  <w:u w:val="single"/>
                </w:rPr>
                <w:t xml:space="preserve">World Health Organization. Communication during patient hand-overs. Patient Safety Solutions, Volume 1, Solution 3. Geneva: WHO; 2007.</w:t>
              </w:r>
            </w:hyperlink>
            <w:r>
              <w:rPr>
                <w:rFonts w:ascii="Arial" w:cs="Arial" w:eastAsia="Arial" w:hAnsi="Arial"/>
                <w:b/>
                <w:bCs/>
                <w:i w:val="false"/>
                <w:iCs w:val="false"/>
                <w:caps w:val="false"/>
                <w:color w:val="6b778c"/>
                <w:sz w:val="13"/>
                <w:szCs w:val="13"/>
              </w:rPr>
              <w:t xml:space="preserve">   2. </w:t>
            </w:r>
            <w:hyperlink w:history="1" r:id="rIdxon_843bz3digubbwyykn">
              <w:r>
                <w:rPr>
                  <w:rFonts w:ascii="Arial" w:cs="Arial" w:eastAsia="Arial" w:hAnsi="Arial"/>
                  <w:b/>
                  <w:bCs/>
                  <w:color w:val="c9a227"/>
                  <w:sz w:val="13"/>
                  <w:szCs w:val="13"/>
                  <w:u w:val="single"/>
                </w:rPr>
                <w:t xml:space="preserve">Haig KM, Sutton S, Whittington J. SBAR: a shared mental model for improving communication between clinicians. Jt Comm J Qual Patient Saf. 2006;32(3):167-175.</w:t>
              </w:r>
            </w:hyperlink>
            <w:r>
              <w:rPr>
                <w:rFonts w:ascii="Arial" w:cs="Arial" w:eastAsia="Arial" w:hAnsi="Arial"/>
                <w:b/>
                <w:bCs/>
                <w:i w:val="false"/>
                <w:iCs w:val="false"/>
                <w:caps w:val="false"/>
                <w:color w:val="6b778c"/>
                <w:sz w:val="13"/>
                <w:szCs w:val="13"/>
              </w:rPr>
              <w:t xml:space="preserve">   3. </w:t>
            </w:r>
            <w:hyperlink w:history="1" r:id="rIddpsmggisli4wriya8-bsn">
              <w:r>
                <w:rPr>
                  <w:rFonts w:ascii="Arial" w:cs="Arial" w:eastAsia="Arial" w:hAnsi="Arial"/>
                  <w:b/>
                  <w:bCs/>
                  <w:color w:val="c9a227"/>
                  <w:sz w:val="13"/>
                  <w:szCs w:val="13"/>
                  <w:u w:val="single"/>
                </w:rPr>
                <w:t xml:space="preserve">Starmer AJ, Spector ND, Srivastava R, et al. Changes in medical errors after implementation of a handoff program. N Engl J Med. 2014;371(19):1803-1812.</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5.5</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5.5</w:t>
            </w:r>
            <w:r>
              <w:rPr>
                <w:rFonts w:ascii="Arial" w:cs="Arial" w:eastAsia="Arial" w:hAnsi="Arial"/>
                <w:b w:val="false"/>
                <w:bCs w:val="false"/>
                <w:i/>
                <w:iCs/>
                <w:caps w:val="false"/>
                <w:color w:val="8fa8c8"/>
                <w:sz w:val="10"/>
                <w:szCs w:val="10"/>
              </w:rPr>
              <w:t xml:space="preserve">  ·  Level 1  ·  Chapter 5: Clinical Care &amp; Patient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12</w:t>
            </w:r>
          </w:p>
          <w:p>
            <w:pPr>
              <w:spacing w:after="36" w:before="0"/>
            </w:pPr>
            <w:r>
              <w:rPr>
                <w:rFonts w:ascii="Arial" w:cs="Arial" w:eastAsia="Arial" w:hAnsi="Arial"/>
                <w:b w:val="false"/>
                <w:bCs w:val="false"/>
                <w:i/>
                <w:iCs/>
                <w:caps w:val="false"/>
                <w:color w:val="8fa8c8"/>
                <w:sz w:val="9"/>
                <w:szCs w:val="9"/>
              </w:rPr>
              <w:t xml:space="preserve">ASF-CH5-CCM-v2.0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The single moment when clinical responsibility for a patient changes hands — a shift change, a transfer between departments, a move to another facility — is one of the highest-risk points in the entire care pathway, because critical information depends entirely on being accurately passed from one person’s memory to another’s. A structured, documented handover format replaces that dependence on memory with a repeatable process that reliably carries the essential information across.</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Starmer et al. 2014 — implementation of a structured handoff programme was associated with a 30% reduction in medical errors and preventable adverse events at participating hospitals.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structured handover format, such as SBAR, is used consistently across shift, department, and facility transfers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Handover content is documented, not only spoken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Handover reliably covers current status, recent changes, and pending concerns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receiving team’s understanding is actively confirmed, not assumed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Handover-related incidents are tracked and used to refine the process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Handover is informal and unstructured, varying by individual habit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Handover content is spoken only, with no documented record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Critical pending tasks or concerns are routinely omitted from handover</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mechanism confirms the receiving team actually understood the handover</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Handover-related incidents are not tracked or reviewed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A structured format exists but is used inconsistently.</w:t>
            </w:r>
          </w:p>
          <w:p>
            <w:pPr>
              <w:spacing w:after="20" w:before="0"/>
            </w:pPr>
            <w:r>
              <w:rPr>
                <w:rFonts w:ascii="Arial" w:cs="Arial" w:eastAsia="Arial" w:hAnsi="Arial"/>
                <w:b w:val="false"/>
                <w:bCs w:val="false"/>
                <w:i/>
                <w:iCs/>
                <w:caps w:val="false"/>
                <w:color w:val="4b5563"/>
                <w:sz w:val="15"/>
                <w:szCs w:val="15"/>
              </w:rPr>
              <w:t xml:space="preserve">SBAR or an equivalent structure is the stated standard, but in practice handover often reverts to an informal, unstructured summary.</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Handover is documented but the record is thin compared to what was actually said.</w:t>
            </w:r>
          </w:p>
          <w:p>
            <w:pPr>
              <w:spacing w:after="20" w:before="0"/>
            </w:pPr>
            <w:r>
              <w:rPr>
                <w:rFonts w:ascii="Arial" w:cs="Arial" w:eastAsia="Arial" w:hAnsi="Arial"/>
                <w:b w:val="false"/>
                <w:bCs w:val="false"/>
                <w:i/>
                <w:iCs/>
                <w:caps w:val="false"/>
                <w:color w:val="4b5563"/>
                <w:sz w:val="15"/>
                <w:szCs w:val="15"/>
              </w:rPr>
              <w:t xml:space="preserve">A handover log exists, but it captures far less detail than the verbal exchange, leaving gaps if the log is relied on alone.</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Handover happens reliably for shift changes but not for facility transfers.</w:t>
            </w:r>
          </w:p>
          <w:p>
            <w:pPr>
              <w:spacing w:after="36" w:before="0"/>
            </w:pPr>
            <w:r>
              <w:rPr>
                <w:rFonts w:ascii="Arial" w:cs="Arial" w:eastAsia="Arial" w:hAnsi="Arial"/>
                <w:b w:val="false"/>
                <w:bCs w:val="false"/>
                <w:i/>
                <w:iCs/>
                <w:caps w:val="false"/>
                <w:color w:val="4b5563"/>
                <w:sz w:val="15"/>
                <w:szCs w:val="15"/>
              </w:rPr>
              <w:t xml:space="preserve">Internal shift handover is well-structured; handover to another facility or service on discharge or transfer is less consistent.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or adopt a structured handover format across all transfer types.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Introduce or strengthen documentation of handover content.</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Train staff on the structured format and on confirming receiving-team understanding.</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Audit a sample of handovers, observed or documented, for adherence to the format.</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Track handover-related incidents and near-misses; refine the process based on findings.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Observe a real handover, not just the policy document.  </w:t>
            </w:r>
            <w:r>
              <w:rPr>
                <w:rFonts w:ascii="Arial" w:cs="Arial" w:eastAsia="Arial" w:hAnsi="Arial"/>
                <w:b w:val="false"/>
                <w:bCs w:val="false"/>
                <w:i w:val="false"/>
                <w:iCs w:val="false"/>
                <w:caps w:val="false"/>
                <w:color w:val="374151"/>
                <w:sz w:val="16"/>
                <w:szCs w:val="16"/>
              </w:rPr>
              <w:t xml:space="preserve">Structured formats are easy to describe and easy to abandon under time pressure — direct observation is the most reliable check.</w:t>
            </w:r>
          </w:p>
          <w:p>
            <w:pPr>
              <w:spacing w:after="16" w:before="0"/>
            </w:pPr>
            <w:r>
              <w:rPr>
                <w:rFonts w:ascii="Arial" w:cs="Arial" w:eastAsia="Arial" w:hAnsi="Arial"/>
                <w:b/>
                <w:bCs/>
                <w:i w:val="false"/>
                <w:iCs w:val="false"/>
                <w:caps w:val="false"/>
                <w:color w:val="b91c1c"/>
                <w:sz w:val="15"/>
                <w:szCs w:val="15"/>
              </w:rPr>
              <w:t xml:space="preserve">Compare the documented handover to what was actually said, if possible.  </w:t>
            </w:r>
            <w:r>
              <w:rPr>
                <w:rFonts w:ascii="Arial" w:cs="Arial" w:eastAsia="Arial" w:hAnsi="Arial"/>
                <w:b w:val="false"/>
                <w:bCs w:val="false"/>
                <w:i w:val="false"/>
                <w:iCs w:val="false"/>
                <w:caps w:val="false"/>
                <w:color w:val="374151"/>
                <w:sz w:val="16"/>
                <w:szCs w:val="16"/>
              </w:rPr>
              <w:t xml:space="preserve">A significant gap between the spoken and written handover reveals a documentation shortfall that could matter if the record is relied on later.</w:t>
            </w:r>
          </w:p>
          <w:p>
            <w:pPr>
              <w:spacing w:after="36" w:before="0"/>
            </w:pPr>
            <w:r>
              <w:rPr>
                <w:rFonts w:ascii="Arial" w:cs="Arial" w:eastAsia="Arial" w:hAnsi="Arial"/>
                <w:b/>
                <w:bCs/>
                <w:i w:val="false"/>
                <w:iCs w:val="false"/>
                <w:caps w:val="false"/>
                <w:color w:val="b91c1c"/>
                <w:sz w:val="15"/>
                <w:szCs w:val="15"/>
              </w:rPr>
              <w:t xml:space="preserve">Ask specifically about facility-to-facility or discharge handover.  </w:t>
            </w:r>
            <w:r>
              <w:rPr>
                <w:rFonts w:ascii="Arial" w:cs="Arial" w:eastAsia="Arial" w:hAnsi="Arial"/>
                <w:b w:val="false"/>
                <w:bCs w:val="false"/>
                <w:i w:val="false"/>
                <w:iCs w:val="false"/>
                <w:caps w:val="false"/>
                <w:color w:val="374151"/>
                <w:sz w:val="16"/>
                <w:szCs w:val="16"/>
              </w:rPr>
              <w:t xml:space="preserve">Internal shift handover is often the most mature process; external transfers are where structure most often breaks down.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yh-wk6rru6ifcpjdb-opx">
              <w:r>
                <w:rPr>
                  <w:rFonts w:ascii="Arial" w:cs="Arial" w:eastAsia="Arial" w:hAnsi="Arial"/>
                  <w:b/>
                  <w:bCs/>
                  <w:color w:val="c9a227"/>
                  <w:sz w:val="13"/>
                  <w:szCs w:val="13"/>
                  <w:u w:val="single"/>
                </w:rPr>
                <w:t xml:space="preserve">academy.gmj.ge/ch5-5-handover-transfer-of-care</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5.6</w:t>
            </w:r>
            <w:r>
              <w:rPr>
                <w:rFonts w:ascii="Arial" w:cs="Arial" w:eastAsia="Arial" w:hAnsi="Arial"/>
                <w:b w:val="false"/>
                <w:bCs w:val="false"/>
                <w:i/>
                <w:iCs/>
                <w:caps w:val="false"/>
                <w:color w:val="8fa8c8"/>
                <w:sz w:val="10"/>
                <w:szCs w:val="10"/>
              </w:rPr>
              <w:t xml:space="preserve">  ·  Level 2  ·  Chapter 5: Clinical Care &amp; Patient Management</w:t>
            </w:r>
          </w:p>
          <w:p>
            <w:pPr>
              <w:spacing w:after="36" w:before="0"/>
            </w:pPr>
            <w:r>
              <w:rPr>
                <w:rFonts w:ascii="Arial" w:cs="Arial" w:eastAsia="Arial" w:hAnsi="Arial"/>
                <w:b/>
                <w:bCs/>
                <w:i w:val="false"/>
                <w:iCs w:val="false"/>
                <w:caps w:val="false"/>
                <w:color w:val="dce8f5"/>
                <w:sz w:val="12"/>
                <w:szCs w:val="12"/>
              </w:rPr>
              <w:t xml:space="preserve">Monitoring of High-Risk Patients</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13</w:t>
            </w:r>
          </w:p>
          <w:p>
            <w:pPr>
              <w:spacing w:after="36" w:before="0"/>
            </w:pPr>
            <w:r>
              <w:rPr>
                <w:rFonts w:ascii="Arial" w:cs="Arial" w:eastAsia="Arial" w:hAnsi="Arial"/>
                <w:b w:val="false"/>
                <w:bCs w:val="false"/>
                <w:i/>
                <w:iCs/>
                <w:caps w:val="false"/>
                <w:color w:val="8fa8c8"/>
                <w:sz w:val="9"/>
                <w:szCs w:val="9"/>
              </w:rPr>
              <w:t xml:space="preserve">ASF-CH5-CCM-v2.0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5.6</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Monitoring of High-Risk Patients</w:t>
            </w:r>
          </w:p>
          <w:p>
            <w:pPr>
              <w:spacing w:after="36" w:before="0"/>
            </w:pPr>
            <w:r>
              <w:rPr>
                <w:rFonts w:ascii="Arial" w:cs="Arial" w:eastAsia="Arial" w:hAnsi="Arial"/>
                <w:b w:val="false"/>
                <w:bCs w:val="false"/>
                <w:i w:val="false"/>
                <w:iCs w:val="false"/>
                <w:caps w:val="false"/>
                <w:color w:val="4b5563"/>
                <w:sz w:val="15"/>
                <w:szCs w:val="15"/>
              </w:rPr>
              <w:t xml:space="preserve">The hospital uses a structured early warning system to monitor patients at risk of deterioration, with defined trigger thresholds and an escalation response.</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structured early warning scoring system in use, such as NEWS2 or an equivalent?</w:t>
            </w:r>
          </w:p>
          <w:p>
            <w:pPr>
              <w:spacing w:after="7" w:before="0"/>
            </w:pPr>
            <w:r>
              <w:rPr>
                <w:rFonts w:ascii="Arial" w:cs="Arial" w:eastAsia="Arial" w:hAnsi="Arial"/>
                <w:b w:val="false"/>
                <w:bCs w:val="false"/>
                <w:i/>
                <w:iCs/>
                <w:caps w:val="false"/>
                <w:color w:val="4b5563"/>
                <w:sz w:val="15"/>
                <w:szCs w:val="15"/>
              </w:rPr>
              <w:t xml:space="preserve">Check the system is standardised, not left to individual clinical judgement alone.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Early warning system documentation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vital signs and warning scores recorded at a frequency appropriate to patient risk?</w:t>
            </w:r>
          </w:p>
          <w:p>
            <w:pPr>
              <w:spacing w:after="7" w:before="0"/>
            </w:pPr>
            <w:r>
              <w:rPr>
                <w:rFonts w:ascii="Arial" w:cs="Arial" w:eastAsia="Arial" w:hAnsi="Arial"/>
                <w:b w:val="false"/>
                <w:bCs w:val="false"/>
                <w:i/>
                <w:iCs/>
                <w:caps w:val="false"/>
                <w:color w:val="4b5563"/>
                <w:sz w:val="15"/>
                <w:szCs w:val="15"/>
              </w:rPr>
              <w:t xml:space="preserve">Check the recorded frequency against the patient’s risk category.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Monitoring frequency record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escalation response triggered by specific score thresholds?</w:t>
            </w:r>
          </w:p>
          <w:p>
            <w:pPr>
              <w:spacing w:after="7" w:before="0"/>
            </w:pPr>
            <w:r>
              <w:rPr>
                <w:rFonts w:ascii="Arial" w:cs="Arial" w:eastAsia="Arial" w:hAnsi="Arial"/>
                <w:b w:val="false"/>
                <w:bCs w:val="false"/>
                <w:i/>
                <w:iCs/>
                <w:caps w:val="false"/>
                <w:color w:val="4b5563"/>
                <w:sz w:val="15"/>
                <w:szCs w:val="15"/>
              </w:rPr>
              <w:t xml:space="preserve">Check the trigger levels and the specific response required at each.</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Escalation protocol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escalations followed by a timely clinical response, evidenced in the record?</w:t>
            </w:r>
          </w:p>
          <w:p>
            <w:pPr>
              <w:spacing w:after="7" w:before="0"/>
            </w:pPr>
            <w:r>
              <w:rPr>
                <w:rFonts w:ascii="Arial" w:cs="Arial" w:eastAsia="Arial" w:hAnsi="Arial"/>
                <w:b w:val="false"/>
                <w:bCs w:val="false"/>
                <w:i/>
                <w:iCs/>
                <w:caps w:val="false"/>
                <w:color w:val="4b5563"/>
                <w:sz w:val="15"/>
                <w:szCs w:val="15"/>
              </w:rPr>
              <w:t xml:space="preserve">Check the time between a triggering score and the documented response.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Response timing sample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missed or delayed observations tracked and reviewed?</w:t>
            </w:r>
          </w:p>
          <w:p>
            <w:pPr>
              <w:spacing w:after="36" w:before="0"/>
            </w:pPr>
            <w:r>
              <w:rPr>
                <w:rFonts w:ascii="Arial" w:cs="Arial" w:eastAsia="Arial" w:hAnsi="Arial"/>
                <w:b w:val="false"/>
                <w:bCs w:val="false"/>
                <w:i/>
                <w:iCs/>
                <w:caps w:val="false"/>
                <w:color w:val="4b5563"/>
                <w:sz w:val="15"/>
                <w:szCs w:val="15"/>
              </w:rPr>
              <w:t xml:space="preserve">Check for a review process addressing gaps in monitoring frequency.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Early warning system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scoring system in use for standardisation and appropriate trigger thresholds.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Monitoring frequency audit</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recorded observation frequency against the patient’s risk category for a sample of records.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Escalation response timing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time between a triggering score and the documented clinical response for a sample of cases.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Missed observation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how the hospital identifies and addresses missed or delayed observations.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dbjf-qabh4pni3fen8bnl">
              <w:r>
                <w:rPr>
                  <w:rFonts w:ascii="Arial" w:cs="Arial" w:eastAsia="Arial" w:hAnsi="Arial"/>
                  <w:b/>
                  <w:bCs/>
                  <w:color w:val="c9a227"/>
                  <w:sz w:val="13"/>
                  <w:szCs w:val="13"/>
                  <w:u w:val="single"/>
                </w:rPr>
                <w:t xml:space="preserve">Royal College of Physicians. National Early Warning Score (NEWS2). London: RCP; 2017.</w:t>
              </w:r>
            </w:hyperlink>
            <w:r>
              <w:rPr>
                <w:rFonts w:ascii="Arial" w:cs="Arial" w:eastAsia="Arial" w:hAnsi="Arial"/>
                <w:b/>
                <w:bCs/>
                <w:i w:val="false"/>
                <w:iCs w:val="false"/>
                <w:caps w:val="false"/>
                <w:color w:val="6b778c"/>
                <w:sz w:val="13"/>
                <w:szCs w:val="13"/>
              </w:rPr>
              <w:t xml:space="preserve">   2. </w:t>
            </w:r>
            <w:hyperlink w:history="1" r:id="rId6o7k6tszu5zjqrvtofq9z">
              <w:r>
                <w:rPr>
                  <w:rFonts w:ascii="Arial" w:cs="Arial" w:eastAsia="Arial" w:hAnsi="Arial"/>
                  <w:b/>
                  <w:bCs/>
                  <w:color w:val="c9a227"/>
                  <w:sz w:val="13"/>
                  <w:szCs w:val="13"/>
                  <w:u w:val="single"/>
                </w:rPr>
                <w:t xml:space="preserve">World Health Organization. Recognising and responding to clinical deterioration. Geneva: WHO; 2018.</w:t>
              </w:r>
            </w:hyperlink>
            <w:r>
              <w:rPr>
                <w:rFonts w:ascii="Arial" w:cs="Arial" w:eastAsia="Arial" w:hAnsi="Arial"/>
                <w:b/>
                <w:bCs/>
                <w:i w:val="false"/>
                <w:iCs w:val="false"/>
                <w:caps w:val="false"/>
                <w:color w:val="6b778c"/>
                <w:sz w:val="13"/>
                <w:szCs w:val="13"/>
              </w:rPr>
              <w:t xml:space="preserve">   3. </w:t>
            </w:r>
            <w:hyperlink w:history="1" r:id="rId6swypsbqkr6iraa0gcdhd">
              <w:r>
                <w:rPr>
                  <w:rFonts w:ascii="Arial" w:cs="Arial" w:eastAsia="Arial" w:hAnsi="Arial"/>
                  <w:b/>
                  <w:bCs/>
                  <w:color w:val="c9a227"/>
                  <w:sz w:val="13"/>
                  <w:szCs w:val="13"/>
                  <w:u w:val="single"/>
                </w:rPr>
                <w:t xml:space="preserve">Subbe CP, Kruger M, Rutherford P, Gemmel L. Validation of a modified Early Warning Score in medical admissions. QJM. 2001;94(10):521-526.</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5.6</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5.6</w:t>
            </w:r>
            <w:r>
              <w:rPr>
                <w:rFonts w:ascii="Arial" w:cs="Arial" w:eastAsia="Arial" w:hAnsi="Arial"/>
                <w:b w:val="false"/>
                <w:bCs w:val="false"/>
                <w:i/>
                <w:iCs/>
                <w:caps w:val="false"/>
                <w:color w:val="8fa8c8"/>
                <w:sz w:val="10"/>
                <w:szCs w:val="10"/>
              </w:rPr>
              <w:t xml:space="preserve">  ·  Level 2  ·  Chapter 5: Clinical Care &amp; Patient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14</w:t>
            </w:r>
          </w:p>
          <w:p>
            <w:pPr>
              <w:spacing w:after="36" w:before="0"/>
            </w:pPr>
            <w:r>
              <w:rPr>
                <w:rFonts w:ascii="Arial" w:cs="Arial" w:eastAsia="Arial" w:hAnsi="Arial"/>
                <w:b w:val="false"/>
                <w:bCs w:val="false"/>
                <w:i/>
                <w:iCs/>
                <w:caps w:val="false"/>
                <w:color w:val="8fa8c8"/>
                <w:sz w:val="9"/>
                <w:szCs w:val="9"/>
              </w:rPr>
              <w:t xml:space="preserve">ASF-CH5-CCM-v2.0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Patients rarely deteriorate without warning — vital signs typically shift measurably in the hours before a serious event, but only if someone is watching for the pattern rather than each reading in isolation. A structured early warning system turns individual observations into a trend that triggers action at a defined threshold, closing the gap between a subtle warning sign and the clinical response it should prompt.</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Subbe et al. 2001 — validated early warning scoring systems reliably identify patients at risk of deterioration significantly earlier than routine, unstructured observation alone.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structured early warning system with standardised scoring is used consistently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Observation frequency is matched to each patient’s risk category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Escalation triggers and required responses are clearly defined at specific score thresholds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Escalations are followed by a timely, documented clinical response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Missed or delayed observations are tracked and actively addressed</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structured early warning system is in use; deterioration relies on individual clinical judgement alone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Observation frequency is uniform regardless of patient risk</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escalation trigger or response exists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Triggering scores are recorded but not reliably followed by a timely response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Missed observations go unnoticed and unaddressed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scoring system is used but escalation response is inconsistent.</w:t>
            </w:r>
          </w:p>
          <w:p>
            <w:pPr>
              <w:spacing w:after="20" w:before="0"/>
            </w:pPr>
            <w:r>
              <w:rPr>
                <w:rFonts w:ascii="Arial" w:cs="Arial" w:eastAsia="Arial" w:hAnsi="Arial"/>
                <w:b w:val="false"/>
                <w:bCs w:val="false"/>
                <w:i/>
                <w:iCs/>
                <w:caps w:val="false"/>
                <w:color w:val="4b5563"/>
                <w:sz w:val="15"/>
                <w:szCs w:val="15"/>
              </w:rPr>
              <w:t xml:space="preserve">Warning scores are calculated correctly and recorded, but the response once a threshold is triggered varies significantly by who is on shift.</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High-risk patients are monitored appropriately; lower-risk patients are monitored too infrequently to catch a change.</w:t>
            </w:r>
          </w:p>
          <w:p>
            <w:pPr>
              <w:spacing w:after="20" w:before="0"/>
            </w:pPr>
            <w:r>
              <w:rPr>
                <w:rFonts w:ascii="Arial" w:cs="Arial" w:eastAsia="Arial" w:hAnsi="Arial"/>
                <w:b w:val="false"/>
                <w:bCs w:val="false"/>
                <w:i/>
                <w:iCs/>
                <w:caps w:val="false"/>
                <w:color w:val="4b5563"/>
                <w:sz w:val="15"/>
                <w:szCs w:val="15"/>
              </w:rPr>
              <w:t xml:space="preserve">Risk stratification exists in principle, but observation frequency for patients not flagged as high-risk sometimes falls below what would catch a genuine deterioration.</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Missed observations happen but are not tracked as a distinct problem.</w:t>
            </w:r>
          </w:p>
          <w:p>
            <w:pPr>
              <w:spacing w:after="36" w:before="0"/>
            </w:pPr>
            <w:r>
              <w:rPr>
                <w:rFonts w:ascii="Arial" w:cs="Arial" w:eastAsia="Arial" w:hAnsi="Arial"/>
                <w:b w:val="false"/>
                <w:bCs w:val="false"/>
                <w:i/>
                <w:iCs/>
                <w:caps w:val="false"/>
                <w:color w:val="4b5563"/>
                <w:sz w:val="15"/>
                <w:szCs w:val="15"/>
              </w:rPr>
              <w:t xml:space="preserve">Gaps in the observation schedule occur under staffing pressure, but no one is systematically identifying or addressing the pattern.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or adopt a structured early warning scoring system.</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Set observation frequency standards matched to patient risk category.</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Define escalation triggers and required responses at each threshold.</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Audit response timing for a sample of triggering scores.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Track missed observations and escalation response timeliness as routine quality indicators.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Trace a specific triggering score to its actual response time.  </w:t>
            </w:r>
            <w:r>
              <w:rPr>
                <w:rFonts w:ascii="Arial" w:cs="Arial" w:eastAsia="Arial" w:hAnsi="Arial"/>
                <w:b w:val="false"/>
                <w:bCs w:val="false"/>
                <w:i w:val="false"/>
                <w:iCs w:val="false"/>
                <w:caps w:val="false"/>
                <w:color w:val="374151"/>
                <w:sz w:val="16"/>
                <w:szCs w:val="16"/>
              </w:rPr>
              <w:t xml:space="preserve">This is the clearest test of whether the escalation protocol functions in practice, not just on paper.</w:t>
            </w:r>
          </w:p>
          <w:p>
            <w:pPr>
              <w:spacing w:after="16" w:before="0"/>
            </w:pPr>
            <w:r>
              <w:rPr>
                <w:rFonts w:ascii="Arial" w:cs="Arial" w:eastAsia="Arial" w:hAnsi="Arial"/>
                <w:b/>
                <w:bCs/>
                <w:i w:val="false"/>
                <w:iCs w:val="false"/>
                <w:caps w:val="false"/>
                <w:color w:val="b91c1c"/>
                <w:sz w:val="15"/>
                <w:szCs w:val="15"/>
              </w:rPr>
              <w:t xml:space="preserve">Check observation frequency for a lower-risk patient, not only a high-risk one.  </w:t>
            </w:r>
            <w:r>
              <w:rPr>
                <w:rFonts w:ascii="Arial" w:cs="Arial" w:eastAsia="Arial" w:hAnsi="Arial"/>
                <w:b w:val="false"/>
                <w:bCs w:val="false"/>
                <w:i w:val="false"/>
                <w:iCs w:val="false"/>
                <w:caps w:val="false"/>
                <w:color w:val="374151"/>
                <w:sz w:val="16"/>
                <w:szCs w:val="16"/>
              </w:rPr>
              <w:t xml:space="preserve">Under-monitoring of patients not flagged as high-risk is a common, easily missed gap.</w:t>
            </w:r>
          </w:p>
          <w:p>
            <w:pPr>
              <w:spacing w:after="36" w:before="0"/>
            </w:pPr>
            <w:r>
              <w:rPr>
                <w:rFonts w:ascii="Arial" w:cs="Arial" w:eastAsia="Arial" w:hAnsi="Arial"/>
                <w:b/>
                <w:bCs/>
                <w:i w:val="false"/>
                <w:iCs w:val="false"/>
                <w:caps w:val="false"/>
                <w:color w:val="b91c1c"/>
                <w:sz w:val="15"/>
                <w:szCs w:val="15"/>
              </w:rPr>
              <w:t xml:space="preserve">Ask how a missed observation would be noticed.  </w:t>
            </w:r>
            <w:r>
              <w:rPr>
                <w:rFonts w:ascii="Arial" w:cs="Arial" w:eastAsia="Arial" w:hAnsi="Arial"/>
                <w:b w:val="false"/>
                <w:bCs w:val="false"/>
                <w:i w:val="false"/>
                <w:iCs w:val="false"/>
                <w:caps w:val="false"/>
                <w:color w:val="374151"/>
                <w:sz w:val="16"/>
                <w:szCs w:val="16"/>
              </w:rPr>
              <w:t xml:space="preserve">A credible answer indicates active tracking; an uncertain one suggests gaps go unnoticed until they cause a problem.</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ktdvlvljd4zr3iclkydok">
              <w:r>
                <w:rPr>
                  <w:rFonts w:ascii="Arial" w:cs="Arial" w:eastAsia="Arial" w:hAnsi="Arial"/>
                  <w:b/>
                  <w:bCs/>
                  <w:color w:val="c9a227"/>
                  <w:sz w:val="13"/>
                  <w:szCs w:val="13"/>
                  <w:u w:val="single"/>
                </w:rPr>
                <w:t xml:space="preserve">academy.gmj.ge/ch5-6-monitoring-high-risk-patients</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5.7</w:t>
            </w:r>
            <w:r>
              <w:rPr>
                <w:rFonts w:ascii="Arial" w:cs="Arial" w:eastAsia="Arial" w:hAnsi="Arial"/>
                <w:b w:val="false"/>
                <w:bCs w:val="false"/>
                <w:i/>
                <w:iCs/>
                <w:caps w:val="false"/>
                <w:color w:val="8fa8c8"/>
                <w:sz w:val="10"/>
                <w:szCs w:val="10"/>
              </w:rPr>
              <w:t xml:space="preserve">  ·  Level 2  ·  Chapter 5: Clinical Care &amp; Patient Management</w:t>
            </w:r>
          </w:p>
          <w:p>
            <w:pPr>
              <w:spacing w:after="36" w:before="0"/>
            </w:pPr>
            <w:r>
              <w:rPr>
                <w:rFonts w:ascii="Arial" w:cs="Arial" w:eastAsia="Arial" w:hAnsi="Arial"/>
                <w:b/>
                <w:bCs/>
                <w:i w:val="false"/>
                <w:iCs w:val="false"/>
                <w:caps w:val="false"/>
                <w:color w:val="dce8f5"/>
                <w:sz w:val="12"/>
                <w:szCs w:val="12"/>
              </w:rPr>
              <w:t xml:space="preserve">Diagnostic Testing and Results Management</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15</w:t>
            </w:r>
          </w:p>
          <w:p>
            <w:pPr>
              <w:spacing w:after="36" w:before="0"/>
            </w:pPr>
            <w:r>
              <w:rPr>
                <w:rFonts w:ascii="Arial" w:cs="Arial" w:eastAsia="Arial" w:hAnsi="Arial"/>
                <w:b w:val="false"/>
                <w:bCs w:val="false"/>
                <w:i/>
                <w:iCs/>
                <w:caps w:val="false"/>
                <w:color w:val="8fa8c8"/>
                <w:sz w:val="9"/>
                <w:szCs w:val="9"/>
              </w:rPr>
              <w:t xml:space="preserve">ASF-CH5-CCM-v2.0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5.7</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Diagnostic Testing and Results Management</w:t>
            </w:r>
          </w:p>
          <w:p>
            <w:pPr>
              <w:spacing w:after="36" w:before="0"/>
            </w:pPr>
            <w:r>
              <w:rPr>
                <w:rFonts w:ascii="Arial" w:cs="Arial" w:eastAsia="Arial" w:hAnsi="Arial"/>
                <w:b w:val="false"/>
                <w:bCs w:val="false"/>
                <w:i w:val="false"/>
                <w:iCs w:val="false"/>
                <w:caps w:val="false"/>
                <w:color w:val="4b5563"/>
                <w:sz w:val="15"/>
                <w:szCs w:val="15"/>
              </w:rPr>
              <w:t xml:space="preserve">The hospital has a documented process ensuring diagnostic test results, including critical values, reach the ordering clinician and are acted on within a defined timeframe.</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maximum turnaround time for routine and urgent diagnostic tests?</w:t>
            </w:r>
          </w:p>
          <w:p>
            <w:pPr>
              <w:spacing w:after="7" w:before="0"/>
            </w:pPr>
            <w:r>
              <w:rPr>
                <w:rFonts w:ascii="Arial" w:cs="Arial" w:eastAsia="Arial" w:hAnsi="Arial"/>
                <w:b w:val="false"/>
                <w:bCs w:val="false"/>
                <w:i/>
                <w:iCs/>
                <w:caps w:val="false"/>
                <w:color w:val="4b5563"/>
                <w:sz w:val="15"/>
                <w:szCs w:val="15"/>
              </w:rPr>
              <w:t xml:space="preserve">Check timeframes are specific and differentiated by test urgency.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Turnaround time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documented process ensuring the ordering clinician receives and acknowledges results?</w:t>
            </w:r>
          </w:p>
          <w:p>
            <w:pPr>
              <w:spacing w:after="7" w:before="0"/>
            </w:pPr>
            <w:r>
              <w:rPr>
                <w:rFonts w:ascii="Arial" w:cs="Arial" w:eastAsia="Arial" w:hAnsi="Arial"/>
                <w:b w:val="false"/>
                <w:bCs w:val="false"/>
                <w:i/>
                <w:iCs/>
                <w:caps w:val="false"/>
                <w:color w:val="4b5563"/>
                <w:sz w:val="15"/>
                <w:szCs w:val="15"/>
              </w:rPr>
              <w:t xml:space="preserve">Check for a receipt-confirmation mechanism, not just result availability.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Result delivery / acknowledgement process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specific critical value alert process, separate from routine result delivery?</w:t>
            </w:r>
          </w:p>
          <w:p>
            <w:pPr>
              <w:spacing w:after="7" w:before="0"/>
            </w:pPr>
            <w:r>
              <w:rPr>
                <w:rFonts w:ascii="Arial" w:cs="Arial" w:eastAsia="Arial" w:hAnsi="Arial"/>
                <w:b w:val="false"/>
                <w:bCs w:val="false"/>
                <w:i/>
                <w:iCs/>
                <w:caps w:val="false"/>
                <w:color w:val="4b5563"/>
                <w:sz w:val="15"/>
                <w:szCs w:val="15"/>
              </w:rPr>
              <w:t xml:space="preserve">Check the process names critical value thresholds and required response time.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Critical value alert protocol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results reviewed and acted on, with the clinical response documented?</w:t>
            </w:r>
          </w:p>
          <w:p>
            <w:pPr>
              <w:spacing w:after="7" w:before="0"/>
            </w:pPr>
            <w:r>
              <w:rPr>
                <w:rFonts w:ascii="Arial" w:cs="Arial" w:eastAsia="Arial" w:hAnsi="Arial"/>
                <w:b w:val="false"/>
                <w:bCs w:val="false"/>
                <w:i/>
                <w:iCs/>
                <w:caps w:val="false"/>
                <w:color w:val="4b5563"/>
                <w:sz w:val="15"/>
                <w:szCs w:val="15"/>
              </w:rPr>
              <w:t xml:space="preserve">Check a sample of abnormal results for a documented follow-up action.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Sample result follow-up documentation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delayed or unacknowledged results tracked and escalated?</w:t>
            </w:r>
          </w:p>
          <w:p>
            <w:pPr>
              <w:spacing w:after="36" w:before="0"/>
            </w:pPr>
            <w:r>
              <w:rPr>
                <w:rFonts w:ascii="Arial" w:cs="Arial" w:eastAsia="Arial" w:hAnsi="Arial"/>
                <w:b w:val="false"/>
                <w:bCs w:val="false"/>
                <w:i/>
                <w:iCs/>
                <w:caps w:val="false"/>
                <w:color w:val="4b5563"/>
                <w:sz w:val="15"/>
                <w:szCs w:val="15"/>
              </w:rPr>
              <w:t xml:space="preserve">Ask what happens to a result no one has acknowledged after a defined period.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Turnaround time compliance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 sample of test orders against the stated turnaround time standard.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Critical value alert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critical value protocol for defined thresholds and required response time.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Result acknowledgement observation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the mechanism by which a clinician receives and acknowledges a result, and evidence of its use.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Unacknowledged result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what happens to a result that has not been acknowledged after the defined period.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zqjvea5l_moq4zfah6ws_">
              <w:r>
                <w:rPr>
                  <w:rFonts w:ascii="Arial" w:cs="Arial" w:eastAsia="Arial" w:hAnsi="Arial"/>
                  <w:b/>
                  <w:bCs/>
                  <w:color w:val="c9a227"/>
                  <w:sz w:val="13"/>
                  <w:szCs w:val="13"/>
                  <w:u w:val="single"/>
                </w:rPr>
                <w:t xml:space="preserve">World Health Organization. Critical value reporting in clinical laboratories. Geneva: WHO; 2019.</w:t>
              </w:r>
            </w:hyperlink>
            <w:r>
              <w:rPr>
                <w:rFonts w:ascii="Arial" w:cs="Arial" w:eastAsia="Arial" w:hAnsi="Arial"/>
                <w:b/>
                <w:bCs/>
                <w:i w:val="false"/>
                <w:iCs w:val="false"/>
                <w:caps w:val="false"/>
                <w:color w:val="6b778c"/>
                <w:sz w:val="13"/>
                <w:szCs w:val="13"/>
              </w:rPr>
              <w:t xml:space="preserve">   2. </w:t>
            </w:r>
            <w:hyperlink w:history="1" r:id="rIdjcinvn5qgbjthtdhkza_z">
              <w:r>
                <w:rPr>
                  <w:rFonts w:ascii="Arial" w:cs="Arial" w:eastAsia="Arial" w:hAnsi="Arial"/>
                  <w:b/>
                  <w:bCs/>
                  <w:color w:val="c9a227"/>
                  <w:sz w:val="13"/>
                  <w:szCs w:val="13"/>
                  <w:u w:val="single"/>
                </w:rPr>
                <w:t xml:space="preserve">College of American Pathologists. Critical values / critical results reporting policy. Northfield: CAP; 2020.</w:t>
              </w:r>
            </w:hyperlink>
            <w:r>
              <w:rPr>
                <w:rFonts w:ascii="Arial" w:cs="Arial" w:eastAsia="Arial" w:hAnsi="Arial"/>
                <w:b/>
                <w:bCs/>
                <w:i w:val="false"/>
                <w:iCs w:val="false"/>
                <w:caps w:val="false"/>
                <w:color w:val="6b778c"/>
                <w:sz w:val="13"/>
                <w:szCs w:val="13"/>
              </w:rPr>
              <w:t xml:space="preserve">   3. </w:t>
            </w:r>
            <w:hyperlink w:history="1" r:id="rId3ohke5wf8aikjhgkbiol4">
              <w:r>
                <w:rPr>
                  <w:rFonts w:ascii="Arial" w:cs="Arial" w:eastAsia="Arial" w:hAnsi="Arial"/>
                  <w:b/>
                  <w:bCs/>
                  <w:color w:val="c9a227"/>
                  <w:sz w:val="13"/>
                  <w:szCs w:val="13"/>
                  <w:u w:val="single"/>
                </w:rPr>
                <w:t xml:space="preserve">Joint Commission International. International Patient Safety Goals — Standards for Hospitals. Oak Brook: JCI; 2020.</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5.7</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5.7</w:t>
            </w:r>
            <w:r>
              <w:rPr>
                <w:rFonts w:ascii="Arial" w:cs="Arial" w:eastAsia="Arial" w:hAnsi="Arial"/>
                <w:b w:val="false"/>
                <w:bCs w:val="false"/>
                <w:i/>
                <w:iCs/>
                <w:caps w:val="false"/>
                <w:color w:val="8fa8c8"/>
                <w:sz w:val="10"/>
                <w:szCs w:val="10"/>
              </w:rPr>
              <w:t xml:space="preserve">  ·  Level 2  ·  Chapter 5: Clinical Care &amp; Patient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16</w:t>
            </w:r>
          </w:p>
          <w:p>
            <w:pPr>
              <w:spacing w:after="36" w:before="0"/>
            </w:pPr>
            <w:r>
              <w:rPr>
                <w:rFonts w:ascii="Arial" w:cs="Arial" w:eastAsia="Arial" w:hAnsi="Arial"/>
                <w:b w:val="false"/>
                <w:bCs w:val="false"/>
                <w:i/>
                <w:iCs/>
                <w:caps w:val="false"/>
                <w:color w:val="8fa8c8"/>
                <w:sz w:val="9"/>
                <w:szCs w:val="9"/>
              </w:rPr>
              <w:t xml:space="preserve">ASF-CH5-CCM-v2.0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diagnostic test that returns a genuinely dangerous result is only as useful as the speed and reliability with which that information reaches someone who can act on it — a critical potassium level or an unexpected mass finding sitting unacknowledged in a system overnight has produced no clinical benefit at all. A defined turnaround standard combined with a distinct, faster critical value alert process ensures the most urgent findings are never treated the same as routine results.</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CAP critical values reporting standards — a substantial share of serious diagnostic-related harm events trace back not to an incorrect test result, but to a correct result that was not communicated to the right clinician in time.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Turnaround time standards are specific and differentiated by test urgency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documented process ensures the ordering clinician receives and acknowledges results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distinct, faster critical value alert protocol exists with defined thresholds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Abnormal results are consistently followed by a documented clinical response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Delayed or unacknowledged results are tracked and escalated</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turnaround time standard exists for diagnostic tests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Results are made available with no confirmation the ordering clinician actually saw them</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Critical values are handled the same as routine results, with no distinct alert process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Abnormal results frequently lack any documented follow-up action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Unacknowledged results are not tracked; nothing prompts a check</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critical value protocol exists but the alert is sometimes missed after hours.</w:t>
            </w:r>
          </w:p>
          <w:p>
            <w:pPr>
              <w:spacing w:after="20" w:before="0"/>
            </w:pPr>
            <w:r>
              <w:rPr>
                <w:rFonts w:ascii="Arial" w:cs="Arial" w:eastAsia="Arial" w:hAnsi="Arial"/>
                <w:b w:val="false"/>
                <w:bCs w:val="false"/>
                <w:i/>
                <w:iCs/>
                <w:caps w:val="false"/>
                <w:color w:val="4b5563"/>
                <w:sz w:val="15"/>
                <w:szCs w:val="15"/>
              </w:rPr>
              <w:t xml:space="preserve">A robust daytime alert process exists, but out-of-hours coverage for critical values is less reliable.</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Turnaround standards are defined but not actually monitored.</w:t>
            </w:r>
          </w:p>
          <w:p>
            <w:pPr>
              <w:spacing w:after="20" w:before="0"/>
            </w:pPr>
            <w:r>
              <w:rPr>
                <w:rFonts w:ascii="Arial" w:cs="Arial" w:eastAsia="Arial" w:hAnsi="Arial"/>
                <w:b w:val="false"/>
                <w:bCs w:val="false"/>
                <w:i/>
                <w:iCs/>
                <w:caps w:val="false"/>
                <w:color w:val="4b5563"/>
                <w:sz w:val="15"/>
                <w:szCs w:val="15"/>
              </w:rPr>
              <w:t xml:space="preserve">A stated turnaround time exists, but no one tracks whether tests are actually completed within it.</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Results reach the clinician but documentation of the response is inconsistent.</w:t>
            </w:r>
          </w:p>
          <w:p>
            <w:pPr>
              <w:spacing w:after="36" w:before="0"/>
            </w:pPr>
            <w:r>
              <w:rPr>
                <w:rFonts w:ascii="Arial" w:cs="Arial" w:eastAsia="Arial" w:hAnsi="Arial"/>
                <w:b w:val="false"/>
                <w:bCs w:val="false"/>
                <w:i/>
                <w:iCs/>
                <w:caps w:val="false"/>
                <w:color w:val="4b5563"/>
                <w:sz w:val="15"/>
                <w:szCs w:val="15"/>
              </w:rPr>
              <w:t xml:space="preserve">Acknowledgement happens reliably, but what was actually done in response to an abnormal finding is not always recorded.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or set specific turnaround time standards, differentiated by test urgency.</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Establish or strengthen a result acknowledgement mechanism for ordering clinicians.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Confirm or build a distinct critical value alert protocol with defined response times, including out-of-hours coverage.</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Audit a sample of abnormal results for documented follow-up action.</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Track delayed or unacknowledged results and turnaround compliance as routine quality indicators.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specifically about out-of-hours critical value handling.  </w:t>
            </w:r>
            <w:r>
              <w:rPr>
                <w:rFonts w:ascii="Arial" w:cs="Arial" w:eastAsia="Arial" w:hAnsi="Arial"/>
                <w:b w:val="false"/>
                <w:bCs w:val="false"/>
                <w:i w:val="false"/>
                <w:iCs w:val="false"/>
                <w:caps w:val="false"/>
                <w:color w:val="374151"/>
                <w:sz w:val="16"/>
                <w:szCs w:val="16"/>
              </w:rPr>
              <w:t xml:space="preserve">This is where reliable-looking daytime protocols most often show gaps.</w:t>
            </w:r>
          </w:p>
          <w:p>
            <w:pPr>
              <w:spacing w:after="16" w:before="0"/>
            </w:pPr>
            <w:r>
              <w:rPr>
                <w:rFonts w:ascii="Arial" w:cs="Arial" w:eastAsia="Arial" w:hAnsi="Arial"/>
                <w:b/>
                <w:bCs/>
                <w:i w:val="false"/>
                <w:iCs w:val="false"/>
                <w:caps w:val="false"/>
                <w:color w:val="b91c1c"/>
                <w:sz w:val="15"/>
                <w:szCs w:val="15"/>
              </w:rPr>
              <w:t xml:space="preserve">Trace an abnormal result to its documented clinical response, not just its acknowledgement.  </w:t>
            </w:r>
            <w:r>
              <w:rPr>
                <w:rFonts w:ascii="Arial" w:cs="Arial" w:eastAsia="Arial" w:hAnsi="Arial"/>
                <w:b w:val="false"/>
                <w:bCs w:val="false"/>
                <w:i w:val="false"/>
                <w:iCs w:val="false"/>
                <w:caps w:val="false"/>
                <w:color w:val="374151"/>
                <w:sz w:val="16"/>
                <w:szCs w:val="16"/>
              </w:rPr>
              <w:t xml:space="preserve">A clinician seeing a result is not the same as acting on it — check that the response itself is recorded.</w:t>
            </w:r>
          </w:p>
          <w:p>
            <w:pPr>
              <w:spacing w:after="36" w:before="0"/>
            </w:pPr>
            <w:r>
              <w:rPr>
                <w:rFonts w:ascii="Arial" w:cs="Arial" w:eastAsia="Arial" w:hAnsi="Arial"/>
                <w:b/>
                <w:bCs/>
                <w:i w:val="false"/>
                <w:iCs w:val="false"/>
                <w:caps w:val="false"/>
                <w:color w:val="b91c1c"/>
                <w:sz w:val="15"/>
                <w:szCs w:val="15"/>
              </w:rPr>
              <w:t xml:space="preserve">Ask what happens to a result no one has acknowledged after a set period.  </w:t>
            </w:r>
            <w:r>
              <w:rPr>
                <w:rFonts w:ascii="Arial" w:cs="Arial" w:eastAsia="Arial" w:hAnsi="Arial"/>
                <w:b w:val="false"/>
                <w:bCs w:val="false"/>
                <w:i w:val="false"/>
                <w:iCs w:val="false"/>
                <w:caps w:val="false"/>
                <w:color w:val="374151"/>
                <w:sz w:val="16"/>
                <w:szCs w:val="16"/>
              </w:rPr>
              <w:t xml:space="preserve">A specific, credible escalation answer indicates real tracking rather than passive hope that someone will notice.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j2rx71wcqcjqxzsiuwc5u">
              <w:r>
                <w:rPr>
                  <w:rFonts w:ascii="Arial" w:cs="Arial" w:eastAsia="Arial" w:hAnsi="Arial"/>
                  <w:b/>
                  <w:bCs/>
                  <w:color w:val="c9a227"/>
                  <w:sz w:val="13"/>
                  <w:szCs w:val="13"/>
                  <w:u w:val="single"/>
                </w:rPr>
                <w:t xml:space="preserve">academy.gmj.ge/ch5-7-diagnostic-testing-results</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5.8</w:t>
            </w:r>
            <w:r>
              <w:rPr>
                <w:rFonts w:ascii="Arial" w:cs="Arial" w:eastAsia="Arial" w:hAnsi="Arial"/>
                <w:b w:val="false"/>
                <w:bCs w:val="false"/>
                <w:i/>
                <w:iCs/>
                <w:caps w:val="false"/>
                <w:color w:val="8fa8c8"/>
                <w:sz w:val="10"/>
                <w:szCs w:val="10"/>
              </w:rPr>
              <w:t xml:space="preserve">  ·  Level 2  ·  Chapter 5: Clinical Care &amp; Patient Management</w:t>
            </w:r>
          </w:p>
          <w:p>
            <w:pPr>
              <w:spacing w:after="36" w:before="0"/>
            </w:pPr>
            <w:r>
              <w:rPr>
                <w:rFonts w:ascii="Arial" w:cs="Arial" w:eastAsia="Arial" w:hAnsi="Arial"/>
                <w:b/>
                <w:bCs/>
                <w:i w:val="false"/>
                <w:iCs w:val="false"/>
                <w:caps w:val="false"/>
                <w:color w:val="dce8f5"/>
                <w:sz w:val="12"/>
                <w:szCs w:val="12"/>
              </w:rPr>
              <w:t xml:space="preserve">Rehabilitation and Allied Health Services</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17</w:t>
            </w:r>
          </w:p>
          <w:p>
            <w:pPr>
              <w:spacing w:after="36" w:before="0"/>
            </w:pPr>
            <w:r>
              <w:rPr>
                <w:rFonts w:ascii="Arial" w:cs="Arial" w:eastAsia="Arial" w:hAnsi="Arial"/>
                <w:b w:val="false"/>
                <w:bCs w:val="false"/>
                <w:i/>
                <w:iCs/>
                <w:caps w:val="false"/>
                <w:color w:val="8fa8c8"/>
                <w:sz w:val="9"/>
                <w:szCs w:val="9"/>
              </w:rPr>
              <w:t xml:space="preserve">ASF-CH5-CCM-v2.0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5.8</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Rehabilitation and Allied Health Services</w:t>
            </w:r>
          </w:p>
          <w:p>
            <w:pPr>
              <w:spacing w:after="36" w:before="0"/>
            </w:pPr>
            <w:r>
              <w:rPr>
                <w:rFonts w:ascii="Arial" w:cs="Arial" w:eastAsia="Arial" w:hAnsi="Arial"/>
                <w:b w:val="false"/>
                <w:bCs w:val="false"/>
                <w:i w:val="false"/>
                <w:iCs w:val="false"/>
                <w:caps w:val="false"/>
                <w:color w:val="4b5563"/>
                <w:sz w:val="15"/>
                <w:szCs w:val="15"/>
              </w:rPr>
              <w:t xml:space="preserve">The hospital provides access to rehabilitation and allied health services, such as physiotherapy and occupational therapy, integrated into the patient’s overall care plan when clinically indicated.</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process for identifying patients who need rehabilitation or allied health input?</w:t>
            </w:r>
          </w:p>
          <w:p>
            <w:pPr>
              <w:spacing w:after="7" w:before="0"/>
            </w:pPr>
            <w:r>
              <w:rPr>
                <w:rFonts w:ascii="Arial" w:cs="Arial" w:eastAsia="Arial" w:hAnsi="Arial"/>
                <w:b w:val="false"/>
                <w:bCs w:val="false"/>
                <w:i/>
                <w:iCs/>
                <w:caps w:val="false"/>
                <w:color w:val="4b5563"/>
                <w:sz w:val="15"/>
                <w:szCs w:val="15"/>
              </w:rPr>
              <w:t xml:space="preserve">Check the process is proactive, not dependent on chance referral.</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Referral identification process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access to physiotherapy, occupational therapy, or equivalent services available within a reasonable timeframe?</w:t>
            </w:r>
          </w:p>
          <w:p>
            <w:pPr>
              <w:spacing w:after="7" w:before="0"/>
            </w:pPr>
            <w:r>
              <w:rPr>
                <w:rFonts w:ascii="Arial" w:cs="Arial" w:eastAsia="Arial" w:hAnsi="Arial"/>
                <w:b w:val="false"/>
                <w:bCs w:val="false"/>
                <w:i/>
                <w:iCs/>
                <w:caps w:val="false"/>
                <w:color w:val="4b5563"/>
                <w:sz w:val="15"/>
                <w:szCs w:val="15"/>
              </w:rPr>
              <w:t xml:space="preserve">Check actual wait times against a stated standard.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Access timeframe data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allied health assessments and interventions documented and integrated into the overall care plan?</w:t>
            </w:r>
          </w:p>
          <w:p>
            <w:pPr>
              <w:spacing w:after="36" w:before="0"/>
            </w:pPr>
            <w:r>
              <w:rPr>
                <w:rFonts w:ascii="Arial" w:cs="Arial" w:eastAsia="Arial" w:hAnsi="Arial"/>
                <w:b w:val="false"/>
                <w:bCs w:val="false"/>
                <w:i/>
                <w:iCs/>
                <w:caps w:val="false"/>
                <w:color w:val="4b5563"/>
                <w:sz w:val="15"/>
                <w:szCs w:val="15"/>
              </w:rPr>
              <w:t xml:space="preserve">Check that allied health notes are visible within the main patient record, not siloed.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mechanism for allied health staff to flag concerns back to the primary clinical team?</w:t>
            </w:r>
          </w:p>
          <w:p>
            <w:pPr>
              <w:spacing w:after="36" w:before="0"/>
            </w:pPr>
            <w:r>
              <w:rPr>
                <w:rFonts w:ascii="Arial" w:cs="Arial" w:eastAsia="Arial" w:hAnsi="Arial"/>
                <w:b w:val="false"/>
                <w:bCs w:val="false"/>
                <w:i/>
                <w:iCs/>
                <w:caps w:val="false"/>
                <w:color w:val="4b5563"/>
                <w:sz w:val="15"/>
                <w:szCs w:val="15"/>
              </w:rPr>
              <w:t xml:space="preserve">Ask how a concern identified during therapy would reach the treating physician.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rehabilitation planning started early in the admission where clinically appropriate, not only near discharge?</w:t>
            </w:r>
          </w:p>
          <w:p>
            <w:pPr>
              <w:spacing w:after="36" w:before="0"/>
            </w:pPr>
            <w:r>
              <w:rPr>
                <w:rFonts w:ascii="Arial" w:cs="Arial" w:eastAsia="Arial" w:hAnsi="Arial"/>
                <w:b w:val="false"/>
                <w:bCs w:val="false"/>
                <w:i/>
                <w:iCs/>
                <w:caps w:val="false"/>
                <w:color w:val="4b5563"/>
                <w:sz w:val="15"/>
                <w:szCs w:val="15"/>
              </w:rPr>
              <w:t xml:space="preserve">Check timing of first allied health involvement against admission date for a sample of cases.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Referral identification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process for proactively identifying patients needing rehabilitation or allied health input.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Access timeframe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actual wait times for allied health services against any stated access standard.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Integration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whether allied health documentation is integrated into the main patient record and visible to the primary team.</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Escalation pathway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an allied health staff member how they would flag a concern back to the primary clinical team.</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vpd9rg93thmgr7sede5d2">
              <w:r>
                <w:rPr>
                  <w:rFonts w:ascii="Arial" w:cs="Arial" w:eastAsia="Arial" w:hAnsi="Arial"/>
                  <w:b/>
                  <w:bCs/>
                  <w:color w:val="c9a227"/>
                  <w:sz w:val="13"/>
                  <w:szCs w:val="13"/>
                  <w:u w:val="single"/>
                </w:rPr>
                <w:t xml:space="preserve">World Health Organization. Rehabilitation in health systems. Geneva: WHO; 2017.</w:t>
              </w:r>
            </w:hyperlink>
            <w:r>
              <w:rPr>
                <w:rFonts w:ascii="Arial" w:cs="Arial" w:eastAsia="Arial" w:hAnsi="Arial"/>
                <w:b/>
                <w:bCs/>
                <w:i w:val="false"/>
                <w:iCs w:val="false"/>
                <w:caps w:val="false"/>
                <w:color w:val="6b778c"/>
                <w:sz w:val="13"/>
                <w:szCs w:val="13"/>
              </w:rPr>
              <w:t xml:space="preserve">   2. </w:t>
            </w:r>
            <w:hyperlink w:history="1" r:id="rId2i-nltuuqyohslwvrp5rc">
              <w:r>
                <w:rPr>
                  <w:rFonts w:ascii="Arial" w:cs="Arial" w:eastAsia="Arial" w:hAnsi="Arial"/>
                  <w:b/>
                  <w:bCs/>
                  <w:color w:val="c9a227"/>
                  <w:sz w:val="13"/>
                  <w:szCs w:val="13"/>
                  <w:u w:val="single"/>
                </w:rPr>
                <w:t xml:space="preserve">World Health Organization. Rehabilitation 2030: a call for action. Geneva: WHO; 2017.</w:t>
              </w:r>
            </w:hyperlink>
            <w:r>
              <w:rPr>
                <w:rFonts w:ascii="Arial" w:cs="Arial" w:eastAsia="Arial" w:hAnsi="Arial"/>
                <w:b/>
                <w:bCs/>
                <w:i w:val="false"/>
                <w:iCs w:val="false"/>
                <w:caps w:val="false"/>
                <w:color w:val="6b778c"/>
                <w:sz w:val="13"/>
                <w:szCs w:val="13"/>
              </w:rPr>
              <w:t xml:space="preserve">   3. </w:t>
            </w:r>
            <w:hyperlink w:history="1" r:id="rIdmarmmx78vrwce0uhbera7">
              <w:r>
                <w:rPr>
                  <w:rFonts w:ascii="Arial" w:cs="Arial" w:eastAsia="Arial" w:hAnsi="Arial"/>
                  <w:b/>
                  <w:bCs/>
                  <w:color w:val="c9a227"/>
                  <w:sz w:val="13"/>
                  <w:szCs w:val="13"/>
                  <w:u w:val="single"/>
                </w:rPr>
                <w:t xml:space="preserve">Wade DT. Rehabilitation — a new approach. Part four: a new paradigm, and its implications. Clin Rehabil. 2016;30(2):109-118.</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5.8</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5.8</w:t>
            </w:r>
            <w:r>
              <w:rPr>
                <w:rFonts w:ascii="Arial" w:cs="Arial" w:eastAsia="Arial" w:hAnsi="Arial"/>
                <w:b w:val="false"/>
                <w:bCs w:val="false"/>
                <w:i/>
                <w:iCs/>
                <w:caps w:val="false"/>
                <w:color w:val="8fa8c8"/>
                <w:sz w:val="10"/>
                <w:szCs w:val="10"/>
              </w:rPr>
              <w:t xml:space="preserve">  ·  Level 2  ·  Chapter 5: Clinical Care &amp; Patient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18</w:t>
            </w:r>
          </w:p>
          <w:p>
            <w:pPr>
              <w:spacing w:after="36" w:before="0"/>
            </w:pPr>
            <w:r>
              <w:rPr>
                <w:rFonts w:ascii="Arial" w:cs="Arial" w:eastAsia="Arial" w:hAnsi="Arial"/>
                <w:b w:val="false"/>
                <w:bCs w:val="false"/>
                <w:i/>
                <w:iCs/>
                <w:caps w:val="false"/>
                <w:color w:val="8fa8c8"/>
                <w:sz w:val="9"/>
                <w:szCs w:val="9"/>
              </w:rPr>
              <w:t xml:space="preserve">ASF-CH5-CCM-v2.0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Rehabilitation is frequently treated as an optional extra considered only once a patient is medically stable and close to discharge, when in fact early, integrated rehabilitation input often shapes how much function a patient ultimately recovers. A hospital that proactively identifies rehabilitation need early, and keeps allied health findings genuinely connected to the main care team, treats functional recovery as part of clinical care rather than an afterthought.</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Rehabilitation 2030 — early integration of rehabilitation into acute care is associated with better functional outcomes and reduced length of stay compared with rehabilitation initiated only near discharge.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proactive process identifies patients needing rehabilitation or allied health input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Access to physiotherapy, occupational therapy, or equivalent is timely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Allied health documentation is integrated into and visible within the overall care plan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clear pathway exists for allied health staff to flag concerns to the primary team</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Rehabilitation planning begins early in the admission where clinically appropriate</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Rehabilitation referral depends on chance recognition rather than a defined process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Access to allied health services is significantly delayed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Allied health notes are siloed, separate from the main patient record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clear pathway exists for allied health concerns to reach the primary clinical team</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Rehabilitation is considered only near discharge, if at all</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Referral happens but relies heavily on individual clinician awareness.</w:t>
            </w:r>
          </w:p>
          <w:p>
            <w:pPr>
              <w:spacing w:after="20" w:before="0"/>
            </w:pPr>
            <w:r>
              <w:rPr>
                <w:rFonts w:ascii="Arial" w:cs="Arial" w:eastAsia="Arial" w:hAnsi="Arial"/>
                <w:b w:val="false"/>
                <w:bCs w:val="false"/>
                <w:i/>
                <w:iCs/>
                <w:caps w:val="false"/>
                <w:color w:val="4b5563"/>
                <w:sz w:val="15"/>
                <w:szCs w:val="15"/>
              </w:rPr>
              <w:t xml:space="preserve">Some clinicians reliably think to refer for rehabilitation; others do not, producing inconsistent access depending on who is treating the patient.</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Allied health documentation exists but sits in a separate system rarely checked by the primary team.</w:t>
            </w:r>
          </w:p>
          <w:p>
            <w:pPr>
              <w:spacing w:after="20" w:before="0"/>
            </w:pPr>
            <w:r>
              <w:rPr>
                <w:rFonts w:ascii="Arial" w:cs="Arial" w:eastAsia="Arial" w:hAnsi="Arial"/>
                <w:b w:val="false"/>
                <w:bCs w:val="false"/>
                <w:i/>
                <w:iCs/>
                <w:caps w:val="false"/>
                <w:color w:val="4b5563"/>
                <w:sz w:val="15"/>
                <w:szCs w:val="15"/>
              </w:rPr>
              <w:t xml:space="preserve">Therapy notes are thorough, but the treating physician rarely reviews them unless specifically prompted.</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Rehabilitation starts early for some conditions but late for others.</w:t>
            </w:r>
          </w:p>
          <w:p>
            <w:pPr>
              <w:spacing w:after="36" w:before="0"/>
            </w:pPr>
            <w:r>
              <w:rPr>
                <w:rFonts w:ascii="Arial" w:cs="Arial" w:eastAsia="Arial" w:hAnsi="Arial"/>
                <w:b w:val="false"/>
                <w:bCs w:val="false"/>
                <w:i/>
                <w:iCs/>
                <w:caps w:val="false"/>
                <w:color w:val="4b5563"/>
                <w:sz w:val="15"/>
                <w:szCs w:val="15"/>
              </w:rPr>
              <w:t xml:space="preserve">Certain patient groups reliably receive early allied health input; others, for less obviously rehabilitation-relevant conditions, are only referred close to discharge.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Review how patients needing rehabilitation input are currently identified and referred.</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Establish or strengthen a proactive identification process, not reliant on individual clinician memory.</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Confirm allied health documentation is integrated into and visible within the main patient record.</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a clear escalation pathway from allied health staff back to the primary clinical team.</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Track access timeframes and timing of rehabilitation initiation relative to admission.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how a patient gets referred to physiotherapy, step by step.  </w:t>
            </w:r>
            <w:r>
              <w:rPr>
                <w:rFonts w:ascii="Arial" w:cs="Arial" w:eastAsia="Arial" w:hAnsi="Arial"/>
                <w:b w:val="false"/>
                <w:bCs w:val="false"/>
                <w:i w:val="false"/>
                <w:iCs w:val="false"/>
                <w:caps w:val="false"/>
                <w:color w:val="374151"/>
                <w:sz w:val="16"/>
                <w:szCs w:val="16"/>
              </w:rPr>
              <w:t xml:space="preserve">A vague or inconsistent answer suggests referral depends on individual initiative rather than a reliable process.</w:t>
            </w:r>
          </w:p>
          <w:p>
            <w:pPr>
              <w:spacing w:after="16" w:before="0"/>
            </w:pPr>
            <w:r>
              <w:rPr>
                <w:rFonts w:ascii="Arial" w:cs="Arial" w:eastAsia="Arial" w:hAnsi="Arial"/>
                <w:b/>
                <w:bCs/>
                <w:i w:val="false"/>
                <w:iCs w:val="false"/>
                <w:caps w:val="false"/>
                <w:color w:val="b91c1c"/>
                <w:sz w:val="15"/>
                <w:szCs w:val="15"/>
              </w:rPr>
              <w:t xml:space="preserve">Check whether the treating physician can find allied health notes without asking.  </w:t>
            </w:r>
            <w:r>
              <w:rPr>
                <w:rFonts w:ascii="Arial" w:cs="Arial" w:eastAsia="Arial" w:hAnsi="Arial"/>
                <w:b w:val="false"/>
                <w:bCs w:val="false"/>
                <w:i w:val="false"/>
                <w:iCs w:val="false"/>
                <w:caps w:val="false"/>
                <w:color w:val="374151"/>
                <w:sz w:val="16"/>
                <w:szCs w:val="16"/>
              </w:rPr>
              <w:t xml:space="preserve">If notes are hard to locate, integration exists on paper but not in daily practice.</w:t>
            </w:r>
          </w:p>
          <w:p>
            <w:pPr>
              <w:spacing w:after="36" w:before="0"/>
            </w:pPr>
            <w:r>
              <w:rPr>
                <w:rFonts w:ascii="Arial" w:cs="Arial" w:eastAsia="Arial" w:hAnsi="Arial"/>
                <w:b/>
                <w:bCs/>
                <w:i w:val="false"/>
                <w:iCs w:val="false"/>
                <w:caps w:val="false"/>
                <w:color w:val="b91c1c"/>
                <w:sz w:val="15"/>
                <w:szCs w:val="15"/>
              </w:rPr>
              <w:t xml:space="preserve">Look at timing of first allied health contact relative to admission.  </w:t>
            </w:r>
            <w:r>
              <w:rPr>
                <w:rFonts w:ascii="Arial" w:cs="Arial" w:eastAsia="Arial" w:hAnsi="Arial"/>
                <w:b w:val="false"/>
                <w:bCs w:val="false"/>
                <w:i w:val="false"/>
                <w:iCs w:val="false"/>
                <w:caps w:val="false"/>
                <w:color w:val="374151"/>
                <w:sz w:val="16"/>
                <w:szCs w:val="16"/>
              </w:rPr>
              <w:t xml:space="preserve">Rehabilitation started only in the final days before discharge suggests it is being treated as an afterthought rather than integrated care.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snphwkjrykt0m3ec8iwkj">
              <w:r>
                <w:rPr>
                  <w:rFonts w:ascii="Arial" w:cs="Arial" w:eastAsia="Arial" w:hAnsi="Arial"/>
                  <w:b/>
                  <w:bCs/>
                  <w:color w:val="c9a227"/>
                  <w:sz w:val="13"/>
                  <w:szCs w:val="13"/>
                  <w:u w:val="single"/>
                </w:rPr>
                <w:t xml:space="preserve">academy.gmj.ge/ch5-8-rehabilitation-allied-health</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5.9</w:t>
            </w:r>
            <w:r>
              <w:rPr>
                <w:rFonts w:ascii="Arial" w:cs="Arial" w:eastAsia="Arial" w:hAnsi="Arial"/>
                <w:b w:val="false"/>
                <w:bCs w:val="false"/>
                <w:i/>
                <w:iCs/>
                <w:caps w:val="false"/>
                <w:color w:val="8fa8c8"/>
                <w:sz w:val="10"/>
                <w:szCs w:val="10"/>
              </w:rPr>
              <w:t xml:space="preserve">  ·  Level 3  ·  Chapter 5: Clinical Care &amp; Patient Management</w:t>
            </w:r>
          </w:p>
          <w:p>
            <w:pPr>
              <w:spacing w:after="36" w:before="0"/>
            </w:pPr>
            <w:r>
              <w:rPr>
                <w:rFonts w:ascii="Arial" w:cs="Arial" w:eastAsia="Arial" w:hAnsi="Arial"/>
                <w:b/>
                <w:bCs/>
                <w:i w:val="false"/>
                <w:iCs w:val="false"/>
                <w:caps w:val="false"/>
                <w:color w:val="dce8f5"/>
                <w:sz w:val="12"/>
                <w:szCs w:val="12"/>
              </w:rPr>
              <w:t xml:space="preserve">Discharge Planning and Community Linkage</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19</w:t>
            </w:r>
          </w:p>
          <w:p>
            <w:pPr>
              <w:spacing w:after="36" w:before="0"/>
            </w:pPr>
            <w:r>
              <w:rPr>
                <w:rFonts w:ascii="Arial" w:cs="Arial" w:eastAsia="Arial" w:hAnsi="Arial"/>
                <w:b w:val="false"/>
                <w:bCs w:val="false"/>
                <w:i/>
                <w:iCs/>
                <w:caps w:val="false"/>
                <w:color w:val="8fa8c8"/>
                <w:sz w:val="9"/>
                <w:szCs w:val="9"/>
              </w:rPr>
              <w:t xml:space="preserve">ASF-CH5-CCM-v2.0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5.9</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L3</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Discharge Planning and Community Linkage</w:t>
            </w:r>
          </w:p>
          <w:p>
            <w:pPr>
              <w:spacing w:after="36" w:before="0"/>
            </w:pPr>
            <w:r>
              <w:rPr>
                <w:rFonts w:ascii="Arial" w:cs="Arial" w:eastAsia="Arial" w:hAnsi="Arial"/>
                <w:b w:val="false"/>
                <w:bCs w:val="false"/>
                <w:i w:val="false"/>
                <w:iCs w:val="false"/>
                <w:caps w:val="false"/>
                <w:color w:val="4b5563"/>
                <w:sz w:val="15"/>
                <w:szCs w:val="15"/>
              </w:rPr>
              <w:t xml:space="preserve">The hospital begins discharge planning early in the admission, provides patients with clear post-discharge instructions, and links them to appropriate community or follow-up services.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discharge planning begin early in the admission, not only on the day of discharge?</w:t>
            </w:r>
          </w:p>
          <w:p>
            <w:pPr>
              <w:spacing w:after="7" w:before="0"/>
            </w:pPr>
            <w:r>
              <w:rPr>
                <w:rFonts w:ascii="Arial" w:cs="Arial" w:eastAsia="Arial" w:hAnsi="Arial"/>
                <w:b w:val="false"/>
                <w:bCs w:val="false"/>
                <w:i/>
                <w:iCs/>
                <w:caps w:val="false"/>
                <w:color w:val="4b5563"/>
                <w:sz w:val="15"/>
                <w:szCs w:val="15"/>
              </w:rPr>
              <w:t xml:space="preserve">Check the timing of first discharge planning documentation against admission date.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Discharge planning timing sample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 patients receive clear, written discharge instructions covering medication, follow-up, and warning signs?</w:t>
            </w:r>
          </w:p>
          <w:p>
            <w:pPr>
              <w:spacing w:after="7" w:before="0"/>
            </w:pPr>
            <w:r>
              <w:rPr>
                <w:rFonts w:ascii="Arial" w:cs="Arial" w:eastAsia="Arial" w:hAnsi="Arial"/>
                <w:b w:val="false"/>
                <w:bCs w:val="false"/>
                <w:i/>
                <w:iCs/>
                <w:caps w:val="false"/>
                <w:color w:val="4b5563"/>
                <w:sz w:val="15"/>
                <w:szCs w:val="15"/>
              </w:rPr>
              <w:t xml:space="preserve">Check a sample of discharge summaries for these elements.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Sample discharge instructions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process linking patients to appropriate community, primary care, or follow-up services before discharge?</w:t>
            </w:r>
          </w:p>
          <w:p>
            <w:pPr>
              <w:spacing w:after="7" w:before="0"/>
            </w:pPr>
            <w:r>
              <w:rPr>
                <w:rFonts w:ascii="Arial" w:cs="Arial" w:eastAsia="Arial" w:hAnsi="Arial"/>
                <w:b w:val="false"/>
                <w:bCs w:val="false"/>
                <w:i/>
                <w:iCs/>
                <w:caps w:val="false"/>
                <w:color w:val="4b5563"/>
                <w:sz w:val="15"/>
                <w:szCs w:val="15"/>
              </w:rPr>
              <w:t xml:space="preserve">Check for a documented referral or appointment, not just a general recommendation.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Community linkage documentation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patients or families given the opportunity to ask questions and confirm understanding before discharge?</w:t>
            </w:r>
          </w:p>
          <w:p>
            <w:pPr>
              <w:spacing w:after="36" w:before="0"/>
            </w:pPr>
            <w:r>
              <w:rPr>
                <w:rFonts w:ascii="Arial" w:cs="Arial" w:eastAsia="Arial" w:hAnsi="Arial"/>
                <w:b w:val="false"/>
                <w:bCs w:val="false"/>
                <w:i/>
                <w:iCs/>
                <w:caps w:val="false"/>
                <w:color w:val="4b5563"/>
                <w:sz w:val="15"/>
                <w:szCs w:val="15"/>
              </w:rPr>
              <w:t xml:space="preserve">Ask a recently discharged patient about their discharge conversation.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process to identify patients at high risk of readmission and provide additional discharge support?</w:t>
            </w:r>
          </w:p>
          <w:p>
            <w:pPr>
              <w:spacing w:after="36" w:before="0"/>
            </w:pPr>
            <w:r>
              <w:rPr>
                <w:rFonts w:ascii="Arial" w:cs="Arial" w:eastAsia="Arial" w:hAnsi="Arial"/>
                <w:b w:val="false"/>
                <w:bCs w:val="false"/>
                <w:i/>
                <w:iCs/>
                <w:caps w:val="false"/>
                <w:color w:val="4b5563"/>
                <w:sz w:val="15"/>
                <w:szCs w:val="15"/>
              </w:rPr>
              <w:t xml:space="preserve">Check for a risk-stratification approach to discharge planning.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Discharge planning timing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the timing of first discharge planning activity against the admission date for a sample of cases.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Discharge instruction completeness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 sample of discharge summaries for medication, follow-up, and warning-sign content.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Patient understanding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recently discharged patient, where feasible, about their discharge conversation and understanding.</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Community linkage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for documented referrals or appointments connecting patients to follow-up services, not general advice alone.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wpbyvlq7mjyl3hygfh7xm">
              <w:r>
                <w:rPr>
                  <w:rFonts w:ascii="Arial" w:cs="Arial" w:eastAsia="Arial" w:hAnsi="Arial"/>
                  <w:b/>
                  <w:bCs/>
                  <w:color w:val="c9a227"/>
                  <w:sz w:val="13"/>
                  <w:szCs w:val="13"/>
                  <w:u w:val="single"/>
                </w:rPr>
                <w:t xml:space="preserve">World Health Organization. Transitions of care: technical series on safer primary care. Geneva: WHO; 2016.</w:t>
              </w:r>
            </w:hyperlink>
            <w:r>
              <w:rPr>
                <w:rFonts w:ascii="Arial" w:cs="Arial" w:eastAsia="Arial" w:hAnsi="Arial"/>
                <w:b/>
                <w:bCs/>
                <w:i w:val="false"/>
                <w:iCs w:val="false"/>
                <w:caps w:val="false"/>
                <w:color w:val="6b778c"/>
                <w:sz w:val="13"/>
                <w:szCs w:val="13"/>
              </w:rPr>
              <w:t xml:space="preserve">   2. </w:t>
            </w:r>
            <w:hyperlink w:history="1" r:id="rIdssg4ghpbbouy-w1njreec">
              <w:r>
                <w:rPr>
                  <w:rFonts w:ascii="Arial" w:cs="Arial" w:eastAsia="Arial" w:hAnsi="Arial"/>
                  <w:b/>
                  <w:bCs/>
                  <w:color w:val="c9a227"/>
                  <w:sz w:val="13"/>
                  <w:szCs w:val="13"/>
                  <w:u w:val="single"/>
                </w:rPr>
                <w:t xml:space="preserve">Kripalani S, Jackson AT, Schnipper JL, Coleman EA. Promoting effective transitions of care at hospital discharge: a review of key issues for hospitalists. J Hosp Med. 2007;2(5):314-323.</w:t>
              </w:r>
            </w:hyperlink>
            <w:r>
              <w:rPr>
                <w:rFonts w:ascii="Arial" w:cs="Arial" w:eastAsia="Arial" w:hAnsi="Arial"/>
                <w:b/>
                <w:bCs/>
                <w:i w:val="false"/>
                <w:iCs w:val="false"/>
                <w:caps w:val="false"/>
                <w:color w:val="6b778c"/>
                <w:sz w:val="13"/>
                <w:szCs w:val="13"/>
              </w:rPr>
              <w:t xml:space="preserve">   3. </w:t>
            </w:r>
            <w:hyperlink w:history="1" r:id="rIdggxvicxd1mheddwtjsoys">
              <w:r>
                <w:rPr>
                  <w:rFonts w:ascii="Arial" w:cs="Arial" w:eastAsia="Arial" w:hAnsi="Arial"/>
                  <w:b/>
                  <w:bCs/>
                  <w:color w:val="c9a227"/>
                  <w:sz w:val="13"/>
                  <w:szCs w:val="13"/>
                  <w:u w:val="single"/>
                </w:rPr>
                <w:t xml:space="preserve">Naylor MD, Aiken LH, Kurtzman ET, Olds DM, Hirschman KB. The care span: the importance of transitional care in achieving health reform. Health Aff (Millwood). 2011;30(4):746-754.</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5.9</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5.9</w:t>
            </w:r>
            <w:r>
              <w:rPr>
                <w:rFonts w:ascii="Arial" w:cs="Arial" w:eastAsia="Arial" w:hAnsi="Arial"/>
                <w:b w:val="false"/>
                <w:bCs w:val="false"/>
                <w:i/>
                <w:iCs/>
                <w:caps w:val="false"/>
                <w:color w:val="8fa8c8"/>
                <w:sz w:val="10"/>
                <w:szCs w:val="10"/>
              </w:rPr>
              <w:t xml:space="preserve">  ·  Level 3  ·  Chapter 5: Clinical Care &amp; Patient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20</w:t>
            </w:r>
          </w:p>
          <w:p>
            <w:pPr>
              <w:spacing w:after="36" w:before="0"/>
            </w:pPr>
            <w:r>
              <w:rPr>
                <w:rFonts w:ascii="Arial" w:cs="Arial" w:eastAsia="Arial" w:hAnsi="Arial"/>
                <w:b w:val="false"/>
                <w:bCs w:val="false"/>
                <w:i/>
                <w:iCs/>
                <w:caps w:val="false"/>
                <w:color w:val="8fa8c8"/>
                <w:sz w:val="9"/>
                <w:szCs w:val="9"/>
              </w:rPr>
              <w:t xml:space="preserve">ASF-CH5-CCM-v2.0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Discharge is not the end of a hospital’s responsibility for a patient — it is a transition point where poor planning routinely leads to readmission, medication errors at home, or missed follow-up that a slightly earlier start on planning, clearer instructions, and an actual connection to the next point of care could have prevented. A discharge process that begins on the day of discharge itself is, by definition, starting too late.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Naylor et al. 2011 — structured transitional care planning beginning during the hospital stay, rather than only at discharge, is associated with significantly reduced readmission rates.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Discharge planning begins early in the admission, not only on the discharge day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Written discharge instructions clearly cover medication, follow-up, and warning signs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Patients are actively linked to community or follow-up services before leaving, with documented referrals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Patients and families have a genuine opportunity to ask questions and confirm understanding</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Patients at high risk of readmission receive additional, targeted discharge support</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Discharge planning starts only on the day of discharge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Discharge instructions are minimal, generic, or unclear</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Patients leave with only a general recommendation to "follow up," with no actual connection made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Discharge is rushed, with no real opportunity for patients to ask questions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process identifies patients at higher risk of readmission for additional support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Discharge instructions are given but rarely checked for understanding.</w:t>
            </w:r>
          </w:p>
          <w:p>
            <w:pPr>
              <w:spacing w:after="20" w:before="0"/>
            </w:pPr>
            <w:r>
              <w:rPr>
                <w:rFonts w:ascii="Arial" w:cs="Arial" w:eastAsia="Arial" w:hAnsi="Arial"/>
                <w:b w:val="false"/>
                <w:bCs w:val="false"/>
                <w:i/>
                <w:iCs/>
                <w:caps w:val="false"/>
                <w:color w:val="4b5563"/>
                <w:sz w:val="15"/>
                <w:szCs w:val="15"/>
              </w:rPr>
              <w:t xml:space="preserve">A written summary is handed to the patient, but no one confirms they have actually understood the medication changes or warning signs.</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Community linkage happens for some services but not others.</w:t>
            </w:r>
          </w:p>
          <w:p>
            <w:pPr>
              <w:spacing w:after="20" w:before="0"/>
            </w:pPr>
            <w:r>
              <w:rPr>
                <w:rFonts w:ascii="Arial" w:cs="Arial" w:eastAsia="Arial" w:hAnsi="Arial"/>
                <w:b w:val="false"/>
                <w:bCs w:val="false"/>
                <w:i/>
                <w:iCs/>
                <w:caps w:val="false"/>
                <w:color w:val="4b5563"/>
                <w:sz w:val="15"/>
                <w:szCs w:val="15"/>
              </w:rPr>
              <w:t xml:space="preserve">Referral to a specialist follow-up is reliably arranged, but connection to primary care or social support is left to the patient to organise.</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Discharge planning is documented as starting early but the actual substantive work still happens at the last moment.</w:t>
            </w:r>
          </w:p>
          <w:p>
            <w:pPr>
              <w:spacing w:after="36" w:before="0"/>
            </w:pPr>
            <w:r>
              <w:rPr>
                <w:rFonts w:ascii="Arial" w:cs="Arial" w:eastAsia="Arial" w:hAnsi="Arial"/>
                <w:b w:val="false"/>
                <w:bCs w:val="false"/>
                <w:i/>
                <w:iCs/>
                <w:caps w:val="false"/>
                <w:color w:val="4b5563"/>
                <w:sz w:val="15"/>
                <w:szCs w:val="15"/>
              </w:rPr>
              <w:t xml:space="preserve">An early planning note exists in the record, but the practical arrangements are still made in the final day or two before discharge.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Review current discharge planning timing and identify how early substantive planning realistically begins.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Standardise written discharge instructions to reliably cover medication, follow-up, and warning signs.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Establish a process for making documented community or follow-up referrals before discharge, not just general advice.</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Introduce a readmission risk consideration into discharge planning for additional support where needed.</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Audit discharge planning timing, instruction quality, and community linkage as routine quality indicators.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a discharged patient what they were told to do at home, in their own words.  </w:t>
            </w:r>
            <w:r>
              <w:rPr>
                <w:rFonts w:ascii="Arial" w:cs="Arial" w:eastAsia="Arial" w:hAnsi="Arial"/>
                <w:b w:val="false"/>
                <w:bCs w:val="false"/>
                <w:i w:val="false"/>
                <w:iCs w:val="false"/>
                <w:caps w:val="false"/>
                <w:color w:val="374151"/>
                <w:sz w:val="16"/>
                <w:szCs w:val="16"/>
              </w:rPr>
              <w:t xml:space="preserve">A patient who can clearly explain their medication changes and follow-up plan indicates genuine understanding was confirmed, not just information handed over.</w:t>
            </w:r>
          </w:p>
          <w:p>
            <w:pPr>
              <w:spacing w:after="16" w:before="0"/>
            </w:pPr>
            <w:r>
              <w:rPr>
                <w:rFonts w:ascii="Arial" w:cs="Arial" w:eastAsia="Arial" w:hAnsi="Arial"/>
                <w:b/>
                <w:bCs/>
                <w:i w:val="false"/>
                <w:iCs w:val="false"/>
                <w:caps w:val="false"/>
                <w:color w:val="b91c1c"/>
                <w:sz w:val="15"/>
                <w:szCs w:val="15"/>
              </w:rPr>
              <w:t xml:space="preserve">Check for an actual appointment or referral, not just advice to "see your doctor."  </w:t>
            </w:r>
            <w:r>
              <w:rPr>
                <w:rFonts w:ascii="Arial" w:cs="Arial" w:eastAsia="Arial" w:hAnsi="Arial"/>
                <w:b w:val="false"/>
                <w:bCs w:val="false"/>
                <w:i w:val="false"/>
                <w:iCs w:val="false"/>
                <w:caps w:val="false"/>
                <w:color w:val="374151"/>
                <w:sz w:val="16"/>
                <w:szCs w:val="16"/>
              </w:rPr>
              <w:t xml:space="preserve">A specific, arranged connection to the next point of care is a materially stronger safeguard than a general recommendation.</w:t>
            </w:r>
          </w:p>
          <w:p>
            <w:pPr>
              <w:spacing w:after="36" w:before="0"/>
            </w:pPr>
            <w:r>
              <w:rPr>
                <w:rFonts w:ascii="Arial" w:cs="Arial" w:eastAsia="Arial" w:hAnsi="Arial"/>
                <w:b/>
                <w:bCs/>
                <w:i w:val="false"/>
                <w:iCs w:val="false"/>
                <w:caps w:val="false"/>
                <w:color w:val="b91c1c"/>
                <w:sz w:val="15"/>
                <w:szCs w:val="15"/>
              </w:rPr>
              <w:t xml:space="preserve">Look at when planning documentation first appears in the record relative to admission.  </w:t>
            </w:r>
            <w:r>
              <w:rPr>
                <w:rFonts w:ascii="Arial" w:cs="Arial" w:eastAsia="Arial" w:hAnsi="Arial"/>
                <w:b w:val="false"/>
                <w:bCs w:val="false"/>
                <w:i w:val="false"/>
                <w:iCs w:val="false"/>
                <w:caps w:val="false"/>
                <w:color w:val="374151"/>
                <w:sz w:val="16"/>
                <w:szCs w:val="16"/>
              </w:rPr>
              <w:t xml:space="preserve">Planning that only starts the day before discharge, however labelled, is not genuinely early.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z1qns3tx1f0utp5nxvnhc">
              <w:r>
                <w:rPr>
                  <w:rFonts w:ascii="Arial" w:cs="Arial" w:eastAsia="Arial" w:hAnsi="Arial"/>
                  <w:b/>
                  <w:bCs/>
                  <w:color w:val="c9a227"/>
                  <w:sz w:val="13"/>
                  <w:szCs w:val="13"/>
                  <w:u w:val="single"/>
                </w:rPr>
                <w:t xml:space="preserve">academy.gmj.ge/ch5-9-discharge-planning-community</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5.10</w:t>
            </w:r>
            <w:r>
              <w:rPr>
                <w:rFonts w:ascii="Arial" w:cs="Arial" w:eastAsia="Arial" w:hAnsi="Arial"/>
                <w:b w:val="false"/>
                <w:bCs w:val="false"/>
                <w:i/>
                <w:iCs/>
                <w:caps w:val="false"/>
                <w:color w:val="8fa8c8"/>
                <w:sz w:val="10"/>
                <w:szCs w:val="10"/>
              </w:rPr>
              <w:t xml:space="preserve">  ·  Level 3  ·  Chapter 5: Clinical Care &amp; Patient Management</w:t>
            </w:r>
          </w:p>
          <w:p>
            <w:pPr>
              <w:spacing w:after="36" w:before="0"/>
            </w:pPr>
            <w:r>
              <w:rPr>
                <w:rFonts w:ascii="Arial" w:cs="Arial" w:eastAsia="Arial" w:hAnsi="Arial"/>
                <w:b/>
                <w:bCs/>
                <w:i w:val="false"/>
                <w:iCs w:val="false"/>
                <w:caps w:val="false"/>
                <w:color w:val="dce8f5"/>
                <w:sz w:val="12"/>
                <w:szCs w:val="12"/>
              </w:rPr>
              <w:t xml:space="preserve">Chronic Disease Management Protocols</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21</w:t>
            </w:r>
          </w:p>
          <w:p>
            <w:pPr>
              <w:spacing w:after="36" w:before="0"/>
            </w:pPr>
            <w:r>
              <w:rPr>
                <w:rFonts w:ascii="Arial" w:cs="Arial" w:eastAsia="Arial" w:hAnsi="Arial"/>
                <w:b w:val="false"/>
                <w:bCs w:val="false"/>
                <w:i/>
                <w:iCs/>
                <w:caps w:val="false"/>
                <w:color w:val="8fa8c8"/>
                <w:sz w:val="9"/>
                <w:szCs w:val="9"/>
              </w:rPr>
              <w:t xml:space="preserve">ASF-CH5-CCM-v2.0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5.10</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L3</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Chronic Disease Management Protocols</w:t>
            </w:r>
          </w:p>
          <w:p>
            <w:pPr>
              <w:spacing w:after="36" w:before="0"/>
            </w:pPr>
            <w:r>
              <w:rPr>
                <w:rFonts w:ascii="Arial" w:cs="Arial" w:eastAsia="Arial" w:hAnsi="Arial"/>
                <w:b w:val="false"/>
                <w:bCs w:val="false"/>
                <w:i w:val="false"/>
                <w:iCs w:val="false"/>
                <w:caps w:val="false"/>
                <w:color w:val="4b5563"/>
                <w:sz w:val="15"/>
                <w:szCs w:val="15"/>
              </w:rPr>
              <w:t xml:space="preserve">The hospital has structured protocols for managing common chronic diseases across inpatient and outpatient settings, with defined monitoring and coordination with primary care.</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there structured protocols for managing common chronic diseases relevant to the population served, such as diabetes or hypertension?</w:t>
            </w:r>
          </w:p>
          <w:p>
            <w:pPr>
              <w:spacing w:after="7" w:before="0"/>
            </w:pPr>
            <w:r>
              <w:rPr>
                <w:rFonts w:ascii="Arial" w:cs="Arial" w:eastAsia="Arial" w:hAnsi="Arial"/>
                <w:b w:val="false"/>
                <w:bCs w:val="false"/>
                <w:i/>
                <w:iCs/>
                <w:caps w:val="false"/>
                <w:color w:val="4b5563"/>
                <w:sz w:val="15"/>
                <w:szCs w:val="15"/>
              </w:rPr>
              <w:t xml:space="preserve">Check protocols are specific and evidence-based, not general good-practice statements.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Chronic disease protocols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 protocols define monitoring parameters and frequency appropriate to each condition?</w:t>
            </w:r>
          </w:p>
          <w:p>
            <w:pPr>
              <w:spacing w:after="36" w:before="0"/>
            </w:pPr>
            <w:r>
              <w:rPr>
                <w:rFonts w:ascii="Arial" w:cs="Arial" w:eastAsia="Arial" w:hAnsi="Arial"/>
                <w:b w:val="false"/>
                <w:bCs w:val="false"/>
                <w:i/>
                <w:iCs/>
                <w:caps w:val="false"/>
                <w:color w:val="4b5563"/>
                <w:sz w:val="15"/>
                <w:szCs w:val="15"/>
              </w:rPr>
              <w:t xml:space="preserve">Check for specific indicators and intervals, e.g. HbA1c every 3 months.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coordination process with primary care or community providers for ongoing management?</w:t>
            </w:r>
          </w:p>
          <w:p>
            <w:pPr>
              <w:spacing w:after="7" w:before="0"/>
            </w:pPr>
            <w:r>
              <w:rPr>
                <w:rFonts w:ascii="Arial" w:cs="Arial" w:eastAsia="Arial" w:hAnsi="Arial"/>
                <w:b w:val="false"/>
                <w:bCs w:val="false"/>
                <w:i/>
                <w:iCs/>
                <w:caps w:val="false"/>
                <w:color w:val="4b5563"/>
                <w:sz w:val="15"/>
                <w:szCs w:val="15"/>
              </w:rPr>
              <w:t xml:space="preserve">Ask how information is shared with a patient’s primary care provider.</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Coordination process documentation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patients with chronic conditions provided with self-management education and support?</w:t>
            </w:r>
          </w:p>
          <w:p>
            <w:pPr>
              <w:spacing w:after="36" w:before="0"/>
            </w:pPr>
            <w:r>
              <w:rPr>
                <w:rFonts w:ascii="Arial" w:cs="Arial" w:eastAsia="Arial" w:hAnsi="Arial"/>
                <w:b w:val="false"/>
                <w:bCs w:val="false"/>
                <w:i/>
                <w:iCs/>
                <w:caps w:val="false"/>
                <w:color w:val="4b5563"/>
                <w:sz w:val="15"/>
                <w:szCs w:val="15"/>
              </w:rPr>
              <w:t xml:space="preserve">Check for a structured education component, not incidental advice.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chronic disease management outcome data tracked to evaluate protocol effectiveness?</w:t>
            </w:r>
          </w:p>
          <w:p>
            <w:pPr>
              <w:spacing w:after="7" w:before="0"/>
            </w:pPr>
            <w:r>
              <w:rPr>
                <w:rFonts w:ascii="Arial" w:cs="Arial" w:eastAsia="Arial" w:hAnsi="Arial"/>
                <w:b w:val="false"/>
                <w:bCs w:val="false"/>
                <w:i/>
                <w:iCs/>
                <w:caps w:val="false"/>
                <w:color w:val="4b5563"/>
                <w:sz w:val="15"/>
                <w:szCs w:val="15"/>
              </w:rPr>
              <w:t xml:space="preserve">Check for aggregate outcome tracking, such as control rates.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Outcome tracking data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Protocol specificity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chronic disease protocols for specific, evidence-based content relevant to the population served.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Monitoring parameter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protocols define specific monitoring parameters and frequency for each condition.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Primary care coordination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how the hospital shares information with a patient’s primary care provider for ongoing chronic disease management.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Outcome tracking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aggregate data tracking chronic disease management outcomes, such as control rates over time.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17who3pb4nfxae6xghoud">
              <w:r>
                <w:rPr>
                  <w:rFonts w:ascii="Arial" w:cs="Arial" w:eastAsia="Arial" w:hAnsi="Arial"/>
                  <w:b/>
                  <w:bCs/>
                  <w:color w:val="c9a227"/>
                  <w:sz w:val="13"/>
                  <w:szCs w:val="13"/>
                  <w:u w:val="single"/>
                </w:rPr>
                <w:t xml:space="preserve">World Health Organization. Global action plan for the prevention and control of noncommunicable diseases 2013-2020. Geneva: WHO; 2013.</w:t>
              </w:r>
            </w:hyperlink>
            <w:r>
              <w:rPr>
                <w:rFonts w:ascii="Arial" w:cs="Arial" w:eastAsia="Arial" w:hAnsi="Arial"/>
                <w:b/>
                <w:bCs/>
                <w:i w:val="false"/>
                <w:iCs w:val="false"/>
                <w:caps w:val="false"/>
                <w:color w:val="6b778c"/>
                <w:sz w:val="13"/>
                <w:szCs w:val="13"/>
              </w:rPr>
              <w:t xml:space="preserve">   2. </w:t>
            </w:r>
            <w:hyperlink w:history="1" r:id="rIdg-iexmhsojw9rjy2emxjq">
              <w:r>
                <w:rPr>
                  <w:rFonts w:ascii="Arial" w:cs="Arial" w:eastAsia="Arial" w:hAnsi="Arial"/>
                  <w:b/>
                  <w:bCs/>
                  <w:color w:val="c9a227"/>
                  <w:sz w:val="13"/>
                  <w:szCs w:val="13"/>
                  <w:u w:val="single"/>
                </w:rPr>
                <w:t xml:space="preserve">Wagner EH, Austin BT, Von Korff M. Organizing care for patients with chronic illness. Milbank Q. 1996;74(4):511-544.</w:t>
              </w:r>
            </w:hyperlink>
            <w:r>
              <w:rPr>
                <w:rFonts w:ascii="Arial" w:cs="Arial" w:eastAsia="Arial" w:hAnsi="Arial"/>
                <w:b/>
                <w:bCs/>
                <w:i w:val="false"/>
                <w:iCs w:val="false"/>
                <w:caps w:val="false"/>
                <w:color w:val="6b778c"/>
                <w:sz w:val="13"/>
                <w:szCs w:val="13"/>
              </w:rPr>
              <w:t xml:space="preserve">   3. </w:t>
            </w:r>
            <w:hyperlink w:history="1" r:id="rId1gz64nrleuipkxfkjolwd">
              <w:r>
                <w:rPr>
                  <w:rFonts w:ascii="Arial" w:cs="Arial" w:eastAsia="Arial" w:hAnsi="Arial"/>
                  <w:b/>
                  <w:bCs/>
                  <w:color w:val="c9a227"/>
                  <w:sz w:val="13"/>
                  <w:szCs w:val="13"/>
                  <w:u w:val="single"/>
                </w:rPr>
                <w:t xml:space="preserve">World Health Organization. Innovative care for chronic conditions: building blocks for action. Geneva: WHO; 2002.</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5.10</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5.10</w:t>
            </w:r>
            <w:r>
              <w:rPr>
                <w:rFonts w:ascii="Arial" w:cs="Arial" w:eastAsia="Arial" w:hAnsi="Arial"/>
                <w:b w:val="false"/>
                <w:bCs w:val="false"/>
                <w:i/>
                <w:iCs/>
                <w:caps w:val="false"/>
                <w:color w:val="8fa8c8"/>
                <w:sz w:val="10"/>
                <w:szCs w:val="10"/>
              </w:rPr>
              <w:t xml:space="preserve">  ·  Level 3  ·  Chapter 5: Clinical Care &amp; Patient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22</w:t>
            </w:r>
          </w:p>
          <w:p>
            <w:pPr>
              <w:spacing w:after="36" w:before="0"/>
            </w:pPr>
            <w:r>
              <w:rPr>
                <w:rFonts w:ascii="Arial" w:cs="Arial" w:eastAsia="Arial" w:hAnsi="Arial"/>
                <w:b w:val="false"/>
                <w:bCs w:val="false"/>
                <w:i/>
                <w:iCs/>
                <w:caps w:val="false"/>
                <w:color w:val="8fa8c8"/>
                <w:sz w:val="9"/>
                <w:szCs w:val="9"/>
              </w:rPr>
              <w:t xml:space="preserve">ASF-CH5-CCM-v2.0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Chronic disease does not resolve at hospital discharge — a patient with diabetes or hypertension needs consistent monitoring and management across every setting they touch, and care that is well-coordinated in hospital but disconnected from primary care afterward produces a fragmented experience where each provider is working from an incomplete picture. Structured protocols with defined coordination close that gap, treating chronic disease management as a continuous process rather than a series of separate encounters.</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Wagner, Austin &amp; Von Korff 1996 — the Chronic Care Model demonstrates that structured, coordinated management across care settings consistently produces better outcomes than episodic, uncoordinated care for chronic conditions.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Structured, evidence-based protocols exist for common chronic diseases relevant to the population served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Protocols define specific monitoring parameters and appropriate frequency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defined process coordinates ongoing management with primary care or community providers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Patients receive structured self-management education and support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Outcome data is tracked to evaluate and refine protocol effectiveness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structured chronic disease protocols exist; management is ad hoc and clinician-dependent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Monitoring parameters and frequency are undefined or inconsistent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coordination process exists with primary care providers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Chronic disease patients receive no structured self-management education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outcome data is tracked to know whether management is actually effective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Protocols exist for the most common condition but not others relevant to the population.</w:t>
            </w:r>
          </w:p>
          <w:p>
            <w:pPr>
              <w:spacing w:after="20" w:before="0"/>
            </w:pPr>
            <w:r>
              <w:rPr>
                <w:rFonts w:ascii="Arial" w:cs="Arial" w:eastAsia="Arial" w:hAnsi="Arial"/>
                <w:b w:val="false"/>
                <w:bCs w:val="false"/>
                <w:i/>
                <w:iCs/>
                <w:caps w:val="false"/>
                <w:color w:val="4b5563"/>
                <w:sz w:val="15"/>
                <w:szCs w:val="15"/>
              </w:rPr>
              <w:t xml:space="preserve">A solid diabetes protocol exists, for example, but hypertension or another equally prevalent condition has no equivalent structure.</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Monitoring is defined but coordination with primary care is inconsistent.</w:t>
            </w:r>
          </w:p>
          <w:p>
            <w:pPr>
              <w:spacing w:after="20" w:before="0"/>
            </w:pPr>
            <w:r>
              <w:rPr>
                <w:rFonts w:ascii="Arial" w:cs="Arial" w:eastAsia="Arial" w:hAnsi="Arial"/>
                <w:b w:val="false"/>
                <w:bCs w:val="false"/>
                <w:i/>
                <w:iCs/>
                <w:caps w:val="false"/>
                <w:color w:val="4b5563"/>
                <w:sz w:val="15"/>
                <w:szCs w:val="15"/>
              </w:rPr>
              <w:t xml:space="preserve">Hospital-based monitoring follows the protocol reliably, but information does not reliably flow to the patient’s primary care provider afterward.</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Self-management education is offered but not consistently delivered.</w:t>
            </w:r>
          </w:p>
          <w:p>
            <w:pPr>
              <w:spacing w:after="36" w:before="0"/>
            </w:pPr>
            <w:r>
              <w:rPr>
                <w:rFonts w:ascii="Arial" w:cs="Arial" w:eastAsia="Arial" w:hAnsi="Arial"/>
                <w:b w:val="false"/>
                <w:bCs w:val="false"/>
                <w:i/>
                <w:iCs/>
                <w:caps w:val="false"/>
                <w:color w:val="4b5563"/>
                <w:sz w:val="15"/>
                <w:szCs w:val="15"/>
              </w:rPr>
              <w:t xml:space="preserve">Educational materials and sessions exist, but in practice they reach only a portion of eligible patients.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Identify the chronic diseases most relevant to the population served and assess current protocol coverage.</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Develop or adapt structured, evidence-based protocols with specific monitoring parameters for priority conditions.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Establish or strengthen a coordination process for sharing information with primary care providers.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Introduce structured self-management education for patients with chronic conditions.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Track chronic disease management outcomes; refine protocols based on the data.</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for the protocol covering the second most common chronic condition, not just the first.  </w:t>
            </w:r>
            <w:r>
              <w:rPr>
                <w:rFonts w:ascii="Arial" w:cs="Arial" w:eastAsia="Arial" w:hAnsi="Arial"/>
                <w:b w:val="false"/>
                <w:bCs w:val="false"/>
                <w:i w:val="false"/>
                <w:iCs w:val="false"/>
                <w:caps w:val="false"/>
                <w:color w:val="374151"/>
                <w:sz w:val="16"/>
                <w:szCs w:val="16"/>
              </w:rPr>
              <w:t xml:space="preserve">Coverage often exists for one flagship condition while others relevant to the same population are neglected.</w:t>
            </w:r>
          </w:p>
          <w:p>
            <w:pPr>
              <w:spacing w:after="16" w:before="0"/>
            </w:pPr>
            <w:r>
              <w:rPr>
                <w:rFonts w:ascii="Arial" w:cs="Arial" w:eastAsia="Arial" w:hAnsi="Arial"/>
                <w:b/>
                <w:bCs/>
                <w:i w:val="false"/>
                <w:iCs w:val="false"/>
                <w:caps w:val="false"/>
                <w:color w:val="b91c1c"/>
                <w:sz w:val="15"/>
                <w:szCs w:val="15"/>
              </w:rPr>
              <w:t xml:space="preserve">Ask how information actually reaches a patient’s primary care provider.  </w:t>
            </w:r>
            <w:r>
              <w:rPr>
                <w:rFonts w:ascii="Arial" w:cs="Arial" w:eastAsia="Arial" w:hAnsi="Arial"/>
                <w:b w:val="false"/>
                <w:bCs w:val="false"/>
                <w:i w:val="false"/>
                <w:iCs w:val="false"/>
                <w:caps w:val="false"/>
                <w:color w:val="374151"/>
                <w:sz w:val="16"/>
                <w:szCs w:val="16"/>
              </w:rPr>
              <w:t xml:space="preserve">A specific, reliable mechanism is meaningfully different from a general assumption that the patient will pass information along themselves.</w:t>
            </w:r>
          </w:p>
          <w:p>
            <w:pPr>
              <w:spacing w:after="36" w:before="0"/>
            </w:pPr>
            <w:r>
              <w:rPr>
                <w:rFonts w:ascii="Arial" w:cs="Arial" w:eastAsia="Arial" w:hAnsi="Arial"/>
                <w:b/>
                <w:bCs/>
                <w:i w:val="false"/>
                <w:iCs w:val="false"/>
                <w:caps w:val="false"/>
                <w:color w:val="b91c1c"/>
                <w:sz w:val="15"/>
                <w:szCs w:val="15"/>
              </w:rPr>
              <w:t xml:space="preserve">Check whether self-management education reaches most eligible patients, not just some.  </w:t>
            </w:r>
            <w:r>
              <w:rPr>
                <w:rFonts w:ascii="Arial" w:cs="Arial" w:eastAsia="Arial" w:hAnsi="Arial"/>
                <w:b w:val="false"/>
                <w:bCs w:val="false"/>
                <w:i w:val="false"/>
                <w:iCs w:val="false"/>
                <w:caps w:val="false"/>
                <w:color w:val="374151"/>
                <w:sz w:val="16"/>
                <w:szCs w:val="16"/>
              </w:rPr>
              <w:t xml:space="preserve">Availability of educational material is not the same as consistent delivery to the patients who need it.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vnx-mqrzsabaooq5ilj6j">
              <w:r>
                <w:rPr>
                  <w:rFonts w:ascii="Arial" w:cs="Arial" w:eastAsia="Arial" w:hAnsi="Arial"/>
                  <w:b/>
                  <w:bCs/>
                  <w:color w:val="c9a227"/>
                  <w:sz w:val="13"/>
                  <w:szCs w:val="13"/>
                  <w:u w:val="single"/>
                </w:rPr>
                <w:t xml:space="preserve">academy.gmj.ge/ch5-10-chronic-disease-management</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5: CCM  —  COMBINED REFERENCES</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Vancouver Style  |  30</w:t>
            </w:r>
          </w:p>
          <w:p>
            <w:pPr>
              <w:spacing w:after="36" w:before="0"/>
            </w:pPr>
            <w:r>
              <w:rPr>
                <w:rFonts w:ascii="Arial" w:cs="Arial" w:eastAsia="Arial" w:hAnsi="Arial"/>
                <w:b w:val="false"/>
                <w:bCs w:val="false"/>
                <w:i/>
                <w:iCs/>
                <w:caps w:val="false"/>
                <w:color w:val="6b778c"/>
                <w:sz w:val="11"/>
                <w:szCs w:val="11"/>
              </w:rPr>
              <w:t xml:space="preserve">citations  |  Version 2.0</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REFERENCES</w:t>
            </w:r>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5.1 — Patient Assessment on Admission</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recommendations for clinical assessment and referral. Geneva: WHO; 2019.</w:t>
            </w:r>
          </w:p>
          <w:p>
            <w:pPr>
              <w:spacing w:after="36" w:before="0"/>
            </w:pPr>
            <w:r>
              <w:rPr>
                <w:rFonts w:ascii="Arial" w:cs="Arial" w:eastAsia="Arial" w:hAnsi="Arial"/>
                <w:b/>
                <w:bCs/>
                <w:i w:val="false"/>
                <w:iCs w:val="false"/>
                <w:caps w:val="false"/>
                <w:color w:val="6b778c"/>
                <w:sz w:val="12"/>
                <w:szCs w:val="12"/>
              </w:rPr>
              <w:t xml:space="preserve">URL: </w:t>
            </w:r>
            <w:hyperlink w:history="1" r:id="rId-pvmthedsivzbhtoizdev">
              <w:r>
                <w:rPr>
                  <w:rFonts w:ascii="Arial" w:cs="Arial" w:eastAsia="Arial" w:hAnsi="Arial"/>
                  <w:b/>
                  <w:bCs/>
                  <w:color w:val="c9a227"/>
                  <w:sz w:val="12"/>
                  <w:szCs w:val="12"/>
                  <w:u w:val="single"/>
                </w:rPr>
                <w:t xml:space="preserve">https://www.who.int/publications/i/item/9789241550369</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National Institute for Health and Care Excellence. Emergency and acute medical care in over 16s: service delivery and organisation. London: NICE; 2018.</w:t>
            </w:r>
          </w:p>
          <w:p>
            <w:pPr>
              <w:spacing w:after="36" w:before="0"/>
            </w:pPr>
            <w:r>
              <w:rPr>
                <w:rFonts w:ascii="Arial" w:cs="Arial" w:eastAsia="Arial" w:hAnsi="Arial"/>
                <w:b/>
                <w:bCs/>
                <w:i w:val="false"/>
                <w:iCs w:val="false"/>
                <w:caps w:val="false"/>
                <w:color w:val="6b778c"/>
                <w:sz w:val="12"/>
                <w:szCs w:val="12"/>
              </w:rPr>
              <w:t xml:space="preserve">URL: </w:t>
            </w:r>
            <w:hyperlink w:history="1" r:id="rId2rf9vm-2j3vcxoxupyadh">
              <w:r>
                <w:rPr>
                  <w:rFonts w:ascii="Arial" w:cs="Arial" w:eastAsia="Arial" w:hAnsi="Arial"/>
                  <w:b/>
                  <w:bCs/>
                  <w:color w:val="c9a227"/>
                  <w:sz w:val="12"/>
                  <w:szCs w:val="12"/>
                  <w:u w:val="single"/>
                </w:rPr>
                <w:t xml:space="preserve">https://www.nice.org.uk/guidance/ng94</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Royal College of Physicians. National Early Warning Score (NEWS2). London: RCP; 2017.</w:t>
            </w:r>
          </w:p>
          <w:p>
            <w:pPr>
              <w:spacing w:after="36" w:before="0"/>
            </w:pPr>
            <w:r>
              <w:rPr>
                <w:rFonts w:ascii="Arial" w:cs="Arial" w:eastAsia="Arial" w:hAnsi="Arial"/>
                <w:b/>
                <w:bCs/>
                <w:i w:val="false"/>
                <w:iCs w:val="false"/>
                <w:caps w:val="false"/>
                <w:color w:val="6b778c"/>
                <w:sz w:val="12"/>
                <w:szCs w:val="12"/>
              </w:rPr>
              <w:t xml:space="preserve">URL: </w:t>
            </w:r>
            <w:hyperlink w:history="1" r:id="rIdmmxvsep0haunmhofih-3f">
              <w:r>
                <w:rPr>
                  <w:rFonts w:ascii="Arial" w:cs="Arial" w:eastAsia="Arial" w:hAnsi="Arial"/>
                  <w:b/>
                  <w:bCs/>
                  <w:color w:val="c9a227"/>
                  <w:sz w:val="12"/>
                  <w:szCs w:val="12"/>
                  <w:u w:val="single"/>
                </w:rPr>
                <w:t xml:space="preserve">https://www.rcplondon.ac.uk/projects/outputs/national-early-warning-score-news-2</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5.2 — Care Planning and Goal Setting</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framework on integrated people-centred health services. Geneva: WHO; 2016.</w:t>
            </w:r>
          </w:p>
          <w:p>
            <w:pPr>
              <w:spacing w:after="36" w:before="0"/>
            </w:pPr>
            <w:r>
              <w:rPr>
                <w:rFonts w:ascii="Arial" w:cs="Arial" w:eastAsia="Arial" w:hAnsi="Arial"/>
                <w:b/>
                <w:bCs/>
                <w:i w:val="false"/>
                <w:iCs w:val="false"/>
                <w:caps w:val="false"/>
                <w:color w:val="6b778c"/>
                <w:sz w:val="12"/>
                <w:szCs w:val="12"/>
              </w:rPr>
              <w:t xml:space="preserve">URL: </w:t>
            </w:r>
            <w:hyperlink w:history="1" r:id="rIdaiunixfpwocuelttfklxc">
              <w:r>
                <w:rPr>
                  <w:rFonts w:ascii="Arial" w:cs="Arial" w:eastAsia="Arial" w:hAnsi="Arial"/>
                  <w:b/>
                  <w:bCs/>
                  <w:color w:val="c9a227"/>
                  <w:sz w:val="12"/>
                  <w:szCs w:val="12"/>
                  <w:u w:val="single"/>
                </w:rPr>
                <w:t xml:space="preserve">https://iris.who.int/handle/10665/155002</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National Institute for Health and Care Excellence. Patient experience in adult NHS services: improving the experience of care for people using adult NHS services. London: NICE; 2012.</w:t>
            </w:r>
          </w:p>
          <w:p>
            <w:pPr>
              <w:spacing w:after="36" w:before="0"/>
            </w:pPr>
            <w:r>
              <w:rPr>
                <w:rFonts w:ascii="Arial" w:cs="Arial" w:eastAsia="Arial" w:hAnsi="Arial"/>
                <w:b/>
                <w:bCs/>
                <w:i w:val="false"/>
                <w:iCs w:val="false"/>
                <w:caps w:val="false"/>
                <w:color w:val="6b778c"/>
                <w:sz w:val="12"/>
                <w:szCs w:val="12"/>
              </w:rPr>
              <w:t xml:space="preserve">URL: </w:t>
            </w:r>
            <w:hyperlink w:history="1" r:id="rIdybgtur89ekosgj_r2rvsg">
              <w:r>
                <w:rPr>
                  <w:rFonts w:ascii="Arial" w:cs="Arial" w:eastAsia="Arial" w:hAnsi="Arial"/>
                  <w:b/>
                  <w:bCs/>
                  <w:color w:val="c9a227"/>
                  <w:sz w:val="12"/>
                  <w:szCs w:val="12"/>
                  <w:u w:val="single"/>
                </w:rPr>
                <w:t xml:space="preserve">https://www.nice.org.uk/guidance/cg138</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Coulter A, Collins A. Making Shared Decision-Making a Reality. London: The King’s Fund; 2011.</w:t>
            </w:r>
          </w:p>
          <w:p>
            <w:pPr>
              <w:spacing w:after="36" w:before="0"/>
            </w:pPr>
            <w:r>
              <w:rPr>
                <w:rFonts w:ascii="Arial" w:cs="Arial" w:eastAsia="Arial" w:hAnsi="Arial"/>
                <w:b/>
                <w:bCs/>
                <w:i w:val="false"/>
                <w:iCs w:val="false"/>
                <w:caps w:val="false"/>
                <w:color w:val="6b778c"/>
                <w:sz w:val="12"/>
                <w:szCs w:val="12"/>
              </w:rPr>
              <w:t xml:space="preserve">URL: </w:t>
            </w:r>
            <w:hyperlink w:history="1" r:id="rIds8zclg4qg8pjspuucpkzu">
              <w:r>
                <w:rPr>
                  <w:rFonts w:ascii="Arial" w:cs="Arial" w:eastAsia="Arial" w:hAnsi="Arial"/>
                  <w:b/>
                  <w:bCs/>
                  <w:color w:val="c9a227"/>
                  <w:sz w:val="12"/>
                  <w:szCs w:val="12"/>
                  <w:u w:val="single"/>
                </w:rPr>
                <w:t xml:space="preserve">https://www.kingsfund.org.uk/insight-and-analysis/reports/making-shared-decision-making-reality</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5.3 — Medication Safety and Prescribing</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Medication Without Harm: WHO Global Patient Safety Challenge. Geneva: WHO; 2017.</w:t>
            </w:r>
          </w:p>
          <w:p>
            <w:pPr>
              <w:spacing w:after="36" w:before="0"/>
            </w:pPr>
            <w:r>
              <w:rPr>
                <w:rFonts w:ascii="Arial" w:cs="Arial" w:eastAsia="Arial" w:hAnsi="Arial"/>
                <w:b/>
                <w:bCs/>
                <w:i w:val="false"/>
                <w:iCs w:val="false"/>
                <w:caps w:val="false"/>
                <w:color w:val="6b778c"/>
                <w:sz w:val="12"/>
                <w:szCs w:val="12"/>
              </w:rPr>
              <w:t xml:space="preserve">URL: </w:t>
            </w:r>
            <w:hyperlink w:history="1" r:id="rIdeyjtt9yerioqmpgpj3dfl">
              <w:r>
                <w:rPr>
                  <w:rFonts w:ascii="Arial" w:cs="Arial" w:eastAsia="Arial" w:hAnsi="Arial"/>
                  <w:b/>
                  <w:bCs/>
                  <w:color w:val="c9a227"/>
                  <w:sz w:val="12"/>
                  <w:szCs w:val="12"/>
                  <w:u w:val="single"/>
                </w:rPr>
                <w:t xml:space="preserve">https://www.who.int/initiatives/medication-without-harm</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Institute for Safe Medication Practices. List of high-alert medications in acute care settings. Horsham: ISMP; 2018.</w:t>
            </w:r>
          </w:p>
          <w:p>
            <w:pPr>
              <w:spacing w:after="36" w:before="0"/>
            </w:pPr>
            <w:r>
              <w:rPr>
                <w:rFonts w:ascii="Arial" w:cs="Arial" w:eastAsia="Arial" w:hAnsi="Arial"/>
                <w:b/>
                <w:bCs/>
                <w:i w:val="false"/>
                <w:iCs w:val="false"/>
                <w:caps w:val="false"/>
                <w:color w:val="6b778c"/>
                <w:sz w:val="12"/>
                <w:szCs w:val="12"/>
              </w:rPr>
              <w:t xml:space="preserve">URL: </w:t>
            </w:r>
            <w:hyperlink w:history="1" r:id="rId-enj5qrks82mmevcfb92l">
              <w:r>
                <w:rPr>
                  <w:rFonts w:ascii="Arial" w:cs="Arial" w:eastAsia="Arial" w:hAnsi="Arial"/>
                  <w:b/>
                  <w:bCs/>
                  <w:color w:val="c9a227"/>
                  <w:sz w:val="12"/>
                  <w:szCs w:val="12"/>
                  <w:u w:val="single"/>
                </w:rPr>
                <w:t xml:space="preserve">https://www.ismp.org/recommendations/high-alert-medications-acute-list</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Patient safety curriculum guide: medication safety module. Geneva: WHO; 2011.</w:t>
            </w:r>
          </w:p>
          <w:p>
            <w:pPr>
              <w:spacing w:after="36" w:before="0"/>
            </w:pPr>
            <w:r>
              <w:rPr>
                <w:rFonts w:ascii="Arial" w:cs="Arial" w:eastAsia="Arial" w:hAnsi="Arial"/>
                <w:b/>
                <w:bCs/>
                <w:i w:val="false"/>
                <w:iCs w:val="false"/>
                <w:caps w:val="false"/>
                <w:color w:val="6b778c"/>
                <w:sz w:val="12"/>
                <w:szCs w:val="12"/>
              </w:rPr>
              <w:t xml:space="preserve">URL: </w:t>
            </w:r>
            <w:hyperlink w:history="1" r:id="rId3xb1se_3d-1_yu6y2_fs5">
              <w:r>
                <w:rPr>
                  <w:rFonts w:ascii="Arial" w:cs="Arial" w:eastAsia="Arial" w:hAnsi="Arial"/>
                  <w:b/>
                  <w:bCs/>
                  <w:color w:val="c9a227"/>
                  <w:sz w:val="12"/>
                  <w:szCs w:val="12"/>
                  <w:u w:val="single"/>
                </w:rPr>
                <w:t xml:space="preserve">https://www.who.int/publications/i/item/9789241501958</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5.4 — Clinical Documentation Standards</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guidelines on health records and clinical documentation. Geneva: WHO; 2015.</w:t>
            </w:r>
          </w:p>
          <w:p>
            <w:pPr>
              <w:spacing w:after="36" w:before="0"/>
            </w:pPr>
            <w:r>
              <w:rPr>
                <w:rFonts w:ascii="Arial" w:cs="Arial" w:eastAsia="Arial" w:hAnsi="Arial"/>
                <w:b/>
                <w:bCs/>
                <w:i w:val="false"/>
                <w:iCs w:val="false"/>
                <w:caps w:val="false"/>
                <w:color w:val="6b778c"/>
                <w:sz w:val="12"/>
                <w:szCs w:val="12"/>
              </w:rPr>
              <w:t xml:space="preserve">URL: </w:t>
            </w:r>
            <w:hyperlink w:history="1" r:id="rIdtjrregenld3siqdppvlmo">
              <w:r>
                <w:rPr>
                  <w:rFonts w:ascii="Arial" w:cs="Arial" w:eastAsia="Arial" w:hAnsi="Arial"/>
                  <w:b/>
                  <w:bCs/>
                  <w:color w:val="c9a227"/>
                  <w:sz w:val="12"/>
                  <w:szCs w:val="12"/>
                  <w:u w:val="single"/>
                </w:rPr>
                <w:t xml:space="preserve">https://www.who.int/publications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Joint Commission International. International Patient Safety Goals — Standards for Hospitals. Oak Brook: JCI; 2020.</w:t>
            </w:r>
          </w:p>
          <w:p>
            <w:pPr>
              <w:spacing w:after="36" w:before="0"/>
            </w:pPr>
            <w:r>
              <w:rPr>
                <w:rFonts w:ascii="Arial" w:cs="Arial" w:eastAsia="Arial" w:hAnsi="Arial"/>
                <w:b/>
                <w:bCs/>
                <w:i w:val="false"/>
                <w:iCs w:val="false"/>
                <w:caps w:val="false"/>
                <w:color w:val="6b778c"/>
                <w:sz w:val="12"/>
                <w:szCs w:val="12"/>
              </w:rPr>
              <w:t xml:space="preserve">URL: </w:t>
            </w:r>
            <w:hyperlink w:history="1" r:id="rId1cqyupjlu7tffunzv5wih">
              <w:r>
                <w:rPr>
                  <w:rFonts w:ascii="Arial" w:cs="Arial" w:eastAsia="Arial" w:hAnsi="Arial"/>
                  <w:b/>
                  <w:bCs/>
                  <w:color w:val="c9a227"/>
                  <w:sz w:val="12"/>
                  <w:szCs w:val="12"/>
                  <w:u w:val="single"/>
                </w:rPr>
                <w:t xml:space="preserve">https://www.jointcommissioninternational.org</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Institute for Safe Medication Practices. List of error-prone abbreviations, symbols, and dose designations. Horsham: ISMP; 2021.</w:t>
            </w:r>
          </w:p>
          <w:p>
            <w:pPr>
              <w:spacing w:after="36" w:before="0"/>
            </w:pPr>
            <w:r>
              <w:rPr>
                <w:rFonts w:ascii="Arial" w:cs="Arial" w:eastAsia="Arial" w:hAnsi="Arial"/>
                <w:b/>
                <w:bCs/>
                <w:i w:val="false"/>
                <w:iCs w:val="false"/>
                <w:caps w:val="false"/>
                <w:color w:val="6b778c"/>
                <w:sz w:val="12"/>
                <w:szCs w:val="12"/>
              </w:rPr>
              <w:t xml:space="preserve">URL: </w:t>
            </w:r>
            <w:hyperlink w:history="1" r:id="rIdjghokfizh1dgadh-ejl8p">
              <w:r>
                <w:rPr>
                  <w:rFonts w:ascii="Arial" w:cs="Arial" w:eastAsia="Arial" w:hAnsi="Arial"/>
                  <w:b/>
                  <w:bCs/>
                  <w:color w:val="c9a227"/>
                  <w:sz w:val="12"/>
                  <w:szCs w:val="12"/>
                  <w:u w:val="single"/>
                </w:rPr>
                <w:t xml:space="preserve">https://www.ismp.org/recommendations/error-prone-abbreviations-list</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5.5 — Handover and Transfer of Care</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Communication during patient hand-overs. Patient Safety Solutions, Volume 1, Solution 3. Geneva: WHO; 2007.</w:t>
            </w:r>
          </w:p>
          <w:p>
            <w:pPr>
              <w:spacing w:after="36" w:before="0"/>
            </w:pPr>
            <w:r>
              <w:rPr>
                <w:rFonts w:ascii="Arial" w:cs="Arial" w:eastAsia="Arial" w:hAnsi="Arial"/>
                <w:b/>
                <w:bCs/>
                <w:i w:val="false"/>
                <w:iCs w:val="false"/>
                <w:caps w:val="false"/>
                <w:color w:val="6b778c"/>
                <w:sz w:val="12"/>
                <w:szCs w:val="12"/>
              </w:rPr>
              <w:t xml:space="preserve">URL: </w:t>
            </w:r>
            <w:hyperlink w:history="1" r:id="rId5kfbixreuzu_y-qfkpf6i">
              <w:r>
                <w:rPr>
                  <w:rFonts w:ascii="Arial" w:cs="Arial" w:eastAsia="Arial" w:hAnsi="Arial"/>
                  <w:b/>
                  <w:bCs/>
                  <w:color w:val="c9a227"/>
                  <w:sz w:val="12"/>
                  <w:szCs w:val="12"/>
                  <w:u w:val="single"/>
                </w:rPr>
                <w:t xml:space="preserve">https://www.who.int/publications/i/item/patient-safety-solutions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Haig KM, Sutton S, Whittington J. SBAR: a shared mental model for improving communication between clinicians. Jt Comm J Qual Patient Saf. 2006;32(3):167-175.</w:t>
            </w:r>
          </w:p>
          <w:p>
            <w:pPr>
              <w:spacing w:after="36" w:before="0"/>
            </w:pPr>
            <w:r>
              <w:rPr>
                <w:rFonts w:ascii="Arial" w:cs="Arial" w:eastAsia="Arial" w:hAnsi="Arial"/>
                <w:b/>
                <w:bCs/>
                <w:i w:val="false"/>
                <w:iCs w:val="false"/>
                <w:caps w:val="false"/>
                <w:color w:val="6b778c"/>
                <w:sz w:val="12"/>
                <w:szCs w:val="12"/>
              </w:rPr>
              <w:t xml:space="preserve">URL: </w:t>
            </w:r>
            <w:hyperlink w:history="1" r:id="rIdbnv0ob00cq1dvj_jme9hw">
              <w:r>
                <w:rPr>
                  <w:rFonts w:ascii="Arial" w:cs="Arial" w:eastAsia="Arial" w:hAnsi="Arial"/>
                  <w:b/>
                  <w:bCs/>
                  <w:color w:val="c9a227"/>
                  <w:sz w:val="12"/>
                  <w:szCs w:val="12"/>
                  <w:u w:val="single"/>
                </w:rPr>
                <w:t xml:space="preserve">https://doi.org/10.1016/S1553-7250(06)32022-3</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Starmer AJ, Spector ND, Srivastava R, et al. Changes in medical errors after implementation of a handoff program. N Engl J Med. 2014;371(19):1803-1812.</w:t>
            </w:r>
          </w:p>
          <w:p>
            <w:pPr>
              <w:spacing w:after="36" w:before="0"/>
            </w:pPr>
            <w:r>
              <w:rPr>
                <w:rFonts w:ascii="Arial" w:cs="Arial" w:eastAsia="Arial" w:hAnsi="Arial"/>
                <w:b/>
                <w:bCs/>
                <w:i w:val="false"/>
                <w:iCs w:val="false"/>
                <w:caps w:val="false"/>
                <w:color w:val="6b778c"/>
                <w:sz w:val="12"/>
                <w:szCs w:val="12"/>
              </w:rPr>
              <w:t xml:space="preserve">URL: </w:t>
            </w:r>
            <w:hyperlink w:history="1" r:id="rIdgltvlcvzuiag_vd7ykjgy">
              <w:r>
                <w:rPr>
                  <w:rFonts w:ascii="Arial" w:cs="Arial" w:eastAsia="Arial" w:hAnsi="Arial"/>
                  <w:b/>
                  <w:bCs/>
                  <w:color w:val="c9a227"/>
                  <w:sz w:val="12"/>
                  <w:szCs w:val="12"/>
                  <w:u w:val="single"/>
                </w:rPr>
                <w:t xml:space="preserve">https://doi.org/10.1056/NEJMsa1405556</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5.6 — Monitoring of High-Risk Patients</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Royal College of Physicians. National Early Warning Score (NEWS2). London: RCP; 2017.</w:t>
            </w:r>
          </w:p>
          <w:p>
            <w:pPr>
              <w:spacing w:after="36" w:before="0"/>
            </w:pPr>
            <w:r>
              <w:rPr>
                <w:rFonts w:ascii="Arial" w:cs="Arial" w:eastAsia="Arial" w:hAnsi="Arial"/>
                <w:b/>
                <w:bCs/>
                <w:i w:val="false"/>
                <w:iCs w:val="false"/>
                <w:caps w:val="false"/>
                <w:color w:val="6b778c"/>
                <w:sz w:val="12"/>
                <w:szCs w:val="12"/>
              </w:rPr>
              <w:t xml:space="preserve">URL: </w:t>
            </w:r>
            <w:hyperlink w:history="1" r:id="rId-nynq6vyihccwwgqp-vu8">
              <w:r>
                <w:rPr>
                  <w:rFonts w:ascii="Arial" w:cs="Arial" w:eastAsia="Arial" w:hAnsi="Arial"/>
                  <w:b/>
                  <w:bCs/>
                  <w:color w:val="c9a227"/>
                  <w:sz w:val="12"/>
                  <w:szCs w:val="12"/>
                  <w:u w:val="single"/>
                </w:rPr>
                <w:t xml:space="preserve">https://www.rcplondon.ac.uk/projects/outputs/national-early-warning-score-news-2</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Recognising and responding to clinical deterioration. Geneva: WHO; 2018.</w:t>
            </w:r>
          </w:p>
          <w:p>
            <w:pPr>
              <w:spacing w:after="36" w:before="0"/>
            </w:pPr>
            <w:r>
              <w:rPr>
                <w:rFonts w:ascii="Arial" w:cs="Arial" w:eastAsia="Arial" w:hAnsi="Arial"/>
                <w:b/>
                <w:bCs/>
                <w:i w:val="false"/>
                <w:iCs w:val="false"/>
                <w:caps w:val="false"/>
                <w:color w:val="6b778c"/>
                <w:sz w:val="12"/>
                <w:szCs w:val="12"/>
              </w:rPr>
              <w:t xml:space="preserve">URL: </w:t>
            </w:r>
            <w:hyperlink w:history="1" r:id="rIddhq9caei6nb-uqw8byxf5">
              <w:r>
                <w:rPr>
                  <w:rFonts w:ascii="Arial" w:cs="Arial" w:eastAsia="Arial" w:hAnsi="Arial"/>
                  <w:b/>
                  <w:bCs/>
                  <w:color w:val="c9a227"/>
                  <w:sz w:val="12"/>
                  <w:szCs w:val="12"/>
                  <w:u w:val="single"/>
                </w:rPr>
                <w:t xml:space="preserve">https://www.who.int/publications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Subbe CP, Kruger M, Rutherford P, Gemmel L. Validation of a modified Early Warning Score in medical admissions. QJM. 2001;94(10):521-526.</w:t>
            </w:r>
          </w:p>
          <w:p>
            <w:pPr>
              <w:spacing w:after="36" w:before="0"/>
            </w:pPr>
            <w:r>
              <w:rPr>
                <w:rFonts w:ascii="Arial" w:cs="Arial" w:eastAsia="Arial" w:hAnsi="Arial"/>
                <w:b/>
                <w:bCs/>
                <w:i w:val="false"/>
                <w:iCs w:val="false"/>
                <w:caps w:val="false"/>
                <w:color w:val="6b778c"/>
                <w:sz w:val="12"/>
                <w:szCs w:val="12"/>
              </w:rPr>
              <w:t xml:space="preserve">URL: </w:t>
            </w:r>
            <w:hyperlink w:history="1" r:id="rIduvd0vbald8g2brbdnt8yt">
              <w:r>
                <w:rPr>
                  <w:rFonts w:ascii="Arial" w:cs="Arial" w:eastAsia="Arial" w:hAnsi="Arial"/>
                  <w:b/>
                  <w:bCs/>
                  <w:color w:val="c9a227"/>
                  <w:sz w:val="12"/>
                  <w:szCs w:val="12"/>
                  <w:u w:val="single"/>
                </w:rPr>
                <w:t xml:space="preserve">https://doi.org/10.1093/qjmed/94.10.521</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5.7 — Diagnostic Testing and Results Management</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Critical value reporting in clinical laboratories. Geneva: WHO; 2019.</w:t>
            </w:r>
          </w:p>
          <w:p>
            <w:pPr>
              <w:spacing w:after="36" w:before="0"/>
            </w:pPr>
            <w:r>
              <w:rPr>
                <w:rFonts w:ascii="Arial" w:cs="Arial" w:eastAsia="Arial" w:hAnsi="Arial"/>
                <w:b/>
                <w:bCs/>
                <w:i w:val="false"/>
                <w:iCs w:val="false"/>
                <w:caps w:val="false"/>
                <w:color w:val="6b778c"/>
                <w:sz w:val="12"/>
                <w:szCs w:val="12"/>
              </w:rPr>
              <w:t xml:space="preserve">URL: </w:t>
            </w:r>
            <w:hyperlink w:history="1" r:id="rIdb_kezjjf63mwxrcxci7jq">
              <w:r>
                <w:rPr>
                  <w:rFonts w:ascii="Arial" w:cs="Arial" w:eastAsia="Arial" w:hAnsi="Arial"/>
                  <w:b/>
                  <w:bCs/>
                  <w:color w:val="c9a227"/>
                  <w:sz w:val="12"/>
                  <w:szCs w:val="12"/>
                  <w:u w:val="single"/>
                </w:rPr>
                <w:t xml:space="preserve">https://www.who.int/publications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College of American Pathologists. Critical values / critical results reporting policy. Northfield: CAP; 2020.</w:t>
            </w:r>
          </w:p>
          <w:p>
            <w:pPr>
              <w:spacing w:after="36" w:before="0"/>
            </w:pPr>
            <w:r>
              <w:rPr>
                <w:rFonts w:ascii="Arial" w:cs="Arial" w:eastAsia="Arial" w:hAnsi="Arial"/>
                <w:b/>
                <w:bCs/>
                <w:i w:val="false"/>
                <w:iCs w:val="false"/>
                <w:caps w:val="false"/>
                <w:color w:val="6b778c"/>
                <w:sz w:val="12"/>
                <w:szCs w:val="12"/>
              </w:rPr>
              <w:t xml:space="preserve">URL: </w:t>
            </w:r>
            <w:hyperlink w:history="1" r:id="rId98pjcd9g6-u_928qygjsf">
              <w:r>
                <w:rPr>
                  <w:rFonts w:ascii="Arial" w:cs="Arial" w:eastAsia="Arial" w:hAnsi="Arial"/>
                  <w:b/>
                  <w:bCs/>
                  <w:color w:val="c9a227"/>
                  <w:sz w:val="12"/>
                  <w:szCs w:val="12"/>
                  <w:u w:val="single"/>
                </w:rPr>
                <w:t xml:space="preserve">https://www.cap.org</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Joint Commission International. International Patient Safety Goals — Standards for Hospitals. Oak Brook: JCI; 2020.</w:t>
            </w:r>
          </w:p>
          <w:p>
            <w:pPr>
              <w:spacing w:after="36" w:before="0"/>
            </w:pPr>
            <w:r>
              <w:rPr>
                <w:rFonts w:ascii="Arial" w:cs="Arial" w:eastAsia="Arial" w:hAnsi="Arial"/>
                <w:b/>
                <w:bCs/>
                <w:i w:val="false"/>
                <w:iCs w:val="false"/>
                <w:caps w:val="false"/>
                <w:color w:val="6b778c"/>
                <w:sz w:val="12"/>
                <w:szCs w:val="12"/>
              </w:rPr>
              <w:t xml:space="preserve">URL: </w:t>
            </w:r>
            <w:hyperlink w:history="1" r:id="rId_pggr5lkzs2c_dlwsb12a">
              <w:r>
                <w:rPr>
                  <w:rFonts w:ascii="Arial" w:cs="Arial" w:eastAsia="Arial" w:hAnsi="Arial"/>
                  <w:b/>
                  <w:bCs/>
                  <w:color w:val="c9a227"/>
                  <w:sz w:val="12"/>
                  <w:szCs w:val="12"/>
                  <w:u w:val="single"/>
                </w:rPr>
                <w:t xml:space="preserve">https://www.jointcommissioninternational.org</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5.8 — Rehabilitation and Allied Health Services</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Rehabilitation in health systems. Geneva: WHO; 2017.</w:t>
            </w:r>
          </w:p>
          <w:p>
            <w:pPr>
              <w:spacing w:after="36" w:before="0"/>
            </w:pPr>
            <w:r>
              <w:rPr>
                <w:rFonts w:ascii="Arial" w:cs="Arial" w:eastAsia="Arial" w:hAnsi="Arial"/>
                <w:b/>
                <w:bCs/>
                <w:i w:val="false"/>
                <w:iCs w:val="false"/>
                <w:caps w:val="false"/>
                <w:color w:val="6b778c"/>
                <w:sz w:val="12"/>
                <w:szCs w:val="12"/>
              </w:rPr>
              <w:t xml:space="preserve">URL: </w:t>
            </w:r>
            <w:hyperlink w:history="1" r:id="rIdl7eycfwraahuvrfcu9baq">
              <w:r>
                <w:rPr>
                  <w:rFonts w:ascii="Arial" w:cs="Arial" w:eastAsia="Arial" w:hAnsi="Arial"/>
                  <w:b/>
                  <w:bCs/>
                  <w:color w:val="c9a227"/>
                  <w:sz w:val="12"/>
                  <w:szCs w:val="12"/>
                  <w:u w:val="single"/>
                </w:rPr>
                <w:t xml:space="preserve">https://www.who.int/publications/i/item/9789241549974</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Rehabilitation 2030: a call for action. Geneva: WHO; 2017.</w:t>
            </w:r>
          </w:p>
          <w:p>
            <w:pPr>
              <w:spacing w:after="36" w:before="0"/>
            </w:pPr>
            <w:r>
              <w:rPr>
                <w:rFonts w:ascii="Arial" w:cs="Arial" w:eastAsia="Arial" w:hAnsi="Arial"/>
                <w:b/>
                <w:bCs/>
                <w:i w:val="false"/>
                <w:iCs w:val="false"/>
                <w:caps w:val="false"/>
                <w:color w:val="6b778c"/>
                <w:sz w:val="12"/>
                <w:szCs w:val="12"/>
              </w:rPr>
              <w:t xml:space="preserve">URL: </w:t>
            </w:r>
            <w:hyperlink w:history="1" r:id="rIdw9z8pjgsl49baqtcrayh0">
              <w:r>
                <w:rPr>
                  <w:rFonts w:ascii="Arial" w:cs="Arial" w:eastAsia="Arial" w:hAnsi="Arial"/>
                  <w:b/>
                  <w:bCs/>
                  <w:color w:val="c9a227"/>
                  <w:sz w:val="12"/>
                  <w:szCs w:val="12"/>
                  <w:u w:val="single"/>
                </w:rPr>
                <w:t xml:space="preserve">https://www.who.int/initiatives/rehabilitation-2030</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Wade DT. Rehabilitation — a new approach. Part four: a new paradigm, and its implications. Clin Rehabil. 2016;30(2):109-118.</w:t>
            </w:r>
          </w:p>
          <w:p>
            <w:pPr>
              <w:spacing w:after="36" w:before="0"/>
            </w:pPr>
            <w:r>
              <w:rPr>
                <w:rFonts w:ascii="Arial" w:cs="Arial" w:eastAsia="Arial" w:hAnsi="Arial"/>
                <w:b/>
                <w:bCs/>
                <w:i w:val="false"/>
                <w:iCs w:val="false"/>
                <w:caps w:val="false"/>
                <w:color w:val="6b778c"/>
                <w:sz w:val="12"/>
                <w:szCs w:val="12"/>
              </w:rPr>
              <w:t xml:space="preserve">URL: </w:t>
            </w:r>
            <w:hyperlink w:history="1" r:id="rIdifsrtq_iwwfngjbivho-t">
              <w:r>
                <w:rPr>
                  <w:rFonts w:ascii="Arial" w:cs="Arial" w:eastAsia="Arial" w:hAnsi="Arial"/>
                  <w:b/>
                  <w:bCs/>
                  <w:color w:val="c9a227"/>
                  <w:sz w:val="12"/>
                  <w:szCs w:val="12"/>
                  <w:u w:val="single"/>
                </w:rPr>
                <w:t xml:space="preserve">https://doi.org/10.1177/0269215515601177</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5.9 — Discharge Planning and Community Linkage</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Transitions of care: technical series on safer primary care. Geneva: WHO; 2016.</w:t>
            </w:r>
          </w:p>
          <w:p>
            <w:pPr>
              <w:spacing w:after="36" w:before="0"/>
            </w:pPr>
            <w:r>
              <w:rPr>
                <w:rFonts w:ascii="Arial" w:cs="Arial" w:eastAsia="Arial" w:hAnsi="Arial"/>
                <w:b/>
                <w:bCs/>
                <w:i w:val="false"/>
                <w:iCs w:val="false"/>
                <w:caps w:val="false"/>
                <w:color w:val="6b778c"/>
                <w:sz w:val="12"/>
                <w:szCs w:val="12"/>
              </w:rPr>
              <w:t xml:space="preserve">URL: </w:t>
            </w:r>
            <w:hyperlink w:history="1" r:id="rIdwonrr0etted3mjhynqz-3">
              <w:r>
                <w:rPr>
                  <w:rFonts w:ascii="Arial" w:cs="Arial" w:eastAsia="Arial" w:hAnsi="Arial"/>
                  <w:b/>
                  <w:bCs/>
                  <w:color w:val="c9a227"/>
                  <w:sz w:val="12"/>
                  <w:szCs w:val="12"/>
                  <w:u w:val="single"/>
                </w:rPr>
                <w:t xml:space="preserve">https://www.who.int/publications/i/item/transitions-of-care</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Kripalani S, Jackson AT, Schnipper JL, Coleman EA. Promoting effective transitions of care at hospital discharge: a review of key issues for hospitalists. J Hosp Med. 2007;2(5):314-323.</w:t>
            </w:r>
          </w:p>
          <w:p>
            <w:pPr>
              <w:spacing w:after="36" w:before="0"/>
            </w:pPr>
            <w:r>
              <w:rPr>
                <w:rFonts w:ascii="Arial" w:cs="Arial" w:eastAsia="Arial" w:hAnsi="Arial"/>
                <w:b/>
                <w:bCs/>
                <w:i w:val="false"/>
                <w:iCs w:val="false"/>
                <w:caps w:val="false"/>
                <w:color w:val="6b778c"/>
                <w:sz w:val="12"/>
                <w:szCs w:val="12"/>
              </w:rPr>
              <w:t xml:space="preserve">URL: </w:t>
            </w:r>
            <w:hyperlink w:history="1" r:id="rIdyyvfsjfsqiwh1aur6_7d3">
              <w:r>
                <w:rPr>
                  <w:rFonts w:ascii="Arial" w:cs="Arial" w:eastAsia="Arial" w:hAnsi="Arial"/>
                  <w:b/>
                  <w:bCs/>
                  <w:color w:val="c9a227"/>
                  <w:sz w:val="12"/>
                  <w:szCs w:val="12"/>
                  <w:u w:val="single"/>
                </w:rPr>
                <w:t xml:space="preserve">https://doi.org/10.1002/jhm.228</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Naylor MD, Aiken LH, Kurtzman ET, Olds DM, Hirschman KB. The care span: the importance of transitional care in achieving health reform. Health Aff (Millwood). 2011;30(4):746-754.</w:t>
            </w:r>
          </w:p>
          <w:p>
            <w:pPr>
              <w:spacing w:after="36" w:before="0"/>
            </w:pPr>
            <w:r>
              <w:rPr>
                <w:rFonts w:ascii="Arial" w:cs="Arial" w:eastAsia="Arial" w:hAnsi="Arial"/>
                <w:b/>
                <w:bCs/>
                <w:i w:val="false"/>
                <w:iCs w:val="false"/>
                <w:caps w:val="false"/>
                <w:color w:val="6b778c"/>
                <w:sz w:val="12"/>
                <w:szCs w:val="12"/>
              </w:rPr>
              <w:t xml:space="preserve">URL: </w:t>
            </w:r>
            <w:hyperlink w:history="1" r:id="rIddclem07cxadugtlilgis9">
              <w:r>
                <w:rPr>
                  <w:rFonts w:ascii="Arial" w:cs="Arial" w:eastAsia="Arial" w:hAnsi="Arial"/>
                  <w:b/>
                  <w:bCs/>
                  <w:color w:val="c9a227"/>
                  <w:sz w:val="12"/>
                  <w:szCs w:val="12"/>
                  <w:u w:val="single"/>
                </w:rPr>
                <w:t xml:space="preserve">https://doi.org/10.1377/hlthaff.2011.0041</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5.10 — Chronic Disease Management Protocols</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Global action plan for the prevention and control of noncommunicable diseases 2013-2020. Geneva: WHO; 2013.</w:t>
            </w:r>
          </w:p>
          <w:p>
            <w:pPr>
              <w:spacing w:after="36" w:before="0"/>
            </w:pPr>
            <w:r>
              <w:rPr>
                <w:rFonts w:ascii="Arial" w:cs="Arial" w:eastAsia="Arial" w:hAnsi="Arial"/>
                <w:b/>
                <w:bCs/>
                <w:i w:val="false"/>
                <w:iCs w:val="false"/>
                <w:caps w:val="false"/>
                <w:color w:val="6b778c"/>
                <w:sz w:val="12"/>
                <w:szCs w:val="12"/>
              </w:rPr>
              <w:t xml:space="preserve">URL: </w:t>
            </w:r>
            <w:hyperlink w:history="1" r:id="rIddsh0kglmimmcsdccqdex1">
              <w:r>
                <w:rPr>
                  <w:rFonts w:ascii="Arial" w:cs="Arial" w:eastAsia="Arial" w:hAnsi="Arial"/>
                  <w:b/>
                  <w:bCs/>
                  <w:color w:val="c9a227"/>
                  <w:sz w:val="12"/>
                  <w:szCs w:val="12"/>
                  <w:u w:val="single"/>
                </w:rPr>
                <w:t xml:space="preserve">https://www.who.int/publications/i/item/9789241506236</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Wagner EH, Austin BT, Von Korff M. Organizing care for patients with chronic illness. Milbank Q. 1996;74(4):511-544.</w:t>
            </w:r>
          </w:p>
          <w:p>
            <w:pPr>
              <w:spacing w:after="36" w:before="0"/>
            </w:pPr>
            <w:r>
              <w:rPr>
                <w:rFonts w:ascii="Arial" w:cs="Arial" w:eastAsia="Arial" w:hAnsi="Arial"/>
                <w:b/>
                <w:bCs/>
                <w:i w:val="false"/>
                <w:iCs w:val="false"/>
                <w:caps w:val="false"/>
                <w:color w:val="6b778c"/>
                <w:sz w:val="12"/>
                <w:szCs w:val="12"/>
              </w:rPr>
              <w:t xml:space="preserve">URL: </w:t>
            </w:r>
            <w:hyperlink w:history="1" r:id="rIdmhefxq_cjds0vzoqdxx5i">
              <w:r>
                <w:rPr>
                  <w:rFonts w:ascii="Arial" w:cs="Arial" w:eastAsia="Arial" w:hAnsi="Arial"/>
                  <w:b/>
                  <w:bCs/>
                  <w:color w:val="c9a227"/>
                  <w:sz w:val="12"/>
                  <w:szCs w:val="12"/>
                  <w:u w:val="single"/>
                </w:rPr>
                <w:t xml:space="preserve">https://doi.org/10.2307/3350391</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30.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Innovative care for chronic conditions: building blocks for action. Geneva: WHO; 2002.</w:t>
            </w:r>
          </w:p>
          <w:p>
            <w:pPr>
              <w:spacing w:after="36" w:before="0"/>
            </w:pPr>
            <w:r>
              <w:rPr>
                <w:rFonts w:ascii="Arial" w:cs="Arial" w:eastAsia="Arial" w:hAnsi="Arial"/>
                <w:b/>
                <w:bCs/>
                <w:i w:val="false"/>
                <w:iCs w:val="false"/>
                <w:caps w:val="false"/>
                <w:color w:val="6b778c"/>
                <w:sz w:val="12"/>
                <w:szCs w:val="12"/>
              </w:rPr>
              <w:t xml:space="preserve">URL: </w:t>
            </w:r>
            <w:hyperlink w:history="1" r:id="rIdh3cznxcfbdkuwt6arp_nn">
              <w:r>
                <w:rPr>
                  <w:rFonts w:ascii="Arial" w:cs="Arial" w:eastAsia="Arial" w:hAnsi="Arial"/>
                  <w:b/>
                  <w:bCs/>
                  <w:color w:val="c9a227"/>
                  <w:sz w:val="12"/>
                  <w:szCs w:val="12"/>
                  <w:u w:val="single"/>
                </w:rPr>
                <w:t xml:space="preserve">https://iris.who.int/handle/10665/42500</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5: CCM  —  KEYWORD INDEX</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Alphabetical  |  30</w:t>
            </w:r>
          </w:p>
          <w:p>
            <w:pPr>
              <w:spacing w:after="36" w:before="0"/>
            </w:pPr>
            <w:r>
              <w:rPr>
                <w:rFonts w:ascii="Arial" w:cs="Arial" w:eastAsia="Arial" w:hAnsi="Arial"/>
                <w:b w:val="false"/>
                <w:bCs w:val="false"/>
                <w:i/>
                <w:iCs/>
                <w:caps w:val="false"/>
                <w:color w:val="6b778c"/>
                <w:sz w:val="11"/>
                <w:szCs w:val="11"/>
              </w:rPr>
              <w:t xml:space="preserve">terms  |  with page numbers</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KEYWORD INDEX — STANDARD NUMBER AND PAGE NUMBER SHOWN FOR EACH TERM</w:t>
            </w:r>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single" w:color="dce3ee" w:sz="4"/>
          <w:bottom w:val="none"/>
          <w:right w:val="single" w:color="dce3ee" w:sz="4"/>
          <w:insideH w:val="single" w:color="auto" w:sz="4"/>
          <w:insideV w:val="single" w:color="auto" w:sz="4"/>
        </w:tblBorders>
      </w:tblPr>
      <w:tblGrid>
        <w:gridCol w:w="4680"/>
        <w:gridCol w:w="4680"/>
      </w:tblGrid>
      <w:tr>
        <w:tc>
          <w:tcPr>
            <w:tcW w:type="dxa" w:w="4680"/>
            <w:tcMar>
              <w:top w:type="dxa" w:w="40"/>
              <w:left w:type="dxa" w:w="60"/>
              <w:bottom w:type="dxa" w:w="40"/>
              <w:right w:type="dxa" w:w="40"/>
            </w:tcMar>
            <w:vAlign w:val="top"/>
          </w:tcPr>
          <w:p>
            <w:pPr>
              <w:spacing w:after="10" w:before="0"/>
            </w:pPr>
            <w:r>
              <w:rPr>
                <w:rFonts w:ascii="Arial" w:cs="Arial" w:eastAsia="Arial" w:hAnsi="Arial"/>
                <w:b/>
                <w:bCs/>
                <w:i w:val="false"/>
                <w:iCs w:val="false"/>
                <w:caps w:val="false"/>
                <w:color w:val="14335c"/>
                <w:sz w:val="13"/>
                <w:szCs w:val="13"/>
              </w:rPr>
              <w:t xml:space="preserve">Advisory support  </w:t>
            </w:r>
            <w:r>
              <w:rPr>
                <w:rFonts w:ascii="Arial" w:cs="Arial" w:eastAsia="Arial" w:hAnsi="Arial"/>
                <w:b w:val="false"/>
                <w:bCs w:val="false"/>
                <w:i w:val="false"/>
                <w:iCs w:val="false"/>
                <w:caps w:val="false"/>
                <w:color w:val="6b778c"/>
                <w:sz w:val="12"/>
                <w:szCs w:val="12"/>
              </w:rPr>
              <w:t xml:space="preserve">Cover (p.1)</w:t>
            </w:r>
          </w:p>
          <w:p>
            <w:pPr>
              <w:spacing w:after="10" w:before="0"/>
            </w:pPr>
            <w:r>
              <w:rPr>
                <w:rFonts w:ascii="Arial" w:cs="Arial" w:eastAsia="Arial" w:hAnsi="Arial"/>
                <w:b/>
                <w:bCs/>
                <w:i w:val="false"/>
                <w:iCs w:val="false"/>
                <w:caps w:val="false"/>
                <w:color w:val="14335c"/>
                <w:sz w:val="13"/>
                <w:szCs w:val="13"/>
              </w:rPr>
              <w:t xml:space="preserve">Allergy documentation  </w:t>
            </w:r>
            <w:r>
              <w:rPr>
                <w:rFonts w:ascii="Arial" w:cs="Arial" w:eastAsia="Arial" w:hAnsi="Arial"/>
                <w:b w:val="false"/>
                <w:bCs w:val="false"/>
                <w:i w:val="false"/>
                <w:iCs w:val="false"/>
                <w:caps w:val="false"/>
                <w:color w:val="6b778c"/>
                <w:sz w:val="12"/>
                <w:szCs w:val="12"/>
              </w:rPr>
              <w:t xml:space="preserve">5.3 (p.7)</w:t>
            </w:r>
          </w:p>
          <w:p>
            <w:pPr>
              <w:spacing w:after="10" w:before="0"/>
            </w:pPr>
            <w:r>
              <w:rPr>
                <w:rFonts w:ascii="Arial" w:cs="Arial" w:eastAsia="Arial" w:hAnsi="Arial"/>
                <w:b/>
                <w:bCs/>
                <w:i w:val="false"/>
                <w:iCs w:val="false"/>
                <w:caps w:val="false"/>
                <w:color w:val="14335c"/>
                <w:sz w:val="13"/>
                <w:szCs w:val="13"/>
              </w:rPr>
              <w:t xml:space="preserve">Care plan — individualised  </w:t>
            </w:r>
            <w:r>
              <w:rPr>
                <w:rFonts w:ascii="Arial" w:cs="Arial" w:eastAsia="Arial" w:hAnsi="Arial"/>
                <w:b w:val="false"/>
                <w:bCs w:val="false"/>
                <w:i w:val="false"/>
                <w:iCs w:val="false"/>
                <w:caps w:val="false"/>
                <w:color w:val="6b778c"/>
                <w:sz w:val="12"/>
                <w:szCs w:val="12"/>
              </w:rPr>
              <w:t xml:space="preserve">5.2 (p.5)</w:t>
            </w:r>
          </w:p>
          <w:p>
            <w:pPr>
              <w:spacing w:after="10" w:before="0"/>
            </w:pPr>
            <w:r>
              <w:rPr>
                <w:rFonts w:ascii="Arial" w:cs="Arial" w:eastAsia="Arial" w:hAnsi="Arial"/>
                <w:b/>
                <w:bCs/>
                <w:i w:val="false"/>
                <w:iCs w:val="false"/>
                <w:caps w:val="false"/>
                <w:color w:val="14335c"/>
                <w:sz w:val="13"/>
                <w:szCs w:val="13"/>
              </w:rPr>
              <w:t xml:space="preserve">Chronic disease protocol  </w:t>
            </w:r>
            <w:r>
              <w:rPr>
                <w:rFonts w:ascii="Arial" w:cs="Arial" w:eastAsia="Arial" w:hAnsi="Arial"/>
                <w:b w:val="false"/>
                <w:bCs w:val="false"/>
                <w:i w:val="false"/>
                <w:iCs w:val="false"/>
                <w:caps w:val="false"/>
                <w:color w:val="6b778c"/>
                <w:sz w:val="12"/>
                <w:szCs w:val="12"/>
              </w:rPr>
              <w:t xml:space="preserve">5.10 (p.21)</w:t>
            </w:r>
          </w:p>
          <w:p>
            <w:pPr>
              <w:spacing w:after="10" w:before="0"/>
            </w:pPr>
            <w:r>
              <w:rPr>
                <w:rFonts w:ascii="Arial" w:cs="Arial" w:eastAsia="Arial" w:hAnsi="Arial"/>
                <w:b/>
                <w:bCs/>
                <w:i w:val="false"/>
                <w:iCs w:val="false"/>
                <w:caps w:val="false"/>
                <w:color w:val="14335c"/>
                <w:sz w:val="13"/>
                <w:szCs w:val="13"/>
              </w:rPr>
              <w:t xml:space="preserve">Community linkage — discharge  </w:t>
            </w:r>
            <w:r>
              <w:rPr>
                <w:rFonts w:ascii="Arial" w:cs="Arial" w:eastAsia="Arial" w:hAnsi="Arial"/>
                <w:b w:val="false"/>
                <w:bCs w:val="false"/>
                <w:i w:val="false"/>
                <w:iCs w:val="false"/>
                <w:caps w:val="false"/>
                <w:color w:val="6b778c"/>
                <w:sz w:val="12"/>
                <w:szCs w:val="12"/>
              </w:rPr>
              <w:t xml:space="preserve">5.9 (p.19)</w:t>
            </w:r>
          </w:p>
          <w:p>
            <w:pPr>
              <w:spacing w:after="10" w:before="0"/>
            </w:pPr>
            <w:r>
              <w:rPr>
                <w:rFonts w:ascii="Arial" w:cs="Arial" w:eastAsia="Arial" w:hAnsi="Arial"/>
                <w:b/>
                <w:bCs/>
                <w:i w:val="false"/>
                <w:iCs w:val="false"/>
                <w:caps w:val="false"/>
                <w:color w:val="14335c"/>
                <w:sz w:val="13"/>
                <w:szCs w:val="13"/>
              </w:rPr>
              <w:t xml:space="preserve">CORE standard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Critical value alert  </w:t>
            </w:r>
            <w:r>
              <w:rPr>
                <w:rFonts w:ascii="Arial" w:cs="Arial" w:eastAsia="Arial" w:hAnsi="Arial"/>
                <w:b w:val="false"/>
                <w:bCs w:val="false"/>
                <w:i w:val="false"/>
                <w:iCs w:val="false"/>
                <w:caps w:val="false"/>
                <w:color w:val="6b778c"/>
                <w:sz w:val="12"/>
                <w:szCs w:val="12"/>
              </w:rPr>
              <w:t xml:space="preserve">5.7 (p.15)</w:t>
            </w:r>
          </w:p>
          <w:p>
            <w:pPr>
              <w:spacing w:after="10" w:before="0"/>
            </w:pPr>
            <w:r>
              <w:rPr>
                <w:rFonts w:ascii="Arial" w:cs="Arial" w:eastAsia="Arial" w:hAnsi="Arial"/>
                <w:b/>
                <w:bCs/>
                <w:i w:val="false"/>
                <w:iCs w:val="false"/>
                <w:caps w:val="false"/>
                <w:color w:val="14335c"/>
                <w:sz w:val="13"/>
                <w:szCs w:val="13"/>
              </w:rPr>
              <w:t xml:space="preserve">Discharge instructions  </w:t>
            </w:r>
            <w:r>
              <w:rPr>
                <w:rFonts w:ascii="Arial" w:cs="Arial" w:eastAsia="Arial" w:hAnsi="Arial"/>
                <w:b w:val="false"/>
                <w:bCs w:val="false"/>
                <w:i w:val="false"/>
                <w:iCs w:val="false"/>
                <w:caps w:val="false"/>
                <w:color w:val="6b778c"/>
                <w:sz w:val="12"/>
                <w:szCs w:val="12"/>
              </w:rPr>
              <w:t xml:space="preserve">5.9 (p.19)</w:t>
            </w:r>
          </w:p>
          <w:p>
            <w:pPr>
              <w:spacing w:after="10" w:before="0"/>
            </w:pPr>
            <w:r>
              <w:rPr>
                <w:rFonts w:ascii="Arial" w:cs="Arial" w:eastAsia="Arial" w:hAnsi="Arial"/>
                <w:b/>
                <w:bCs/>
                <w:i w:val="false"/>
                <w:iCs w:val="false"/>
                <w:caps w:val="false"/>
                <w:color w:val="14335c"/>
                <w:sz w:val="13"/>
                <w:szCs w:val="13"/>
              </w:rPr>
              <w:t xml:space="preserve">Documentation standard — clinical  </w:t>
            </w:r>
            <w:r>
              <w:rPr>
                <w:rFonts w:ascii="Arial" w:cs="Arial" w:eastAsia="Arial" w:hAnsi="Arial"/>
                <w:b w:val="false"/>
                <w:bCs w:val="false"/>
                <w:i w:val="false"/>
                <w:iCs w:val="false"/>
                <w:caps w:val="false"/>
                <w:color w:val="6b778c"/>
                <w:sz w:val="12"/>
                <w:szCs w:val="12"/>
              </w:rPr>
              <w:t xml:space="preserve">5.4 (p.9)</w:t>
            </w:r>
          </w:p>
          <w:p>
            <w:pPr>
              <w:spacing w:after="10" w:before="0"/>
            </w:pPr>
            <w:r>
              <w:rPr>
                <w:rFonts w:ascii="Arial" w:cs="Arial" w:eastAsia="Arial" w:hAnsi="Arial"/>
                <w:b/>
                <w:bCs/>
                <w:i w:val="false"/>
                <w:iCs w:val="false"/>
                <w:caps w:val="false"/>
                <w:color w:val="14335c"/>
                <w:sz w:val="13"/>
                <w:szCs w:val="13"/>
              </w:rPr>
              <w:t xml:space="preserve">Dose verification — high-risk  </w:t>
            </w:r>
            <w:r>
              <w:rPr>
                <w:rFonts w:ascii="Arial" w:cs="Arial" w:eastAsia="Arial" w:hAnsi="Arial"/>
                <w:b w:val="false"/>
                <w:bCs w:val="false"/>
                <w:i w:val="false"/>
                <w:iCs w:val="false"/>
                <w:caps w:val="false"/>
                <w:color w:val="6b778c"/>
                <w:sz w:val="12"/>
                <w:szCs w:val="12"/>
              </w:rPr>
              <w:t xml:space="preserve">5.3 (p.7)</w:t>
            </w:r>
          </w:p>
          <w:p>
            <w:pPr>
              <w:spacing w:after="10" w:before="0"/>
            </w:pPr>
            <w:r>
              <w:rPr>
                <w:rFonts w:ascii="Arial" w:cs="Arial" w:eastAsia="Arial" w:hAnsi="Arial"/>
                <w:b/>
                <w:bCs/>
                <w:i w:val="false"/>
                <w:iCs w:val="false"/>
                <w:caps w:val="false"/>
                <w:color w:val="14335c"/>
                <w:sz w:val="13"/>
                <w:szCs w:val="13"/>
              </w:rPr>
              <w:t xml:space="preserve">Early warning score (NEWS2)  </w:t>
            </w:r>
            <w:r>
              <w:rPr>
                <w:rFonts w:ascii="Arial" w:cs="Arial" w:eastAsia="Arial" w:hAnsi="Arial"/>
                <w:b w:val="false"/>
                <w:bCs w:val="false"/>
                <w:i w:val="false"/>
                <w:iCs w:val="false"/>
                <w:caps w:val="false"/>
                <w:color w:val="6b778c"/>
                <w:sz w:val="12"/>
                <w:szCs w:val="12"/>
              </w:rPr>
              <w:t xml:space="preserve">5.6 (p.13)</w:t>
            </w:r>
          </w:p>
          <w:p>
            <w:pPr>
              <w:spacing w:after="10" w:before="0"/>
            </w:pPr>
            <w:r>
              <w:rPr>
                <w:rFonts w:ascii="Arial" w:cs="Arial" w:eastAsia="Arial" w:hAnsi="Arial"/>
                <w:b/>
                <w:bCs/>
                <w:i w:val="false"/>
                <w:iCs w:val="false"/>
                <w:caps w:val="false"/>
                <w:color w:val="14335c"/>
                <w:sz w:val="13"/>
                <w:szCs w:val="13"/>
              </w:rPr>
              <w:t xml:space="preserve">Escalation protocol — deterioration  </w:t>
            </w:r>
            <w:r>
              <w:rPr>
                <w:rFonts w:ascii="Arial" w:cs="Arial" w:eastAsia="Arial" w:hAnsi="Arial"/>
                <w:b w:val="false"/>
                <w:bCs w:val="false"/>
                <w:i w:val="false"/>
                <w:iCs w:val="false"/>
                <w:caps w:val="false"/>
                <w:color w:val="6b778c"/>
                <w:sz w:val="12"/>
                <w:szCs w:val="12"/>
              </w:rPr>
              <w:t xml:space="preserve">5.6 (p.13)</w:t>
            </w:r>
          </w:p>
          <w:p>
            <w:pPr>
              <w:spacing w:after="10" w:before="0"/>
            </w:pPr>
            <w:r>
              <w:rPr>
                <w:rFonts w:ascii="Arial" w:cs="Arial" w:eastAsia="Arial" w:hAnsi="Arial"/>
                <w:b/>
                <w:bCs/>
                <w:i w:val="false"/>
                <w:iCs w:val="false"/>
                <w:caps w:val="false"/>
                <w:color w:val="14335c"/>
                <w:sz w:val="13"/>
                <w:szCs w:val="13"/>
              </w:rPr>
              <w:t xml:space="preserve">Handover — structured (SBAR)  </w:t>
            </w:r>
            <w:r>
              <w:rPr>
                <w:rFonts w:ascii="Arial" w:cs="Arial" w:eastAsia="Arial" w:hAnsi="Arial"/>
                <w:b w:val="false"/>
                <w:bCs w:val="false"/>
                <w:i w:val="false"/>
                <w:iCs w:val="false"/>
                <w:caps w:val="false"/>
                <w:color w:val="6b778c"/>
                <w:sz w:val="12"/>
                <w:szCs w:val="12"/>
              </w:rPr>
              <w:t xml:space="preserve">5.5 (p.11)</w:t>
            </w:r>
          </w:p>
          <w:p>
            <w:pPr>
              <w:spacing w:after="10" w:before="0"/>
            </w:pPr>
            <w:r>
              <w:rPr>
                <w:rFonts w:ascii="Arial" w:cs="Arial" w:eastAsia="Arial" w:hAnsi="Arial"/>
                <w:b/>
                <w:bCs/>
                <w:i w:val="false"/>
                <w:iCs w:val="false"/>
                <w:caps w:val="false"/>
                <w:color w:val="14335c"/>
                <w:sz w:val="13"/>
                <w:szCs w:val="13"/>
              </w:rPr>
              <w:t xml:space="preserve">High-risk medication double-check  </w:t>
            </w:r>
            <w:r>
              <w:rPr>
                <w:rFonts w:ascii="Arial" w:cs="Arial" w:eastAsia="Arial" w:hAnsi="Arial"/>
                <w:b w:val="false"/>
                <w:bCs w:val="false"/>
                <w:i w:val="false"/>
                <w:iCs w:val="false"/>
                <w:caps w:val="false"/>
                <w:color w:val="6b778c"/>
                <w:sz w:val="12"/>
                <w:szCs w:val="12"/>
              </w:rPr>
              <w:t xml:space="preserve">5.3 (p.7)</w:t>
            </w:r>
          </w:p>
          <w:p>
            <w:pPr>
              <w:spacing w:after="10" w:before="0"/>
            </w:pPr>
            <w:r>
              <w:rPr>
                <w:rFonts w:ascii="Arial" w:cs="Arial" w:eastAsia="Arial" w:hAnsi="Arial"/>
                <w:b/>
                <w:bCs/>
                <w:i w:val="false"/>
                <w:iCs w:val="false"/>
                <w:caps w:val="false"/>
                <w:color w:val="14335c"/>
                <w:sz w:val="13"/>
                <w:szCs w:val="13"/>
              </w:rPr>
              <w:t xml:space="preserve">Initial assessment — timeframe  </w:t>
            </w:r>
            <w:r>
              <w:rPr>
                <w:rFonts w:ascii="Arial" w:cs="Arial" w:eastAsia="Arial" w:hAnsi="Arial"/>
                <w:b w:val="false"/>
                <w:bCs w:val="false"/>
                <w:i w:val="false"/>
                <w:iCs w:val="false"/>
                <w:caps w:val="false"/>
                <w:color w:val="6b778c"/>
                <w:sz w:val="12"/>
                <w:szCs w:val="12"/>
              </w:rPr>
              <w:t xml:space="preserve">5.1 (p.3)</w:t>
            </w:r>
          </w:p>
        </w:tc>
        <w:tc>
          <w:tcPr>
            <w:tcW w:type="dxa" w:w="4680"/>
            <w:tcMar>
              <w:top w:type="dxa" w:w="40"/>
              <w:left w:type="dxa" w:w="60"/>
              <w:bottom w:type="dxa" w:w="40"/>
              <w:right w:type="dxa" w:w="40"/>
            </w:tcMar>
            <w:vAlign w:val="top"/>
          </w:tcPr>
          <w:p>
            <w:pPr>
              <w:spacing w:after="10" w:before="0"/>
            </w:pPr>
            <w:r>
              <w:rPr>
                <w:rFonts w:ascii="Arial" w:cs="Arial" w:eastAsia="Arial" w:hAnsi="Arial"/>
                <w:b/>
                <w:bCs/>
                <w:i w:val="false"/>
                <w:iCs w:val="false"/>
                <w:caps w:val="false"/>
                <w:color w:val="14335c"/>
                <w:sz w:val="13"/>
                <w:szCs w:val="13"/>
              </w:rPr>
              <w:t xml:space="preserve">Level 1 — Foundation  </w:t>
            </w:r>
            <w:r>
              <w:rPr>
                <w:rFonts w:ascii="Arial" w:cs="Arial" w:eastAsia="Arial" w:hAnsi="Arial"/>
                <w:b w:val="false"/>
                <w:bCs w:val="false"/>
                <w:i w:val="false"/>
                <w:iCs w:val="false"/>
                <w:caps w:val="false"/>
                <w:color w:val="6b778c"/>
                <w:sz w:val="12"/>
                <w:szCs w:val="12"/>
              </w:rPr>
              <w:t xml:space="preserve">5.1–5.5 (p.3–12)</w:t>
            </w:r>
          </w:p>
          <w:p>
            <w:pPr>
              <w:spacing w:after="10" w:before="0"/>
            </w:pPr>
            <w:r>
              <w:rPr>
                <w:rFonts w:ascii="Arial" w:cs="Arial" w:eastAsia="Arial" w:hAnsi="Arial"/>
                <w:b/>
                <w:bCs/>
                <w:i w:val="false"/>
                <w:iCs w:val="false"/>
                <w:caps w:val="false"/>
                <w:color w:val="14335c"/>
                <w:sz w:val="13"/>
                <w:szCs w:val="13"/>
              </w:rPr>
              <w:t xml:space="preserve">Level 2 — Accredited  </w:t>
            </w:r>
            <w:r>
              <w:rPr>
                <w:rFonts w:ascii="Arial" w:cs="Arial" w:eastAsia="Arial" w:hAnsi="Arial"/>
                <w:b w:val="false"/>
                <w:bCs w:val="false"/>
                <w:i w:val="false"/>
                <w:iCs w:val="false"/>
                <w:caps w:val="false"/>
                <w:color w:val="6b778c"/>
                <w:sz w:val="12"/>
                <w:szCs w:val="12"/>
              </w:rPr>
              <w:t xml:space="preserve">5.6–5.8 (p.13–18)</w:t>
            </w:r>
          </w:p>
          <w:p>
            <w:pPr>
              <w:spacing w:after="10" w:before="0"/>
            </w:pPr>
            <w:r>
              <w:rPr>
                <w:rFonts w:ascii="Arial" w:cs="Arial" w:eastAsia="Arial" w:hAnsi="Arial"/>
                <w:b/>
                <w:bCs/>
                <w:i w:val="false"/>
                <w:iCs w:val="false"/>
                <w:caps w:val="false"/>
                <w:color w:val="14335c"/>
                <w:sz w:val="13"/>
                <w:szCs w:val="13"/>
              </w:rPr>
              <w:t xml:space="preserve">Level 3 — Advanced  </w:t>
            </w:r>
            <w:r>
              <w:rPr>
                <w:rFonts w:ascii="Arial" w:cs="Arial" w:eastAsia="Arial" w:hAnsi="Arial"/>
                <w:b w:val="false"/>
                <w:bCs w:val="false"/>
                <w:i w:val="false"/>
                <w:iCs w:val="false"/>
                <w:caps w:val="false"/>
                <w:color w:val="6b778c"/>
                <w:sz w:val="12"/>
                <w:szCs w:val="12"/>
              </w:rPr>
              <w:t xml:space="preserve">5.9–5.10 (p.19–22)</w:t>
            </w:r>
          </w:p>
          <w:p>
            <w:pPr>
              <w:spacing w:after="10" w:before="0"/>
            </w:pPr>
            <w:r>
              <w:rPr>
                <w:rFonts w:ascii="Arial" w:cs="Arial" w:eastAsia="Arial" w:hAnsi="Arial"/>
                <w:b/>
                <w:bCs/>
                <w:i w:val="false"/>
                <w:iCs w:val="false"/>
                <w:caps w:val="false"/>
                <w:color w:val="14335c"/>
                <w:sz w:val="13"/>
                <w:szCs w:val="13"/>
              </w:rPr>
              <w:t xml:space="preserve">Medication error log  </w:t>
            </w:r>
            <w:r>
              <w:rPr>
                <w:rFonts w:ascii="Arial" w:cs="Arial" w:eastAsia="Arial" w:hAnsi="Arial"/>
                <w:b w:val="false"/>
                <w:bCs w:val="false"/>
                <w:i w:val="false"/>
                <w:iCs w:val="false"/>
                <w:caps w:val="false"/>
                <w:color w:val="6b778c"/>
                <w:sz w:val="12"/>
                <w:szCs w:val="12"/>
              </w:rPr>
              <w:t xml:space="preserve">5.3 (p.7)</w:t>
            </w:r>
          </w:p>
          <w:p>
            <w:pPr>
              <w:spacing w:after="10" w:before="0"/>
            </w:pPr>
            <w:r>
              <w:rPr>
                <w:rFonts w:ascii="Arial" w:cs="Arial" w:eastAsia="Arial" w:hAnsi="Arial"/>
                <w:b/>
                <w:bCs/>
                <w:i w:val="false"/>
                <w:iCs w:val="false"/>
                <w:caps w:val="false"/>
                <w:color w:val="14335c"/>
                <w:sz w:val="13"/>
                <w:szCs w:val="13"/>
              </w:rPr>
              <w:t xml:space="preserve">NO status (RED) —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PARTIAL status (AMBER) —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Primary care coordination  </w:t>
            </w:r>
            <w:r>
              <w:rPr>
                <w:rFonts w:ascii="Arial" w:cs="Arial" w:eastAsia="Arial" w:hAnsi="Arial"/>
                <w:b w:val="false"/>
                <w:bCs w:val="false"/>
                <w:i w:val="false"/>
                <w:iCs w:val="false"/>
                <w:caps w:val="false"/>
                <w:color w:val="6b778c"/>
                <w:sz w:val="12"/>
                <w:szCs w:val="12"/>
              </w:rPr>
              <w:t xml:space="preserve">5.10 (p.21)</w:t>
            </w:r>
          </w:p>
          <w:p>
            <w:pPr>
              <w:spacing w:after="10" w:before="0"/>
            </w:pPr>
            <w:r>
              <w:rPr>
                <w:rFonts w:ascii="Arial" w:cs="Arial" w:eastAsia="Arial" w:hAnsi="Arial"/>
                <w:b/>
                <w:bCs/>
                <w:i w:val="false"/>
                <w:iCs w:val="false"/>
                <w:caps w:val="false"/>
                <w:color w:val="14335c"/>
                <w:sz w:val="13"/>
                <w:szCs w:val="13"/>
              </w:rPr>
              <w:t xml:space="preserve">Readmission risk  </w:t>
            </w:r>
            <w:r>
              <w:rPr>
                <w:rFonts w:ascii="Arial" w:cs="Arial" w:eastAsia="Arial" w:hAnsi="Arial"/>
                <w:b w:val="false"/>
                <w:bCs w:val="false"/>
                <w:i w:val="false"/>
                <w:iCs w:val="false"/>
                <w:caps w:val="false"/>
                <w:color w:val="6b778c"/>
                <w:sz w:val="12"/>
                <w:szCs w:val="12"/>
              </w:rPr>
              <w:t xml:space="preserve">5.9 (p.19)</w:t>
            </w:r>
          </w:p>
          <w:p>
            <w:pPr>
              <w:spacing w:after="10" w:before="0"/>
            </w:pPr>
            <w:r>
              <w:rPr>
                <w:rFonts w:ascii="Arial" w:cs="Arial" w:eastAsia="Arial" w:hAnsi="Arial"/>
                <w:b/>
                <w:bCs/>
                <w:i w:val="false"/>
                <w:iCs w:val="false"/>
                <w:caps w:val="false"/>
                <w:color w:val="14335c"/>
                <w:sz w:val="13"/>
                <w:szCs w:val="13"/>
              </w:rPr>
              <w:t xml:space="preserve">Rehabilitation — early integration  </w:t>
            </w:r>
            <w:r>
              <w:rPr>
                <w:rFonts w:ascii="Arial" w:cs="Arial" w:eastAsia="Arial" w:hAnsi="Arial"/>
                <w:b w:val="false"/>
                <w:bCs w:val="false"/>
                <w:i w:val="false"/>
                <w:iCs w:val="false"/>
                <w:caps w:val="false"/>
                <w:color w:val="6b778c"/>
                <w:sz w:val="12"/>
                <w:szCs w:val="12"/>
              </w:rPr>
              <w:t xml:space="preserve">5.8 (p.17)</w:t>
            </w:r>
          </w:p>
          <w:p>
            <w:pPr>
              <w:spacing w:after="10" w:before="0"/>
            </w:pPr>
            <w:r>
              <w:rPr>
                <w:rFonts w:ascii="Arial" w:cs="Arial" w:eastAsia="Arial" w:hAnsi="Arial"/>
                <w:b/>
                <w:bCs/>
                <w:i w:val="false"/>
                <w:iCs w:val="false"/>
                <w:caps w:val="false"/>
                <w:color w:val="14335c"/>
                <w:sz w:val="13"/>
                <w:szCs w:val="13"/>
              </w:rPr>
              <w:t xml:space="preserve">Risk screening — falls, pressure, nutrition  </w:t>
            </w:r>
            <w:r>
              <w:rPr>
                <w:rFonts w:ascii="Arial" w:cs="Arial" w:eastAsia="Arial" w:hAnsi="Arial"/>
                <w:b w:val="false"/>
                <w:bCs w:val="false"/>
                <w:i w:val="false"/>
                <w:iCs w:val="false"/>
                <w:caps w:val="false"/>
                <w:color w:val="6b778c"/>
                <w:sz w:val="12"/>
                <w:szCs w:val="12"/>
              </w:rPr>
              <w:t xml:space="preserve">5.1 (p.3)</w:t>
            </w:r>
          </w:p>
          <w:p>
            <w:pPr>
              <w:spacing w:after="10" w:before="0"/>
            </w:pPr>
            <w:r>
              <w:rPr>
                <w:rFonts w:ascii="Arial" w:cs="Arial" w:eastAsia="Arial" w:hAnsi="Arial"/>
                <w:b/>
                <w:bCs/>
                <w:i w:val="false"/>
                <w:iCs w:val="false"/>
                <w:caps w:val="false"/>
                <w:color w:val="14335c"/>
                <w:sz w:val="13"/>
                <w:szCs w:val="13"/>
              </w:rPr>
              <w:t xml:space="preserve">Self-management education  </w:t>
            </w:r>
            <w:r>
              <w:rPr>
                <w:rFonts w:ascii="Arial" w:cs="Arial" w:eastAsia="Arial" w:hAnsi="Arial"/>
                <w:b w:val="false"/>
                <w:bCs w:val="false"/>
                <w:i w:val="false"/>
                <w:iCs w:val="false"/>
                <w:caps w:val="false"/>
                <w:color w:val="6b778c"/>
                <w:sz w:val="12"/>
                <w:szCs w:val="12"/>
              </w:rPr>
              <w:t xml:space="preserve">5.10 (p.21)</w:t>
            </w:r>
          </w:p>
          <w:p>
            <w:pPr>
              <w:spacing w:after="10" w:before="0"/>
            </w:pPr>
            <w:r>
              <w:rPr>
                <w:rFonts w:ascii="Arial" w:cs="Arial" w:eastAsia="Arial" w:hAnsi="Arial"/>
                <w:b/>
                <w:bCs/>
                <w:i w:val="false"/>
                <w:iCs w:val="false"/>
                <w:caps w:val="false"/>
                <w:color w:val="14335c"/>
                <w:sz w:val="13"/>
                <w:szCs w:val="13"/>
              </w:rPr>
              <w:t xml:space="preserve">Surveyor methods: OBSERVE/DOCUMENT/ASK  </w:t>
            </w:r>
            <w:r>
              <w:rPr>
                <w:rFonts w:ascii="Arial" w:cs="Arial" w:eastAsia="Arial" w:hAnsi="Arial"/>
                <w:b w:val="false"/>
                <w:bCs w:val="false"/>
                <w:i w:val="false"/>
                <w:iCs w:val="false"/>
                <w:caps w:val="false"/>
                <w:color w:val="6b778c"/>
                <w:sz w:val="12"/>
                <w:szCs w:val="12"/>
              </w:rPr>
              <w:t xml:space="preserve">All standards (p.3–22)</w:t>
            </w:r>
          </w:p>
          <w:p>
            <w:pPr>
              <w:spacing w:after="10" w:before="0"/>
            </w:pPr>
            <w:r>
              <w:rPr>
                <w:rFonts w:ascii="Arial" w:cs="Arial" w:eastAsia="Arial" w:hAnsi="Arial"/>
                <w:b/>
                <w:bCs/>
                <w:i w:val="false"/>
                <w:iCs w:val="false"/>
                <w:caps w:val="false"/>
                <w:color w:val="14335c"/>
                <w:sz w:val="13"/>
                <w:szCs w:val="13"/>
              </w:rPr>
              <w:t xml:space="preserve">Turnaround time — diagnostics  </w:t>
            </w:r>
            <w:r>
              <w:rPr>
                <w:rFonts w:ascii="Arial" w:cs="Arial" w:eastAsia="Arial" w:hAnsi="Arial"/>
                <w:b w:val="false"/>
                <w:bCs w:val="false"/>
                <w:i w:val="false"/>
                <w:iCs w:val="false"/>
                <w:caps w:val="false"/>
                <w:color w:val="6b778c"/>
                <w:sz w:val="12"/>
                <w:szCs w:val="12"/>
              </w:rPr>
              <w:t xml:space="preserve">5.7 (p.15)</w:t>
            </w:r>
          </w:p>
          <w:p>
            <w:pPr>
              <w:spacing w:after="10" w:before="0"/>
            </w:pPr>
            <w:r>
              <w:rPr>
                <w:rFonts w:ascii="Arial" w:cs="Arial" w:eastAsia="Arial" w:hAnsi="Arial"/>
                <w:b/>
                <w:bCs/>
                <w:i w:val="false"/>
                <w:iCs w:val="false"/>
                <w:caps w:val="false"/>
                <w:color w:val="14335c"/>
                <w:sz w:val="13"/>
                <w:szCs w:val="13"/>
              </w:rPr>
              <w:t xml:space="preserve">Vancouver reference style  </w:t>
            </w:r>
            <w:r>
              <w:rPr>
                <w:rFonts w:ascii="Arial" w:cs="Arial" w:eastAsia="Arial" w:hAnsi="Arial"/>
                <w:b w:val="false"/>
                <w:bCs w:val="false"/>
                <w:i w:val="false"/>
                <w:iCs w:val="false"/>
                <w:caps w:val="false"/>
                <w:color w:val="6b778c"/>
                <w:sz w:val="12"/>
                <w:szCs w:val="12"/>
              </w:rPr>
              <w:t xml:space="preserve">References (p.23)</w:t>
            </w:r>
          </w:p>
          <w:p>
            <w:pPr>
              <w:spacing w:after="10" w:before="0"/>
            </w:pPr>
            <w:r>
              <w:rPr>
                <w:rFonts w:ascii="Arial" w:cs="Arial" w:eastAsia="Arial" w:hAnsi="Arial"/>
                <w:b/>
                <w:bCs/>
                <w:i w:val="false"/>
                <w:iCs w:val="false"/>
                <w:caps w:val="false"/>
                <w:color w:val="14335c"/>
                <w:sz w:val="13"/>
                <w:szCs w:val="13"/>
              </w:rPr>
              <w:t xml:space="preserve">YES status (GREEN) — definition  </w:t>
            </w:r>
            <w:r>
              <w:rPr>
                <w:rFonts w:ascii="Arial" w:cs="Arial" w:eastAsia="Arial" w:hAnsi="Arial"/>
                <w:b w:val="false"/>
                <w:bCs w:val="false"/>
                <w:i w:val="false"/>
                <w:iCs w:val="false"/>
                <w:caps w:val="false"/>
                <w:color w:val="6b778c"/>
                <w:sz w:val="12"/>
                <w:szCs w:val="12"/>
              </w:rPr>
              <w:t xml:space="preserve">Introduction (p.1)</w:t>
            </w:r>
          </w:p>
        </w:tc>
      </w:tr>
    </w:tbl>
    <w:sectPr>
      <w:footerReference w:type="default" r:id="rId7"/>
      <w:pgSz w:w="11908" w:h="16833" w:orient="portrait"/>
      <w:pgMar w:top="691" w:right="1036" w:bottom="1036" w:left="1036" w:header="708" w:footer="259"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2"/>
      </w:pBdr>
      <w:spacing w:after="0" w:before="80"/>
    </w:pPr>
    <w:r>
      <w:rPr>
        <w:rFonts w:ascii="Arial" w:cs="Arial" w:eastAsia="Arial" w:hAnsi="Arial"/>
        <w:i/>
        <w:iCs/>
        <w:color w:val="aaaaaa"/>
        <w:sz w:val="16"/>
        <w:szCs w:val="16"/>
      </w:rPr>
      <w:t xml:space="preserve">© 2025 Accréditation Sans Frontières. Open standards licence. Free non-commercial reproduction with attribution. Commercial use requires written ASF permission.   </w:t>
    </w:r>
    <w:r>
      <w:rPr>
        <w:rFonts w:ascii="Arial" w:cs="Arial" w:eastAsia="Arial" w:hAnsi="Arial"/>
        <w:b/>
        <w:bCs/>
        <w:i/>
        <w:iCs/>
        <w:color w:val="aaaaaa"/>
        <w:sz w:val="16"/>
        <w:szCs w:val="16"/>
      </w:rPr>
      <w:t xml:space="preserve">Citation: </w:t>
    </w:r>
    <w:r>
      <w:rPr>
        <w:rFonts w:ascii="Arial" w:cs="Arial" w:eastAsia="Arial" w:hAnsi="Arial"/>
        <w:i/>
        <w:iCs/>
        <w:color w:val="aaaaaa"/>
        <w:sz w:val="16"/>
        <w:szCs w:val="16"/>
      </w:rPr>
      <w:t xml:space="preserve">Accreditation Sans Frontieres. ASF Hospital Standards: Chapter 5 — Clinical Care &amp; Patient Management. Version 2.0. Paris: ASF; 2025.   </w:t>
    </w:r>
    <w:r>
      <w:rPr>
        <w:rFonts w:ascii="Arial" w:cs="Arial" w:eastAsia="Arial" w:hAnsi="Arial"/>
        <w:i/>
        <w:iCs/>
        <w:color w:val="aaaaaa"/>
        <w:sz w:val="16"/>
        <w:szCs w:val="16"/>
      </w:rPr>
      <w:t xml:space="preserve">Ref: ASF-CH5-CCM-v2.0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orb0ibtq4ehfblbzdzwd" Type="http://schemas.openxmlformats.org/officeDocument/2006/relationships/hyperlink" Target="https://france-asf.fr" TargetMode="External"/><Relationship Id="rIdv3eg8fqxs-nwqy5zfgsnz" Type="http://schemas.openxmlformats.org/officeDocument/2006/relationships/hyperlink" Target="mailto:info@france-asf.fr" TargetMode="External"/><Relationship Id="rIdjfvuflytyugjw-vrntuzy" Type="http://schemas.openxmlformats.org/officeDocument/2006/relationships/hyperlink" Target="https://academy.gmj.ge" TargetMode="External"/><Relationship Id="rIdpcorg4tvdzzkhd8un1cji" Type="http://schemas.openxmlformats.org/officeDocument/2006/relationships/hyperlink" Target="mailto:info@france-asf.fr" TargetMode="External"/><Relationship Id="rIdwooes3d8pa_nv28p6qjvv" Type="http://schemas.openxmlformats.org/officeDocument/2006/relationships/hyperlink" Target="https://france-asf.fr" TargetMode="External"/><Relationship Id="rIdmgtnbano8caejchnrx_vr" Type="http://schemas.openxmlformats.org/officeDocument/2006/relationships/hyperlink" Target="https://academy.gmj.ge" TargetMode="External"/><Relationship Id="rIdmrzbqohvjaqd_gxt3hasz" Type="http://schemas.openxmlformats.org/officeDocument/2006/relationships/hyperlink" Target="mailto:info@france-asf.fr" TargetMode="External"/><Relationship Id="rIdut_vihueopsvhmd204isx" Type="http://schemas.openxmlformats.org/officeDocument/2006/relationships/hyperlink" Target="https://www.who.int/publications/i/item/9789241550369" TargetMode="External"/><Relationship Id="rId_35nqojyjctdcfcsrq08w" Type="http://schemas.openxmlformats.org/officeDocument/2006/relationships/hyperlink" Target="https://www.nice.org.uk/guidance/ng94" TargetMode="External"/><Relationship Id="rIdb5dshkj-0ug8gp6ply5lq" Type="http://schemas.openxmlformats.org/officeDocument/2006/relationships/hyperlink" Target="https://www.rcplondon.ac.uk/projects/outputs/national-early-warning-score-news-2" TargetMode="External"/><Relationship Id="rIdfyqvkeorhevqywzdotezd" Type="http://schemas.openxmlformats.org/officeDocument/2006/relationships/hyperlink" Target="https://academy.gmj.ge/ch5-1-patient-assessment-admission" TargetMode="External"/><Relationship Id="rId2iwfkyyhu4bzwutaixalb" Type="http://schemas.openxmlformats.org/officeDocument/2006/relationships/hyperlink" Target="https://iris.who.int/handle/10665/155002" TargetMode="External"/><Relationship Id="rIdi6ksqlvklg-dbuya-rj9t" Type="http://schemas.openxmlformats.org/officeDocument/2006/relationships/hyperlink" Target="https://www.nice.org.uk/guidance/cg138" TargetMode="External"/><Relationship Id="rIdu3aqa45sx_jxwar3n9kuj" Type="http://schemas.openxmlformats.org/officeDocument/2006/relationships/hyperlink" Target="https://www.kingsfund.org.uk/insight-and-analysis/reports/making-shared-decision-making-reality" TargetMode="External"/><Relationship Id="rIdzggtpzzrt5ceujehkmfgy" Type="http://schemas.openxmlformats.org/officeDocument/2006/relationships/hyperlink" Target="https://academy.gmj.ge/ch5-2-care-planning-goal-setting" TargetMode="External"/><Relationship Id="rId2tur9evbvhq2ba_7althp" Type="http://schemas.openxmlformats.org/officeDocument/2006/relationships/hyperlink" Target="https://www.who.int/initiatives/medication-without-harm" TargetMode="External"/><Relationship Id="rIdth_kgv4omvutnscmpd6f2" Type="http://schemas.openxmlformats.org/officeDocument/2006/relationships/hyperlink" Target="https://www.ismp.org/recommendations/high-alert-medications-acute-list" TargetMode="External"/><Relationship Id="rIdbremknrnrv-lzeojp6u13" Type="http://schemas.openxmlformats.org/officeDocument/2006/relationships/hyperlink" Target="https://www.who.int/publications/i/item/9789241501958" TargetMode="External"/><Relationship Id="rIda6cnuduipjo-x3ckftq_v" Type="http://schemas.openxmlformats.org/officeDocument/2006/relationships/hyperlink" Target="https://academy.gmj.ge/ch5-3-medication-safety-prescribing" TargetMode="External"/><Relationship Id="rId6oa8fir7inyzmxi0te5bo" Type="http://schemas.openxmlformats.org/officeDocument/2006/relationships/hyperlink" Target="https://www.who.int/publications" TargetMode="External"/><Relationship Id="rIdtlyl8hplngee-klujmdpj" Type="http://schemas.openxmlformats.org/officeDocument/2006/relationships/hyperlink" Target="https://www.jointcommissioninternational.org" TargetMode="External"/><Relationship Id="rIdfi-hyhct7_2x4dkxeb677" Type="http://schemas.openxmlformats.org/officeDocument/2006/relationships/hyperlink" Target="https://www.ismp.org/recommendations/error-prone-abbreviations-list" TargetMode="External"/><Relationship Id="rIdn61lmwc_byqxdjtt__a4v" Type="http://schemas.openxmlformats.org/officeDocument/2006/relationships/hyperlink" Target="https://academy.gmj.ge/ch5-4-clinical-documentation-standards" TargetMode="External"/><Relationship Id="rIdjd9e-k8cmobdyc7kxvhm-" Type="http://schemas.openxmlformats.org/officeDocument/2006/relationships/hyperlink" Target="https://www.who.int/publications/i/item/patient-safety-solutions" TargetMode="External"/><Relationship Id="rIdxon_843bz3digubbwyykn" Type="http://schemas.openxmlformats.org/officeDocument/2006/relationships/hyperlink" Target="https://doi.org/10.1016/S1553-7250(06)32022-3" TargetMode="External"/><Relationship Id="rIddpsmggisli4wriya8-bsn" Type="http://schemas.openxmlformats.org/officeDocument/2006/relationships/hyperlink" Target="https://doi.org/10.1056/NEJMsa1405556" TargetMode="External"/><Relationship Id="rIdyh-wk6rru6ifcpjdb-opx" Type="http://schemas.openxmlformats.org/officeDocument/2006/relationships/hyperlink" Target="https://academy.gmj.ge/ch5-5-handover-transfer-of-care" TargetMode="External"/><Relationship Id="rIddbjf-qabh4pni3fen8bnl" Type="http://schemas.openxmlformats.org/officeDocument/2006/relationships/hyperlink" Target="https://www.rcplondon.ac.uk/projects/outputs/national-early-warning-score-news-2" TargetMode="External"/><Relationship Id="rId6o7k6tszu5zjqrvtofq9z" Type="http://schemas.openxmlformats.org/officeDocument/2006/relationships/hyperlink" Target="https://www.who.int/publications" TargetMode="External"/><Relationship Id="rId6swypsbqkr6iraa0gcdhd" Type="http://schemas.openxmlformats.org/officeDocument/2006/relationships/hyperlink" Target="https://doi.org/10.1093/qjmed/94.10.521" TargetMode="External"/><Relationship Id="rIdktdvlvljd4zr3iclkydok" Type="http://schemas.openxmlformats.org/officeDocument/2006/relationships/hyperlink" Target="https://academy.gmj.ge/ch5-6-monitoring-high-risk-patients" TargetMode="External"/><Relationship Id="rIdzqjvea5l_moq4zfah6ws_" Type="http://schemas.openxmlformats.org/officeDocument/2006/relationships/hyperlink" Target="https://www.who.int/publications" TargetMode="External"/><Relationship Id="rIdjcinvn5qgbjthtdhkza_z" Type="http://schemas.openxmlformats.org/officeDocument/2006/relationships/hyperlink" Target="https://www.cap.org" TargetMode="External"/><Relationship Id="rId3ohke5wf8aikjhgkbiol4" Type="http://schemas.openxmlformats.org/officeDocument/2006/relationships/hyperlink" Target="https://www.jointcommissioninternational.org" TargetMode="External"/><Relationship Id="rIdj2rx71wcqcjqxzsiuwc5u" Type="http://schemas.openxmlformats.org/officeDocument/2006/relationships/hyperlink" Target="https://academy.gmj.ge/ch5-7-diagnostic-testing-results" TargetMode="External"/><Relationship Id="rIdvpd9rg93thmgr7sede5d2" Type="http://schemas.openxmlformats.org/officeDocument/2006/relationships/hyperlink" Target="https://www.who.int/publications/i/item/9789241549974" TargetMode="External"/><Relationship Id="rId2i-nltuuqyohslwvrp5rc" Type="http://schemas.openxmlformats.org/officeDocument/2006/relationships/hyperlink" Target="https://www.who.int/initiatives/rehabilitation-2030" TargetMode="External"/><Relationship Id="rIdmarmmx78vrwce0uhbera7" Type="http://schemas.openxmlformats.org/officeDocument/2006/relationships/hyperlink" Target="https://doi.org/10.1177/0269215515601177" TargetMode="External"/><Relationship Id="rIdsnphwkjrykt0m3ec8iwkj" Type="http://schemas.openxmlformats.org/officeDocument/2006/relationships/hyperlink" Target="https://academy.gmj.ge/ch5-8-rehabilitation-allied-health" TargetMode="External"/><Relationship Id="rIdwpbyvlq7mjyl3hygfh7xm" Type="http://schemas.openxmlformats.org/officeDocument/2006/relationships/hyperlink" Target="https://www.who.int/publications/i/item/transitions-of-care" TargetMode="External"/><Relationship Id="rIdssg4ghpbbouy-w1njreec" Type="http://schemas.openxmlformats.org/officeDocument/2006/relationships/hyperlink" Target="https://doi.org/10.1002/jhm.228" TargetMode="External"/><Relationship Id="rIdggxvicxd1mheddwtjsoys" Type="http://schemas.openxmlformats.org/officeDocument/2006/relationships/hyperlink" Target="https://doi.org/10.1377/hlthaff.2011.0041" TargetMode="External"/><Relationship Id="rIdz1qns3tx1f0utp5nxvnhc" Type="http://schemas.openxmlformats.org/officeDocument/2006/relationships/hyperlink" Target="https://academy.gmj.ge/ch5-9-discharge-planning-community" TargetMode="External"/><Relationship Id="rId17who3pb4nfxae6xghoud" Type="http://schemas.openxmlformats.org/officeDocument/2006/relationships/hyperlink" Target="https://www.who.int/publications/i/item/9789241506236" TargetMode="External"/><Relationship Id="rIdg-iexmhsojw9rjy2emxjq" Type="http://schemas.openxmlformats.org/officeDocument/2006/relationships/hyperlink" Target="https://doi.org/10.2307/3350391" TargetMode="External"/><Relationship Id="rId1gz64nrleuipkxfkjolwd" Type="http://schemas.openxmlformats.org/officeDocument/2006/relationships/hyperlink" Target="https://iris.who.int/handle/10665/42500" TargetMode="External"/><Relationship Id="rIdvnx-mqrzsabaooq5ilj6j" Type="http://schemas.openxmlformats.org/officeDocument/2006/relationships/hyperlink" Target="https://academy.gmj.ge/ch5-10-chronic-disease-management" TargetMode="External"/><Relationship Id="rId-pvmthedsivzbhtoizdev" Type="http://schemas.openxmlformats.org/officeDocument/2006/relationships/hyperlink" Target="https://www.who.int/publications/i/item/9789241550369" TargetMode="External"/><Relationship Id="rId2rf9vm-2j3vcxoxupyadh" Type="http://schemas.openxmlformats.org/officeDocument/2006/relationships/hyperlink" Target="https://www.nice.org.uk/guidance/ng94" TargetMode="External"/><Relationship Id="rIdmmxvsep0haunmhofih-3f" Type="http://schemas.openxmlformats.org/officeDocument/2006/relationships/hyperlink" Target="https://www.rcplondon.ac.uk/projects/outputs/national-early-warning-score-news-2" TargetMode="External"/><Relationship Id="rIdaiunixfpwocuelttfklxc" Type="http://schemas.openxmlformats.org/officeDocument/2006/relationships/hyperlink" Target="https://iris.who.int/handle/10665/155002" TargetMode="External"/><Relationship Id="rIdybgtur89ekosgj_r2rvsg" Type="http://schemas.openxmlformats.org/officeDocument/2006/relationships/hyperlink" Target="https://www.nice.org.uk/guidance/cg138" TargetMode="External"/><Relationship Id="rIds8zclg4qg8pjspuucpkzu" Type="http://schemas.openxmlformats.org/officeDocument/2006/relationships/hyperlink" Target="https://www.kingsfund.org.uk/insight-and-analysis/reports/making-shared-decision-making-reality" TargetMode="External"/><Relationship Id="rIdeyjtt9yerioqmpgpj3dfl" Type="http://schemas.openxmlformats.org/officeDocument/2006/relationships/hyperlink" Target="https://www.who.int/initiatives/medication-without-harm" TargetMode="External"/><Relationship Id="rId-enj5qrks82mmevcfb92l" Type="http://schemas.openxmlformats.org/officeDocument/2006/relationships/hyperlink" Target="https://www.ismp.org/recommendations/high-alert-medications-acute-list" TargetMode="External"/><Relationship Id="rId3xb1se_3d-1_yu6y2_fs5" Type="http://schemas.openxmlformats.org/officeDocument/2006/relationships/hyperlink" Target="https://www.who.int/publications/i/item/9789241501958" TargetMode="External"/><Relationship Id="rIdtjrregenld3siqdppvlmo" Type="http://schemas.openxmlformats.org/officeDocument/2006/relationships/hyperlink" Target="https://www.who.int/publications" TargetMode="External"/><Relationship Id="rId1cqyupjlu7tffunzv5wih" Type="http://schemas.openxmlformats.org/officeDocument/2006/relationships/hyperlink" Target="https://www.jointcommissioninternational.org" TargetMode="External"/><Relationship Id="rIdjghokfizh1dgadh-ejl8p" Type="http://schemas.openxmlformats.org/officeDocument/2006/relationships/hyperlink" Target="https://www.ismp.org/recommendations/error-prone-abbreviations-list" TargetMode="External"/><Relationship Id="rId5kfbixreuzu_y-qfkpf6i" Type="http://schemas.openxmlformats.org/officeDocument/2006/relationships/hyperlink" Target="https://www.who.int/publications/i/item/patient-safety-solutions" TargetMode="External"/><Relationship Id="rIdbnv0ob00cq1dvj_jme9hw" Type="http://schemas.openxmlformats.org/officeDocument/2006/relationships/hyperlink" Target="https://doi.org/10.1016/S1553-7250(06)32022-3" TargetMode="External"/><Relationship Id="rIdgltvlcvzuiag_vd7ykjgy" Type="http://schemas.openxmlformats.org/officeDocument/2006/relationships/hyperlink" Target="https://doi.org/10.1056/NEJMsa1405556" TargetMode="External"/><Relationship Id="rId-nynq6vyihccwwgqp-vu8" Type="http://schemas.openxmlformats.org/officeDocument/2006/relationships/hyperlink" Target="https://www.rcplondon.ac.uk/projects/outputs/national-early-warning-score-news-2" TargetMode="External"/><Relationship Id="rIddhq9caei6nb-uqw8byxf5" Type="http://schemas.openxmlformats.org/officeDocument/2006/relationships/hyperlink" Target="https://www.who.int/publications" TargetMode="External"/><Relationship Id="rIduvd0vbald8g2brbdnt8yt" Type="http://schemas.openxmlformats.org/officeDocument/2006/relationships/hyperlink" Target="https://doi.org/10.1093/qjmed/94.10.521" TargetMode="External"/><Relationship Id="rIdb_kezjjf63mwxrcxci7jq" Type="http://schemas.openxmlformats.org/officeDocument/2006/relationships/hyperlink" Target="https://www.who.int/publications" TargetMode="External"/><Relationship Id="rId98pjcd9g6-u_928qygjsf" Type="http://schemas.openxmlformats.org/officeDocument/2006/relationships/hyperlink" Target="https://www.cap.org" TargetMode="External"/><Relationship Id="rId_pggr5lkzs2c_dlwsb12a" Type="http://schemas.openxmlformats.org/officeDocument/2006/relationships/hyperlink" Target="https://www.jointcommissioninternational.org" TargetMode="External"/><Relationship Id="rIdl7eycfwraahuvrfcu9baq" Type="http://schemas.openxmlformats.org/officeDocument/2006/relationships/hyperlink" Target="https://www.who.int/publications/i/item/9789241549974" TargetMode="External"/><Relationship Id="rIdw9z8pjgsl49baqtcrayh0" Type="http://schemas.openxmlformats.org/officeDocument/2006/relationships/hyperlink" Target="https://www.who.int/initiatives/rehabilitation-2030" TargetMode="External"/><Relationship Id="rIdifsrtq_iwwfngjbivho-t" Type="http://schemas.openxmlformats.org/officeDocument/2006/relationships/hyperlink" Target="https://doi.org/10.1177/0269215515601177" TargetMode="External"/><Relationship Id="rIdwonrr0etted3mjhynqz-3" Type="http://schemas.openxmlformats.org/officeDocument/2006/relationships/hyperlink" Target="https://www.who.int/publications/i/item/transitions-of-care" TargetMode="External"/><Relationship Id="rIdyyvfsjfsqiwh1aur6_7d3" Type="http://schemas.openxmlformats.org/officeDocument/2006/relationships/hyperlink" Target="https://doi.org/10.1002/jhm.228" TargetMode="External"/><Relationship Id="rIddclem07cxadugtlilgis9" Type="http://schemas.openxmlformats.org/officeDocument/2006/relationships/hyperlink" Target="https://doi.org/10.1377/hlthaff.2011.0041" TargetMode="External"/><Relationship Id="rIddsh0kglmimmcsdccqdex1" Type="http://schemas.openxmlformats.org/officeDocument/2006/relationships/hyperlink" Target="https://www.who.int/publications/i/item/9789241506236" TargetMode="External"/><Relationship Id="rIdmhefxq_cjds0vzoqdxx5i" Type="http://schemas.openxmlformats.org/officeDocument/2006/relationships/hyperlink" Target="https://doi.org/10.2307/3350391" TargetMode="External"/><Relationship Id="rIdh3cznxcfbdkuwt6arp_nn" Type="http://schemas.openxmlformats.org/officeDocument/2006/relationships/hyperlink" Target="https://iris.who.int/handle/10665/42500" TargetMode="External"/><Relationship Id="rId8" Type="http://schemas.openxmlformats.org/officeDocument/2006/relationships/image" Target="media/d139395916e07bb04734db2f45792b16c08ff223.png"/><Relationship Id="rId8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2026-08-29T19:37:17.244Z</dcterms:created>
  <dcterms:modified xsi:type="dcterms:W3CDTF">2026-08-29T19:37:17.253Z</dcterms:modified>
</cp:coreProperties>
</file>

<file path=docProps/custom.xml><?xml version="1.0" encoding="utf-8"?>
<Properties xmlns="http://schemas.openxmlformats.org/officeDocument/2006/custom-properties" xmlns:vt="http://schemas.openxmlformats.org/officeDocument/2006/docPropsVTypes"/>
</file>