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c9a227" w:sz="8"/>
          <w:left w:val="none"/>
          <w:bottom w:val="single" w:color="c9a227" w:sz="8"/>
          <w:right w:val="none"/>
          <w:insideH w:val="single" w:color="auto" w:sz="4"/>
          <w:insideV w:val="single" w:color="auto" w:sz="4"/>
        </w:tblBorders>
      </w:tblPr>
      <w:tblGrid>
        <w:gridCol w:w="1100"/>
        <w:gridCol w:w="8260"/>
      </w:tblGrid>
      <w:tr>
        <w:tc>
          <w:tcPr>
            <w:tcW w:type="dxa" w:w="1100"/>
            <w:shd w:fill="0e2647" w:color="auto" w:val="clear"/>
            <w:tcMar>
              <w:top w:type="dxa" w:w="30"/>
              <w:left w:type="dxa" w:w="60"/>
              <w:bottom w:type="dxa" w:w="30"/>
              <w:right w:type="dxa" w:w="40"/>
            </w:tcMar>
            <w:vAlign w:val="center"/>
          </w:tcPr>
          <w:p>
            <w:pPr>
              <w:spacing w:after="0" w:before="0"/>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66750" cy="666750"/>
                          </a:xfrm>
                          <a:prstGeom prst="rect">
                            <a:avLst/>
                          </a:prstGeom>
                        </pic:spPr>
                      </pic:pic>
                    </a:graphicData>
                  </a:graphic>
                </wp:inline>
              </w:drawing>
            </w:r>
          </w:p>
        </w:tc>
        <w:tc>
          <w:tcPr>
            <w:tcW w:type="dxa" w:w="8260"/>
            <w:shd w:fill="0e2647" w:color="auto" w:val="clear"/>
            <w:tcMar>
              <w:top w:type="dxa" w:w="30"/>
              <w:left w:type="dxa" w:w="60"/>
              <w:bottom w:type="dxa" w:w="30"/>
              <w:right w:type="dxa" w:w="75"/>
            </w:tcMar>
            <w:vAlign w:val="top"/>
          </w:tcPr>
          <w:p>
            <w:pPr>
              <w:spacing w:after="10" w:before="0"/>
            </w:pPr>
            <w:r>
              <w:rPr>
                <w:rFonts w:ascii="Helvetica" w:cs="Helvetica" w:eastAsia="Helvetica" w:hAnsi="Helvetica"/>
                <w:b/>
                <w:bCs/>
                <w:i w:val="false"/>
                <w:iCs w:val="false"/>
                <w:caps/>
                <w:color w:val="c9a227"/>
                <w:spacing w:val="40"/>
                <w:sz w:val="13"/>
                <w:szCs w:val="13"/>
              </w:rPr>
              <w:t xml:space="preserve">ACCRÉDITATION SANS FRONTIÈRES</w:t>
            </w:r>
          </w:p>
          <w:p>
            <w:pPr>
              <w:spacing w:after="8" w:before="0"/>
            </w:pPr>
            <w:r>
              <w:rPr>
                <w:rFonts w:ascii="Georgia" w:cs="Georgia" w:eastAsia="Georgia" w:hAnsi="Georgia"/>
                <w:b/>
                <w:bCs/>
                <w:i w:val="false"/>
                <w:iCs w:val="false"/>
                <w:caps w:val="false"/>
                <w:color w:val="ffffff"/>
                <w:sz w:val="26"/>
                <w:szCs w:val="26"/>
              </w:rPr>
              <w:t xml:space="preserve">SURGICAL &amp; PROCEDURAL SAFETY</w:t>
            </w:r>
          </w:p>
          <w:p>
            <w:pPr>
              <w:spacing w:after="36" w:before="0"/>
            </w:pPr>
            <w:r>
              <w:rPr>
                <w:rFonts w:ascii="Arial" w:cs="Arial" w:eastAsia="Arial" w:hAnsi="Arial"/>
                <w:b w:val="false"/>
                <w:bCs w:val="false"/>
                <w:i/>
                <w:iCs/>
                <w:caps w:val="false"/>
                <w:color w:val="8fa8c8"/>
                <w:sz w:val="11"/>
                <w:szCs w:val="11"/>
              </w:rPr>
              <w:t xml:space="preserve">Version 2.0  ·  January 2025  ·  Open Standards  ·  Ref: ASF-CH6-SPS-v2.0  ·  Approved: January 2025  ·  Next Review: January 2027</w:t>
            </w:r>
          </w:p>
        </w:tc>
      </w:tr>
    </w:tbl>
    <w:p>
      <w:pPr>
        <w:spacing w:after="36" w:before="2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single" w:color="dce3ee" w:sz="4"/>
          <w:bottom w:val="single" w:color="dce3ee" w:sz="4"/>
          <w:right w:val="single" w:color="dce3ee" w:sz="4"/>
          <w:insideH w:val="single" w:color="auto" w:sz="4"/>
          <w:insideV w:val="single" w:color="auto" w:sz="4"/>
        </w:tblBorders>
      </w:tblPr>
      <w:tblGrid>
        <w:gridCol w:w="2340"/>
        <w:gridCol w:w="2340"/>
        <w:gridCol w:w="2340"/>
        <w:gridCol w:w="2340"/>
      </w:tblGrid>
      <w:tr>
        <w:tc>
          <w:tcPr>
            <w:tcW w:type="dxa" w:w="2340"/>
            <w:tcMar>
              <w:top w:type="dxa" w:w="40"/>
              <w:left w:type="dxa" w:w="70"/>
              <w:bottom w:type="dxa" w:w="40"/>
              <w:right w:type="dxa" w:w="75"/>
            </w:tcMar>
            <w:vAlign w:val="top"/>
          </w:tcPr>
          <w:p>
            <w:pPr>
              <w:spacing w:after="10" w:before="0"/>
            </w:pPr>
            <w:r>
              <w:rPr>
                <w:rFonts w:ascii="Helvetica" w:cs="Helvetica" w:eastAsia="Helvetica" w:hAnsi="Helvetica"/>
                <w:b/>
                <w:bCs/>
                <w:i w:val="false"/>
                <w:iCs w:val="false"/>
                <w:caps/>
                <w:color w:val="6b778c"/>
                <w:sz w:val="10"/>
                <w:szCs w:val="10"/>
              </w:rPr>
              <w:t xml:space="preserve">PUBLISHER</w:t>
            </w:r>
          </w:p>
          <w:p>
            <w:pPr>
              <w:spacing w:after="4" w:before="0"/>
            </w:pPr>
            <w:r>
              <w:rPr>
                <w:rFonts w:ascii="Arial" w:cs="Arial" w:eastAsia="Arial" w:hAnsi="Arial"/>
                <w:b/>
                <w:bCs/>
                <w:i w:val="false"/>
                <w:iCs w:val="false"/>
                <w:caps w:val="false"/>
                <w:color w:val="0e2647"/>
                <w:sz w:val="13"/>
                <w:szCs w:val="13"/>
              </w:rPr>
              <w:t xml:space="preserve">Accréditation Sans Frontières</w:t>
            </w:r>
          </w:p>
          <w:p>
            <w:pPr>
              <w:spacing w:after="3" w:before="0"/>
            </w:pPr>
            <w:hyperlink w:history="1" r:id="rIdiv0tltbcrk5w-h8zbf5z-">
              <w:r>
                <w:rPr>
                  <w:rFonts w:ascii="Arial" w:cs="Arial" w:eastAsia="Arial" w:hAnsi="Arial"/>
                  <w:b/>
                  <w:bCs/>
                  <w:color w:val="c9a227"/>
                  <w:sz w:val="13"/>
                  <w:szCs w:val="13"/>
                  <w:u w:val="single"/>
                </w:rPr>
                <w:t xml:space="preserve">france-asf.fr</w:t>
              </w:r>
            </w:hyperlink>
          </w:p>
          <w:p>
            <w:pPr>
              <w:spacing w:after="36" w:before="0"/>
            </w:pPr>
            <w:hyperlink w:history="1" r:id="rIde0wkhvdneceptf-9p5kpz">
              <w:r>
                <w:rPr>
                  <w:rFonts w:ascii="Arial" w:cs="Arial" w:eastAsia="Arial" w:hAnsi="Arial"/>
                  <w:b/>
                  <w:bCs/>
                  <w:color w:val="c9a227"/>
                  <w:sz w:val="13"/>
                  <w:szCs w:val="13"/>
                  <w:u w:val="single"/>
                </w:rPr>
                <w:t xml:space="preserve">info@france-asf.fr</w:t>
              </w:r>
            </w:hyperlink>
          </w:p>
        </w:tc>
        <w:tc>
          <w:tcPr>
            <w:tcW w:type="dxa" w:w="2340"/>
            <w:tcMar>
              <w:top w:type="dxa" w:w="40"/>
              <w:left w:type="dxa" w:w="70"/>
              <w:bottom w:type="dxa" w:w="40"/>
              <w:right w:type="dxa" w:w="75"/>
            </w:tcMar>
            <w:vAlign w:val="top"/>
          </w:tcPr>
          <w:p>
            <w:pPr>
              <w:spacing w:after="10" w:before="0"/>
            </w:pPr>
            <w:r>
              <w:rPr>
                <w:rFonts w:ascii="Helvetica" w:cs="Helvetica" w:eastAsia="Helvetica" w:hAnsi="Helvetica"/>
                <w:b/>
                <w:bCs/>
                <w:i w:val="false"/>
                <w:iCs w:val="false"/>
                <w:caps/>
                <w:color w:val="6b778c"/>
                <w:sz w:val="10"/>
                <w:szCs w:val="10"/>
              </w:rPr>
              <w:t xml:space="preserve">DOCUMENT REF</w:t>
            </w:r>
          </w:p>
          <w:p>
            <w:pPr>
              <w:spacing w:after="4" w:before="0"/>
            </w:pPr>
            <w:r>
              <w:rPr>
                <w:rFonts w:ascii="Arial" w:cs="Arial" w:eastAsia="Arial" w:hAnsi="Arial"/>
                <w:b/>
                <w:bCs/>
                <w:i w:val="false"/>
                <w:iCs w:val="false"/>
                <w:caps w:val="false"/>
                <w:color w:val="0e2647"/>
                <w:sz w:val="13"/>
                <w:szCs w:val="13"/>
              </w:rPr>
              <w:t xml:space="preserve">ASF-CH6-SPS-v2.0</w:t>
            </w:r>
          </w:p>
          <w:p>
            <w:pPr>
              <w:spacing w:after="36" w:before="0"/>
            </w:pPr>
            <w:r>
              <w:rPr>
                <w:rFonts w:ascii="Arial" w:cs="Arial" w:eastAsia="Arial" w:hAnsi="Arial"/>
                <w:b w:val="false"/>
                <w:bCs w:val="false"/>
                <w:i w:val="false"/>
                <w:iCs w:val="false"/>
                <w:caps w:val="false"/>
                <w:color w:val="6b778c"/>
                <w:sz w:val="12"/>
                <w:szCs w:val="12"/>
              </w:rPr>
              <w:t xml:space="preserve">ISSN: 3088-4322  ·  DOI: 10.66636</w:t>
            </w:r>
          </w:p>
        </w:tc>
        <w:tc>
          <w:tcPr>
            <w:tcW w:type="dxa" w:w="2340"/>
            <w:tcMar>
              <w:top w:type="dxa" w:w="40"/>
              <w:left w:type="dxa" w:w="70"/>
              <w:bottom w:type="dxa" w:w="40"/>
              <w:right w:type="dxa" w:w="75"/>
            </w:tcMar>
            <w:vAlign w:val="top"/>
          </w:tcPr>
          <w:p>
            <w:pPr>
              <w:spacing w:after="10" w:before="0"/>
            </w:pPr>
            <w:r>
              <w:rPr>
                <w:rFonts w:ascii="Helvetica" w:cs="Helvetica" w:eastAsia="Helvetica" w:hAnsi="Helvetica"/>
                <w:b/>
                <w:bCs/>
                <w:i w:val="false"/>
                <w:iCs w:val="false"/>
                <w:caps/>
                <w:color w:val="6b778c"/>
                <w:sz w:val="10"/>
                <w:szCs w:val="10"/>
              </w:rPr>
              <w:t xml:space="preserve">E-LEARNING</w:t>
            </w:r>
          </w:p>
          <w:p>
            <w:pPr>
              <w:spacing w:after="4" w:before="0"/>
            </w:pPr>
            <w:r>
              <w:rPr>
                <w:rFonts w:ascii="Arial" w:cs="Arial" w:eastAsia="Arial" w:hAnsi="Arial"/>
                <w:b/>
                <w:bCs/>
                <w:i w:val="false"/>
                <w:iCs w:val="false"/>
                <w:caps w:val="false"/>
                <w:color w:val="0e2647"/>
                <w:sz w:val="13"/>
                <w:szCs w:val="13"/>
              </w:rPr>
              <w:t xml:space="preserve">30 min per standard — free</w:t>
            </w:r>
          </w:p>
          <w:p>
            <w:pPr>
              <w:spacing w:after="36" w:before="0"/>
            </w:pPr>
            <w:hyperlink w:history="1" r:id="rIdqtvs-nb_vng8-wbhi37me">
              <w:r>
                <w:rPr>
                  <w:rFonts w:ascii="Arial" w:cs="Arial" w:eastAsia="Arial" w:hAnsi="Arial"/>
                  <w:b/>
                  <w:bCs/>
                  <w:color w:val="c9a227"/>
                  <w:sz w:val="13"/>
                  <w:szCs w:val="13"/>
                  <w:u w:val="single"/>
                </w:rPr>
                <w:t xml:space="preserve">academy.gmj.ge</w:t>
              </w:r>
            </w:hyperlink>
          </w:p>
        </w:tc>
        <w:tc>
          <w:tcPr>
            <w:tcW w:type="dxa" w:w="2340"/>
            <w:tcMar>
              <w:top w:type="dxa" w:w="40"/>
              <w:left w:type="dxa" w:w="70"/>
              <w:bottom w:type="dxa" w:w="40"/>
              <w:right w:type="dxa" w:w="75"/>
            </w:tcMar>
            <w:vAlign w:val="top"/>
          </w:tcPr>
          <w:p>
            <w:pPr>
              <w:spacing w:after="10" w:before="0"/>
            </w:pPr>
            <w:r>
              <w:rPr>
                <w:rFonts w:ascii="Helvetica" w:cs="Helvetica" w:eastAsia="Helvetica" w:hAnsi="Helvetica"/>
                <w:b/>
                <w:bCs/>
                <w:i w:val="false"/>
                <w:iCs w:val="false"/>
                <w:caps/>
                <w:color w:val="6b778c"/>
                <w:sz w:val="10"/>
                <w:szCs w:val="10"/>
              </w:rPr>
              <w:t xml:space="preserve">CITE AS</w:t>
            </w:r>
          </w:p>
          <w:p>
            <w:pPr>
              <w:spacing w:after="36" w:before="0"/>
            </w:pPr>
            <w:r>
              <w:rPr>
                <w:rFonts w:ascii="Arial" w:cs="Arial" w:eastAsia="Arial" w:hAnsi="Arial"/>
                <w:b w:val="false"/>
                <w:bCs w:val="false"/>
                <w:i w:val="false"/>
                <w:iCs w:val="false"/>
                <w:caps w:val="false"/>
                <w:color w:val="374151"/>
                <w:sz w:val="11"/>
                <w:szCs w:val="11"/>
              </w:rPr>
              <w:t xml:space="preserve">Accreditation Sans Frontieres. ASF Hospital Standards: Chapter 6 — Surgical &amp; Procedural Safety. Version 2.0. Paris: ASF; 2025.</w:t>
            </w:r>
          </w:p>
        </w:tc>
      </w:tr>
    </w:tbl>
    <w:p>
      <w:pPr>
        <w:pBdr>
          <w:top w:val="single" w:color="dce3ee" w:sz="2"/>
        </w:pBdr>
        <w:spacing w:after="0" w:before="80"/>
      </w:pPr>
      <w:r>
        <w:rPr>
          <w:rFonts w:ascii="Arial" w:cs="Arial" w:eastAsia="Arial" w:hAnsi="Arial"/>
          <w:i/>
          <w:iCs/>
          <w:color w:val="aaaaaa"/>
          <w:sz w:val="16"/>
          <w:szCs w:val="16"/>
        </w:rPr>
        <w:t xml:space="preserve">© 2025 Accréditation Sans Frontières. Open standards licence. Free non-commercial reproduction with attribution. Commercial reproduction requires written ASF permission.</w:t>
      </w:r>
    </w:p>
    <w:p>
      <w:pPr>
        <w:spacing w:after="36" w:before="32"/>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ABOUT THIS DOCUMENT</w:t>
            </w:r>
          </w:p>
        </w:tc>
      </w:tr>
    </w:tbl>
    <w:tbl>
      <w:tblPr>
        <w:tblW w:type="dxa" w:w="9360"/>
        <w:tblBorders>
          <w:top w:val="none"/>
          <w:left w:val="single" w:color="dce3ee" w:sz="4"/>
          <w:bottom w:val="none"/>
          <w:right w:val="single" w:color="dce3ee" w:sz="4"/>
          <w:insideH w:val="single" w:color="auto" w:sz="4"/>
          <w:insideV w:val="single" w:color="auto" w:sz="4"/>
        </w:tblBorders>
      </w:tblPr>
      <w:tblGrid>
        <w:gridCol w:w="4680"/>
        <w:gridCol w:w="4680"/>
      </w:tblGrid>
      <w:tr>
        <w:tc>
          <w:tcPr>
            <w:tcW w:type="dxa" w:w="4680"/>
            <w:tcMar>
              <w:top w:type="dxa" w:w="56"/>
              <w:left w:type="dxa" w:w="60"/>
              <w:bottom w:type="dxa" w:w="56"/>
              <w:right w:type="dxa" w:w="50"/>
            </w:tcMar>
            <w:vAlign w:val="top"/>
          </w:tcPr>
          <w:p>
            <w:pPr>
              <w:spacing w:after="10" w:before="0"/>
            </w:pPr>
            <w:r>
              <w:rPr>
                <w:rFonts w:ascii="Helvetica" w:cs="Helvetica" w:eastAsia="Helvetica" w:hAnsi="Helvetica"/>
                <w:b/>
                <w:bCs/>
                <w:i w:val="false"/>
                <w:iCs w:val="false"/>
                <w:caps/>
                <w:color w:val="6b778c"/>
                <w:sz w:val="11"/>
                <w:szCs w:val="11"/>
              </w:rPr>
              <w:t xml:space="preserve">PURPOSE</w:t>
            </w:r>
          </w:p>
          <w:p>
            <w:pPr>
              <w:spacing w:after="20" w:before="0"/>
            </w:pPr>
            <w:r>
              <w:rPr>
                <w:rFonts w:ascii="Arial" w:cs="Arial" w:eastAsia="Arial" w:hAnsi="Arial"/>
                <w:b w:val="false"/>
                <w:bCs w:val="false"/>
                <w:i w:val="false"/>
                <w:iCs w:val="false"/>
                <w:caps w:val="false"/>
                <w:color w:val="374151"/>
                <w:sz w:val="15"/>
                <w:szCs w:val="15"/>
              </w:rPr>
              <w:t xml:space="preserve">Ten standards for surgical and procedural safety for ASF hospital accreditation. Each standard is a complete two-page unit — Page 1 is the official assessment form; Page 2 is the guidance and learning resource with evidence, good practice examples, implementation steps, and surveyor tips. The document works standalone without any other publication.</w:t>
            </w:r>
          </w:p>
          <w:p>
            <w:pPr>
              <w:spacing w:after="10" w:before="0"/>
            </w:pPr>
            <w:r>
              <w:rPr>
                <w:rFonts w:ascii="Helvetica" w:cs="Helvetica" w:eastAsia="Helvetica" w:hAnsi="Helvetica"/>
                <w:b/>
                <w:bCs/>
                <w:i w:val="false"/>
                <w:iCs w:val="false"/>
                <w:caps/>
                <w:color w:val="6b778c"/>
                <w:sz w:val="11"/>
                <w:szCs w:val="11"/>
              </w:rPr>
              <w:t xml:space="preserve">CROSS-CUTTING CONNECTIONS</w:t>
            </w:r>
          </w:p>
          <w:p>
            <w:pPr>
              <w:spacing w:after="36" w:before="0"/>
            </w:pPr>
            <w:r>
              <w:rPr>
                <w:rFonts w:ascii="Arial" w:cs="Arial" w:eastAsia="Arial" w:hAnsi="Arial"/>
                <w:b w:val="false"/>
                <w:bCs w:val="false"/>
                <w:i w:val="false"/>
                <w:iCs w:val="false"/>
                <w:caps w:val="false"/>
                <w:color w:val="374151"/>
                <w:sz w:val="15"/>
                <w:szCs w:val="15"/>
              </w:rPr>
              <w:t xml:space="preserve">This chapter builds directly on the clinical foundations set elsewhere. Standard 6.1 (Surgical Checklist) connects to Standard 4.3 (Clinical Waste), Standard 4.4 (Decontamination), and Standard 6.3 (SSI Prevention). Standard 6.3 connects to Standard 4.10 (Antimicrobial Stewardship). Standard 6.4 (Surgical Consent) builds on Standard 2.2 (Informed Consent). Standard 6.8 (Post-Operative Care) connects directly to Standard 5.6 (Monitoring of High-Risk Patients). ASF is developing a visual cross-cutting map showing how all chapters connect — available at france-asf.fr. When completing this assessment, treat each standard as part of a system, not a standalone checklist item.</w:t>
            </w:r>
          </w:p>
        </w:tc>
        <w:tc>
          <w:tcPr>
            <w:tcW w:type="dxa" w:w="4680"/>
            <w:tcMar>
              <w:top w:type="dxa" w:w="56"/>
              <w:left w:type="dxa" w:w="50"/>
              <w:bottom w:type="dxa" w:w="56"/>
              <w:right w:type="dxa" w:w="60"/>
            </w:tcMar>
            <w:vAlign w:val="top"/>
          </w:tcPr>
          <w:p>
            <w:pPr>
              <w:spacing w:after="10" w:before="0"/>
            </w:pPr>
            <w:r>
              <w:rPr>
                <w:rFonts w:ascii="Helvetica" w:cs="Helvetica" w:eastAsia="Helvetica" w:hAnsi="Helvetica"/>
                <w:b/>
                <w:bCs/>
                <w:i w:val="false"/>
                <w:iCs w:val="false"/>
                <w:caps/>
                <w:color w:val="6b778c"/>
                <w:sz w:val="11"/>
                <w:szCs w:val="11"/>
              </w:rPr>
              <w:t xml:space="preserve">STATUS COLOURS</w:t>
            </w:r>
          </w:p>
          <w:p>
            <w:pPr>
              <w:spacing w:after="10" w:before="0"/>
            </w:pPr>
            <w:r>
              <w:rPr>
                <w:rFonts w:ascii="Arial" w:cs="Arial" w:eastAsia="Arial" w:hAnsi="Arial"/>
                <w:b/>
                <w:bCs/>
                <w:i w:val="false"/>
                <w:iCs w:val="false"/>
                <w:caps w:val="false"/>
                <w:color w:val="15803d"/>
                <w:sz w:val="14"/>
                <w:szCs w:val="14"/>
              </w:rPr>
              <w:t xml:space="preserve">YES — GREEN  </w:t>
            </w:r>
            <w:r>
              <w:rPr>
                <w:rFonts w:ascii="Arial" w:cs="Arial" w:eastAsia="Arial" w:hAnsi="Arial"/>
                <w:b w:val="false"/>
                <w:bCs w:val="false"/>
                <w:i w:val="false"/>
                <w:iCs w:val="false"/>
                <w:caps w:val="false"/>
                <w:color w:val="374151"/>
                <w:sz w:val="14"/>
                <w:szCs w:val="14"/>
              </w:rPr>
              <w:t xml:space="preserve">Fully in place, consistent, evidenced. Observable on the visit day.</w:t>
            </w:r>
          </w:p>
          <w:p>
            <w:pPr>
              <w:spacing w:after="10" w:before="0"/>
            </w:pPr>
            <w:r>
              <w:rPr>
                <w:rFonts w:ascii="Arial" w:cs="Arial" w:eastAsia="Arial" w:hAnsi="Arial"/>
                <w:b/>
                <w:bCs/>
                <w:i w:val="false"/>
                <w:iCs w:val="false"/>
                <w:caps w:val="false"/>
                <w:color w:val="92400e"/>
                <w:sz w:val="14"/>
                <w:szCs w:val="14"/>
              </w:rPr>
              <w:t xml:space="preserve">PARTIAL — AMBER  </w:t>
            </w:r>
            <w:r>
              <w:rPr>
                <w:rFonts w:ascii="Arial" w:cs="Arial" w:eastAsia="Arial" w:hAnsi="Arial"/>
                <w:b w:val="false"/>
                <w:bCs w:val="false"/>
                <w:i w:val="false"/>
                <w:iCs w:val="false"/>
                <w:caps w:val="false"/>
                <w:color w:val="374151"/>
                <w:sz w:val="14"/>
                <w:szCs w:val="14"/>
              </w:rPr>
              <w:t xml:space="preserve">Exists but incomplete or inconsistent. NOT a pass — needs an improvement plan with a deadline.</w:t>
            </w:r>
          </w:p>
          <w:p>
            <w:pPr>
              <w:spacing w:after="36" w:before="0"/>
            </w:pPr>
            <w:r>
              <w:rPr>
                <w:rFonts w:ascii="Arial" w:cs="Arial" w:eastAsia="Arial" w:hAnsi="Arial"/>
                <w:b/>
                <w:bCs/>
                <w:i w:val="false"/>
                <w:iCs w:val="false"/>
                <w:caps w:val="false"/>
                <w:color w:val="b91c1c"/>
                <w:sz w:val="14"/>
                <w:szCs w:val="14"/>
              </w:rPr>
              <w:t xml:space="preserve">NO — RED  </w:t>
            </w:r>
            <w:r>
              <w:rPr>
                <w:rFonts w:ascii="Arial" w:cs="Arial" w:eastAsia="Arial" w:hAnsi="Arial"/>
                <w:b w:val="false"/>
                <w:bCs w:val="false"/>
                <w:i w:val="false"/>
                <w:iCs w:val="false"/>
                <w:caps w:val="false"/>
                <w:color w:val="374151"/>
                <w:sz w:val="14"/>
                <w:szCs w:val="14"/>
              </w:rPr>
              <w:t xml:space="preserve">Does not exist or inadequate. For CORE standards: blocks Level 1 accreditation until fixed.</w:t>
            </w:r>
          </w:p>
          <w:p>
            <w:pPr>
              <w:spacing w:after="36" w:before="8"/>
            </w:pPr>
            <w:r>
              <w:rPr>
                <w:rFonts w:ascii="Arial" w:cs="Arial" w:eastAsia="Arial" w:hAnsi="Arial"/>
                <w:b w:val="false"/>
                <w:bCs w:val="false"/>
                <w:i w:val="false"/>
                <w:iCs w:val="false"/>
                <w:caps w:val="false"/>
                <w:color w:val="374151"/>
                <w:sz w:val="18"/>
                <w:szCs w:val="18"/>
              </w:rPr>
              <w:t xml:space="preserve"/>
            </w:r>
          </w:p>
          <w:p>
            <w:pPr>
              <w:spacing w:after="10" w:before="0"/>
            </w:pPr>
            <w:r>
              <w:rPr>
                <w:rFonts w:ascii="Helvetica" w:cs="Helvetica" w:eastAsia="Helvetica" w:hAnsi="Helvetica"/>
                <w:b/>
                <w:bCs/>
                <w:i w:val="false"/>
                <w:iCs w:val="false"/>
                <w:caps/>
                <w:color w:val="6b778c"/>
                <w:sz w:val="11"/>
                <w:szCs w:val="11"/>
              </w:rPr>
              <w:t xml:space="preserve">HOW TO USE — FIVE STEPS</w:t>
            </w:r>
          </w:p>
          <w:p>
            <w:pPr>
              <w:spacing w:after="8" w:before="0"/>
            </w:pPr>
            <w:r>
              <w:rPr>
                <w:rFonts w:ascii="Arial" w:cs="Arial" w:eastAsia="Arial" w:hAnsi="Arial"/>
                <w:b/>
                <w:bCs/>
                <w:i w:val="false"/>
                <w:iCs w:val="false"/>
                <w:caps w:val="false"/>
                <w:color w:val="c9a227"/>
                <w:sz w:val="13"/>
                <w:szCs w:val="13"/>
              </w:rPr>
              <w:t xml:space="preserve">1  </w:t>
            </w:r>
            <w:r>
              <w:rPr>
                <w:rFonts w:ascii="Arial" w:cs="Arial" w:eastAsia="Arial" w:hAnsi="Arial"/>
                <w:b w:val="false"/>
                <w:bCs w:val="false"/>
                <w:i w:val="false"/>
                <w:iCs w:val="false"/>
                <w:caps w:val="false"/>
                <w:color w:val="374151"/>
                <w:sz w:val="14"/>
                <w:szCs w:val="14"/>
              </w:rPr>
              <w:t xml:space="preserve">Read this page first.</w:t>
            </w:r>
          </w:p>
          <w:p>
            <w:pPr>
              <w:spacing w:after="8" w:before="0"/>
            </w:pPr>
            <w:r>
              <w:rPr>
                <w:rFonts w:ascii="Arial" w:cs="Arial" w:eastAsia="Arial" w:hAnsi="Arial"/>
                <w:b/>
                <w:bCs/>
                <w:i w:val="false"/>
                <w:iCs w:val="false"/>
                <w:caps w:val="false"/>
                <w:color w:val="c9a227"/>
                <w:sz w:val="13"/>
                <w:szCs w:val="13"/>
              </w:rPr>
              <w:t xml:space="preserve">2  </w:t>
            </w:r>
            <w:r>
              <w:rPr>
                <w:rFonts w:ascii="Arial" w:cs="Arial" w:eastAsia="Arial" w:hAnsi="Arial"/>
                <w:b w:val="false"/>
                <w:bCs w:val="false"/>
                <w:i w:val="false"/>
                <w:iCs w:val="false"/>
                <w:caps w:val="false"/>
                <w:color w:val="374151"/>
                <w:sz w:val="14"/>
                <w:szCs w:val="14"/>
              </w:rPr>
              <w:t xml:space="preserve">Complete Page 1 self-assessment for each standard. Be honest.</w:t>
            </w:r>
          </w:p>
          <w:p>
            <w:pPr>
              <w:spacing w:after="8" w:before="0"/>
            </w:pPr>
            <w:r>
              <w:rPr>
                <w:rFonts w:ascii="Arial" w:cs="Arial" w:eastAsia="Arial" w:hAnsi="Arial"/>
                <w:b/>
                <w:bCs/>
                <w:i w:val="false"/>
                <w:iCs w:val="false"/>
                <w:caps w:val="false"/>
                <w:color w:val="c9a227"/>
                <w:sz w:val="13"/>
                <w:szCs w:val="13"/>
              </w:rPr>
              <w:t xml:space="preserve">3  </w:t>
            </w:r>
            <w:r>
              <w:rPr>
                <w:rFonts w:ascii="Arial" w:cs="Arial" w:eastAsia="Arial" w:hAnsi="Arial"/>
                <w:b w:val="false"/>
                <w:bCs w:val="false"/>
                <w:i w:val="false"/>
                <w:iCs w:val="false"/>
                <w:caps w:val="false"/>
                <w:color w:val="374151"/>
                <w:sz w:val="14"/>
                <w:szCs w:val="14"/>
              </w:rPr>
              <w:t xml:space="preserve">Do not understand a standard? Read Page 2.</w:t>
            </w:r>
          </w:p>
          <w:p>
            <w:pPr>
              <w:spacing w:after="8" w:before="0"/>
            </w:pPr>
            <w:r>
              <w:rPr>
                <w:rFonts w:ascii="Arial" w:cs="Arial" w:eastAsia="Arial" w:hAnsi="Arial"/>
                <w:b/>
                <w:bCs/>
                <w:i w:val="false"/>
                <w:iCs w:val="false"/>
                <w:caps w:val="false"/>
                <w:color w:val="c9a227"/>
                <w:sz w:val="13"/>
                <w:szCs w:val="13"/>
              </w:rPr>
              <w:t xml:space="preserve">4  </w:t>
            </w:r>
            <w:r>
              <w:rPr>
                <w:rFonts w:ascii="Arial" w:cs="Arial" w:eastAsia="Arial" w:hAnsi="Arial"/>
                <w:b w:val="false"/>
                <w:bCs w:val="false"/>
                <w:i w:val="false"/>
                <w:iCs w:val="false"/>
                <w:caps w:val="false"/>
                <w:color w:val="374151"/>
                <w:sz w:val="14"/>
                <w:szCs w:val="14"/>
              </w:rPr>
              <w:t xml:space="preserve">PARTIAL or NO? Write an improvement plan on Page 1.</w:t>
            </w:r>
          </w:p>
          <w:p>
            <w:pPr>
              <w:spacing w:after="36" w:before="0"/>
            </w:pPr>
            <w:r>
              <w:rPr>
                <w:rFonts w:ascii="Arial" w:cs="Arial" w:eastAsia="Arial" w:hAnsi="Arial"/>
                <w:b/>
                <w:bCs/>
                <w:i w:val="false"/>
                <w:iCs w:val="false"/>
                <w:caps w:val="false"/>
                <w:color w:val="c9a227"/>
                <w:sz w:val="13"/>
                <w:szCs w:val="13"/>
              </w:rPr>
              <w:t xml:space="preserve">5  </w:t>
            </w:r>
            <w:r>
              <w:rPr>
                <w:rFonts w:ascii="Arial" w:cs="Arial" w:eastAsia="Arial" w:hAnsi="Arial"/>
                <w:b w:val="false"/>
                <w:bCs w:val="false"/>
                <w:i w:val="false"/>
                <w:iCs w:val="false"/>
                <w:caps w:val="false"/>
                <w:color w:val="374151"/>
                <w:sz w:val="14"/>
                <w:szCs w:val="14"/>
              </w:rPr>
              <w:t xml:space="preserve">Deep learning: 30-min e-learning per standard at academy.gmj.ge.</w:t>
            </w:r>
          </w:p>
          <w:p>
            <w:pPr>
              <w:spacing w:after="36" w:before="8"/>
            </w:pPr>
            <w:r>
              <w:rPr>
                <w:rFonts w:ascii="Arial" w:cs="Arial" w:eastAsia="Arial" w:hAnsi="Arial"/>
                <w:b w:val="false"/>
                <w:bCs w:val="false"/>
                <w:i w:val="false"/>
                <w:iCs w:val="false"/>
                <w:caps w:val="false"/>
                <w:color w:val="374151"/>
                <w:sz w:val="18"/>
                <w:szCs w:val="18"/>
              </w:rPr>
              <w:t xml:space="preserve"/>
            </w:r>
          </w:p>
          <w:p>
            <w:pPr>
              <w:spacing w:after="10" w:before="0"/>
            </w:pPr>
            <w:r>
              <w:rPr>
                <w:rFonts w:ascii="Helvetica" w:cs="Helvetica" w:eastAsia="Helvetica" w:hAnsi="Helvetica"/>
                <w:b/>
                <w:bCs/>
                <w:i w:val="false"/>
                <w:iCs w:val="false"/>
                <w:caps/>
                <w:color w:val="6b778c"/>
                <w:sz w:val="11"/>
                <w:szCs w:val="11"/>
              </w:rPr>
              <w:t xml:space="preserve">ADVISORY SUPPORT</w:t>
            </w:r>
          </w:p>
          <w:p>
            <w:pPr>
              <w:spacing w:after="4" w:before="0"/>
            </w:pPr>
            <w:r>
              <w:rPr>
                <w:rFonts w:ascii="Arial" w:cs="Arial" w:eastAsia="Arial" w:hAnsi="Arial"/>
                <w:b w:val="false"/>
                <w:bCs w:val="false"/>
                <w:i w:val="false"/>
                <w:iCs w:val="false"/>
                <w:caps w:val="false"/>
                <w:color w:val="374151"/>
                <w:sz w:val="14"/>
                <w:szCs w:val="14"/>
              </w:rPr>
              <w:t xml:space="preserve">ASF advisers help at any stage — before self-assessment, before the survey, or when any standard is unclear.</w:t>
            </w:r>
          </w:p>
          <w:p>
            <w:pPr>
              <w:spacing w:after="36" w:before="0"/>
            </w:pPr>
            <w:hyperlink w:history="1" r:id="rIdtfyoot8bimjkztddghget">
              <w:r>
                <w:rPr>
                  <w:rFonts w:ascii="Arial" w:cs="Arial" w:eastAsia="Arial" w:hAnsi="Arial"/>
                  <w:b/>
                  <w:bCs/>
                  <w:color w:val="c9a227"/>
                  <w:sz w:val="13"/>
                  <w:szCs w:val="13"/>
                  <w:u w:val="single"/>
                </w:rPr>
                <w:t xml:space="preserve">info@france-asf.fr</w:t>
              </w:r>
            </w:hyperlink>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7700"/>
        <w:gridCol w:w="1660"/>
      </w:tblGrid>
      <w:tr>
        <w:tc>
          <w:tcPr>
            <w:tcW w:type="dxa" w:w="7700"/>
            <w:shd w:fill="0e2647" w:color="auto" w:val="clear"/>
            <w:tcMar>
              <w:top w:type="dxa" w:w="60"/>
              <w:left w:type="dxa" w:w="150"/>
              <w:bottom w:type="dxa" w:w="60"/>
              <w:right w:type="dxa" w:w="75"/>
            </w:tcMar>
            <w:vAlign w:val="top"/>
          </w:tcPr>
          <w:p>
            <w:pPr>
              <w:spacing w:after="36" w:before="0"/>
            </w:pPr>
            <w:r>
              <w:rPr>
                <w:rFonts w:ascii="Helvetica" w:cs="Helvetica" w:eastAsia="Helvetica" w:hAnsi="Helvetica"/>
                <w:b/>
                <w:bCs/>
                <w:i w:val="false"/>
                <w:iCs w:val="false"/>
                <w:caps/>
                <w:color w:val="c9a227"/>
                <w:spacing w:val="30"/>
                <w:sz w:val="13"/>
                <w:szCs w:val="13"/>
              </w:rPr>
              <w:t xml:space="preserve">CHAPTER 6: SURGICAL &amp; PROCEDURAL SAFETY</w:t>
            </w:r>
          </w:p>
        </w:tc>
        <w:tc>
          <w:tcPr>
            <w:tcW w:type="dxa" w:w="1660"/>
            <w:shd w:fill="0e2647" w:color="auto" w:val="clear"/>
            <w:tcMar>
              <w:top w:type="dxa" w:w="50"/>
              <w:left w:type="dxa" w:w="70"/>
              <w:bottom w:type="dxa" w:w="50"/>
              <w:right w:type="dxa" w:w="75"/>
            </w:tcMar>
            <w:vAlign w:val="top"/>
          </w:tcPr>
          <w:p>
            <w:pPr>
              <w:spacing w:after="3" w:before="0"/>
            </w:pPr>
            <w:r>
              <w:rPr>
                <w:rFonts w:ascii="Arial" w:cs="Arial" w:eastAsia="Arial" w:hAnsi="Arial"/>
                <w:b w:val="false"/>
                <w:bCs w:val="false"/>
                <w:i/>
                <w:iCs/>
                <w:caps w:val="false"/>
                <w:color w:val="6b778c"/>
                <w:sz w:val="11"/>
                <w:szCs w:val="11"/>
              </w:rPr>
              <w:t xml:space="preserve">Table of Contents —</w:t>
            </w:r>
          </w:p>
          <w:p>
            <w:pPr>
              <w:spacing w:after="36" w:before="0"/>
            </w:pPr>
            <w:r>
              <w:rPr>
                <w:rFonts w:ascii="Arial" w:cs="Arial" w:eastAsia="Arial" w:hAnsi="Arial"/>
                <w:b w:val="false"/>
                <w:bCs w:val="false"/>
                <w:i/>
                <w:iCs/>
                <w:caps w:val="false"/>
                <w:color w:val="6b778c"/>
                <w:sz w:val="11"/>
                <w:szCs w:val="11"/>
              </w:rPr>
              <w:t xml:space="preserve">Version 2.0</w:t>
            </w:r>
          </w:p>
        </w:tc>
      </w:tr>
    </w:tbl>
    <w:p>
      <w:pPr>
        <w:spacing w:after="36" w:before="30"/>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TABLE OF CONTENTS</w:t>
            </w:r>
          </w:p>
        </w:tc>
      </w:tr>
    </w:tbl>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700"/>
        <w:gridCol w:w="5460"/>
        <w:gridCol w:w="2200"/>
        <w:gridCol w:w="1000"/>
      </w:tblGrid>
      <w:tr>
        <w:tc>
          <w:tcPr>
            <w:tcW w:type="dxa" w:w="700"/>
            <w:shd w:fill="f3f4f6" w:color="auto" w:val="clear"/>
            <w:tcMar>
              <w:top w:type="dxa" w:w="16"/>
              <w:left w:type="dxa" w:w="40"/>
              <w:bottom w:type="dxa" w:w="1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STD</w:t>
            </w:r>
          </w:p>
        </w:tc>
        <w:tc>
          <w:tcPr>
            <w:tcW w:type="dxa" w:w="5460"/>
            <w:shd w:fill="f3f4f6" w:color="auto" w:val="clear"/>
            <w:tcMar>
              <w:top w:type="dxa" w:w="16"/>
              <w:left w:type="dxa" w:w="60"/>
              <w:bottom w:type="dxa" w:w="16"/>
              <w:right w:type="dxa" w:w="75"/>
            </w:tcMar>
            <w:vAlign w:val="top"/>
          </w:tcPr>
          <w:p>
            <w:pPr>
              <w:spacing w:after="36" w:before="0"/>
            </w:pPr>
            <w:r>
              <w:rPr>
                <w:rFonts w:ascii="Helvetica" w:cs="Helvetica" w:eastAsia="Helvetica" w:hAnsi="Helvetica"/>
                <w:b/>
                <w:bCs/>
                <w:i/>
                <w:iCs/>
                <w:caps/>
                <w:color w:val="6b778c"/>
                <w:sz w:val="10"/>
                <w:szCs w:val="10"/>
              </w:rPr>
              <w:t xml:space="preserve">STANDARD TITLE  and one-line description of what it covers</w:t>
            </w:r>
          </w:p>
        </w:tc>
        <w:tc>
          <w:tcPr>
            <w:tcW w:type="dxa" w:w="2200"/>
            <w:shd w:fill="f3f4f6" w:color="auto" w:val="clear"/>
            <w:tcMar>
              <w:top w:type="dxa" w:w="16"/>
              <w:left w:type="dxa" w:w="60"/>
              <w:bottom w:type="dxa" w:w="16"/>
              <w:right w:type="dxa" w:w="75"/>
            </w:tcMar>
            <w:vAlign w:val="top"/>
          </w:tcPr>
          <w:p>
            <w:pPr>
              <w:spacing w:after="36" w:before="0"/>
            </w:pPr>
            <w:r>
              <w:rPr>
                <w:rFonts w:ascii="Helvetica" w:cs="Helvetica" w:eastAsia="Helvetica" w:hAnsi="Helvetica"/>
                <w:b/>
                <w:bCs/>
                <w:i/>
                <w:iCs/>
                <w:caps/>
                <w:color w:val="6b778c"/>
                <w:sz w:val="10"/>
                <w:szCs w:val="10"/>
              </w:rPr>
              <w:t xml:space="preserve">REQUIREMENT — who must meet this standard</w:t>
            </w:r>
          </w:p>
        </w:tc>
        <w:tc>
          <w:tcPr>
            <w:tcW w:type="dxa" w:w="1000"/>
            <w:shd w:fill="f3f4f6" w:color="auto" w:val="clear"/>
            <w:tcMar>
              <w:top w:type="dxa" w:w="16"/>
              <w:left w:type="dxa" w:w="40"/>
              <w:bottom w:type="dxa" w:w="1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PAGE</w:t>
            </w:r>
          </w:p>
        </w:tc>
      </w:tr>
      <w:tr>
        <w:tc>
          <w:tcPr>
            <w:tcW w:type="dxa" w:w="9360"/>
            <w:gridSpan w:val="4"/>
            <w:shd w:fill="0e2647" w:color="auto" w:val="clear"/>
            <w:tcMar>
              <w:top w:type="dxa" w:w="20"/>
              <w:left w:type="dxa" w:w="60"/>
              <w:bottom w:type="dxa" w:w="20"/>
              <w:right w:type="dxa" w:w="60"/>
            </w:tcMar>
          </w:tcPr>
          <w:p>
            <w:pPr>
              <w:spacing w:after="36" w:before="0"/>
            </w:pPr>
            <w:r>
              <w:rPr>
                <w:rFonts w:ascii="Helvetica" w:cs="Helvetica" w:eastAsia="Helvetica" w:hAnsi="Helvetica"/>
                <w:b/>
                <w:bCs/>
                <w:i w:val="false"/>
                <w:iCs w:val="false"/>
                <w:caps/>
                <w:color w:val="c9a227"/>
                <w:sz w:val="11"/>
                <w:szCs w:val="11"/>
              </w:rPr>
              <w:t xml:space="preserve">INTRODUCTION</w:t>
            </w:r>
          </w:p>
        </w:tc>
      </w:tr>
      <w:tr>
        <w:tc>
          <w:tcPr>
            <w:tcW w:type="dxa" w:w="700"/>
            <w:tcMar>
              <w:top w:type="dxa" w:w="20"/>
              <w:left w:type="dxa" w:w="4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w:t>
            </w:r>
          </w:p>
        </w:tc>
        <w:tc>
          <w:tcPr>
            <w:tcW w:type="dxa" w:w="546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14335c"/>
                <w:sz w:val="13"/>
                <w:szCs w:val="13"/>
              </w:rPr>
              <w:t xml:space="preserve">Title, Publisher, Citation, Copyright, Executive Summary, Cross-Cutting Note</w:t>
            </w:r>
          </w:p>
        </w:tc>
        <w:tc>
          <w:tcPr>
            <w:tcW w:type="dxa" w:w="220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
            </w:r>
          </w:p>
        </w:tc>
        <w:tc>
          <w:tcPr>
            <w:tcW w:type="dxa" w:w="1000"/>
            <w:tcMar>
              <w:top w:type="dxa" w:w="20"/>
              <w:left w:type="dxa" w:w="40"/>
              <w:bottom w:type="dxa" w:w="20"/>
              <w:right w:type="dxa" w:w="75"/>
            </w:tcMar>
            <w:vAlign w:val="top"/>
          </w:tcPr>
          <w:p>
            <w:pPr>
              <w:spacing w:after="36" w:before="0"/>
            </w:pPr>
            <w:r>
              <w:rPr>
                <w:rFonts w:ascii="Arial" w:cs="Arial" w:eastAsia="Arial" w:hAnsi="Arial"/>
                <w:b w:val="false"/>
                <w:bCs w:val="false"/>
                <w:i/>
                <w:iCs/>
                <w:caps w:val="false"/>
                <w:color w:val="6b778c"/>
                <w:sz w:val="12"/>
                <w:szCs w:val="12"/>
              </w:rPr>
              <w:t xml:space="preserve">1</w:t>
            </w:r>
          </w:p>
        </w:tc>
      </w:tr>
      <w:tr>
        <w:tc>
          <w:tcPr>
            <w:tcW w:type="dxa" w:w="700"/>
            <w:tcMar>
              <w:top w:type="dxa" w:w="20"/>
              <w:left w:type="dxa" w:w="4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w:t>
            </w:r>
          </w:p>
        </w:tc>
        <w:tc>
          <w:tcPr>
            <w:tcW w:type="dxa" w:w="546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14335c"/>
                <w:sz w:val="13"/>
                <w:szCs w:val="13"/>
              </w:rPr>
              <w:t xml:space="preserve">Table of Contents — all 10 standards described</w:t>
            </w:r>
          </w:p>
        </w:tc>
        <w:tc>
          <w:tcPr>
            <w:tcW w:type="dxa" w:w="220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
            </w:r>
          </w:p>
        </w:tc>
        <w:tc>
          <w:tcPr>
            <w:tcW w:type="dxa" w:w="1000"/>
            <w:tcMar>
              <w:top w:type="dxa" w:w="20"/>
              <w:left w:type="dxa" w:w="40"/>
              <w:bottom w:type="dxa" w:w="20"/>
              <w:right w:type="dxa" w:w="75"/>
            </w:tcMar>
            <w:vAlign w:val="top"/>
          </w:tcPr>
          <w:p>
            <w:pPr>
              <w:spacing w:after="36" w:before="0"/>
            </w:pPr>
            <w:r>
              <w:rPr>
                <w:rFonts w:ascii="Arial" w:cs="Arial" w:eastAsia="Arial" w:hAnsi="Arial"/>
                <w:b w:val="false"/>
                <w:bCs w:val="false"/>
                <w:i/>
                <w:iCs/>
                <w:caps w:val="false"/>
                <w:color w:val="6b778c"/>
                <w:sz w:val="12"/>
                <w:szCs w:val="12"/>
              </w:rPr>
              <w:t xml:space="preserve">2</w:t>
            </w:r>
          </w:p>
        </w:tc>
      </w:tr>
      <w:tr>
        <w:tc>
          <w:tcPr>
            <w:tcW w:type="dxa" w:w="9360"/>
            <w:gridSpan w:val="4"/>
            <w:shd w:fill="0e2647" w:color="auto" w:val="clear"/>
            <w:tcMar>
              <w:top w:type="dxa" w:w="20"/>
              <w:left w:type="dxa" w:w="60"/>
              <w:bottom w:type="dxa" w:w="20"/>
              <w:right w:type="dxa" w:w="60"/>
            </w:tcMar>
          </w:tcPr>
          <w:p>
            <w:pPr>
              <w:spacing w:after="36" w:before="0"/>
            </w:pPr>
            <w:r>
              <w:rPr>
                <w:rFonts w:ascii="Helvetica" w:cs="Helvetica" w:eastAsia="Helvetica" w:hAnsi="Helvetica"/>
                <w:b/>
                <w:bCs/>
                <w:i w:val="false"/>
                <w:iCs w:val="false"/>
                <w:caps/>
                <w:color w:val="c9a227"/>
                <w:sz w:val="11"/>
                <w:szCs w:val="11"/>
              </w:rPr>
              <w:t xml:space="preserve">LEVEL 1 — FOUNDATION  |  Standards 6.1 to 6.5</w:t>
            </w:r>
          </w:p>
        </w:tc>
      </w:tr>
      <w:tr>
        <w:tc>
          <w:tcPr>
            <w:tcW w:type="dxa" w:w="9360"/>
            <w:gridSpan w:val="4"/>
            <w:shd w:fill="d1fae5" w:color="auto" w:val="clear"/>
            <w:tcMar>
              <w:top w:type="dxa" w:w="24"/>
              <w:left w:type="dxa" w:w="60"/>
              <w:bottom w:type="dxa" w:w="24"/>
              <w:right w:type="dxa" w:w="60"/>
            </w:tcMar>
          </w:tcPr>
          <w:p>
            <w:pPr>
              <w:spacing w:after="36" w:before="0"/>
            </w:pPr>
            <w:r>
              <w:rPr>
                <w:rFonts w:ascii="Arial" w:cs="Arial" w:eastAsia="Arial" w:hAnsi="Arial"/>
                <w:b/>
                <w:bCs/>
                <w:i w:val="false"/>
                <w:iCs w:val="false"/>
                <w:caps w:val="false"/>
                <w:color w:val="15803d"/>
                <w:sz w:val="12"/>
                <w:szCs w:val="12"/>
              </w:rPr>
              <w:t xml:space="preserve">What this level means:  </w:t>
            </w:r>
            <w:r>
              <w:rPr>
                <w:rFonts w:ascii="Arial" w:cs="Arial" w:eastAsia="Arial" w:hAnsi="Arial"/>
                <w:b w:val="false"/>
                <w:bCs w:val="false"/>
                <w:i w:val="false"/>
                <w:iCs w:val="false"/>
                <w:caps w:val="false"/>
                <w:color w:val="374151"/>
                <w:sz w:val="12"/>
                <w:szCs w:val="12"/>
              </w:rPr>
              <w:t xml:space="preserve">These are the non-negotiable minimum requirements. Any facility performing surgery must fully meet all five. Standards 6.1, 6.2, and 6.3 are marked CORE — a NO finding on any of these three blocks accreditation until the gap is resolved. No exceptions.</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6.1</w:t>
            </w:r>
          </w:p>
        </w:tc>
        <w:tc>
          <w:tcPr>
            <w:tcW w:type="dxa" w:w="5460"/>
            <w:shd w:fill="fee2e2"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WHO Surgical Safety Checklist</w:t>
            </w:r>
          </w:p>
          <w:p>
            <w:pPr>
              <w:spacing w:after="36" w:before="0"/>
            </w:pPr>
            <w:r>
              <w:rPr>
                <w:rFonts w:ascii="Arial" w:cs="Arial" w:eastAsia="Arial" w:hAnsi="Arial"/>
                <w:b w:val="false"/>
                <w:bCs w:val="false"/>
                <w:i/>
                <w:iCs/>
                <w:caps w:val="false"/>
                <w:color w:val="4b5563"/>
                <w:sz w:val="12"/>
                <w:szCs w:val="12"/>
              </w:rPr>
              <w:t xml:space="preserve">The hospital uses the WHO Surgical Safety Checklist, or an equivalent structured checklist, for every surgical procedure, with all three phases completed and verbally confirmed by the team.</w:t>
            </w:r>
          </w:p>
        </w:tc>
        <w:tc>
          <w:tcPr>
            <w:tcW w:type="dxa" w:w="2200"/>
            <w:shd w:fill="fee2e2"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b91c1c"/>
                <w:sz w:val="11"/>
                <w:szCs w:val="11"/>
              </w:rPr>
              <w:t xml:space="preserve">CORE  ·  Required for ALL facilities</w:t>
            </w:r>
          </w:p>
        </w:tc>
        <w:tc>
          <w:tcPr>
            <w:tcW w:type="dxa" w:w="1000"/>
            <w:shd w:fill="fee2e2"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3</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6.2</w:t>
            </w:r>
          </w:p>
        </w:tc>
        <w:tc>
          <w:tcPr>
            <w:tcW w:type="dxa" w:w="5460"/>
            <w:shd w:fill="fee2e2"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Anaesthesia Safety Standards</w:t>
            </w:r>
          </w:p>
          <w:p>
            <w:pPr>
              <w:spacing w:after="36" w:before="0"/>
            </w:pPr>
            <w:r>
              <w:rPr>
                <w:rFonts w:ascii="Arial" w:cs="Arial" w:eastAsia="Arial" w:hAnsi="Arial"/>
                <w:b w:val="false"/>
                <w:bCs w:val="false"/>
                <w:i/>
                <w:iCs/>
                <w:caps w:val="false"/>
                <w:color w:val="4b5563"/>
                <w:sz w:val="12"/>
                <w:szCs w:val="12"/>
              </w:rPr>
              <w:t xml:space="preserve">The hospital has documented anaesthesia safety standards, including a pre-anaesthetic assessment, continuous intraoperative monitoring, and a defined recovery protocol for every patient receiving anaesthesia.</w:t>
            </w:r>
          </w:p>
        </w:tc>
        <w:tc>
          <w:tcPr>
            <w:tcW w:type="dxa" w:w="2200"/>
            <w:shd w:fill="fee2e2"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b91c1c"/>
                <w:sz w:val="11"/>
                <w:szCs w:val="11"/>
              </w:rPr>
              <w:t xml:space="preserve">CORE  ·  Required for ALL facilities</w:t>
            </w:r>
          </w:p>
        </w:tc>
        <w:tc>
          <w:tcPr>
            <w:tcW w:type="dxa" w:w="1000"/>
            <w:shd w:fill="fee2e2"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5</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6.3</w:t>
            </w:r>
          </w:p>
        </w:tc>
        <w:tc>
          <w:tcPr>
            <w:tcW w:type="dxa" w:w="5460"/>
            <w:shd w:fill="fee2e2"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Surgical Site Infection Prevention</w:t>
            </w:r>
          </w:p>
          <w:p>
            <w:pPr>
              <w:spacing w:after="36" w:before="0"/>
            </w:pPr>
            <w:r>
              <w:rPr>
                <w:rFonts w:ascii="Arial" w:cs="Arial" w:eastAsia="Arial" w:hAnsi="Arial"/>
                <w:b w:val="false"/>
                <w:bCs w:val="false"/>
                <w:i/>
                <w:iCs/>
                <w:caps w:val="false"/>
                <w:color w:val="4b5563"/>
                <w:sz w:val="12"/>
                <w:szCs w:val="12"/>
              </w:rPr>
              <w:t xml:space="preserve">The hospital follows evidence-based practices to prevent surgical site infection, including appropriate antibiotic prophylaxis timing, skin preparation, and normothermia, with surveillance of infection rates.</w:t>
            </w:r>
          </w:p>
        </w:tc>
        <w:tc>
          <w:tcPr>
            <w:tcW w:type="dxa" w:w="2200"/>
            <w:shd w:fill="fee2e2"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b91c1c"/>
                <w:sz w:val="11"/>
                <w:szCs w:val="11"/>
              </w:rPr>
              <w:t xml:space="preserve">CORE  ·  Required for ALL facilities</w:t>
            </w:r>
          </w:p>
        </w:tc>
        <w:tc>
          <w:tcPr>
            <w:tcW w:type="dxa" w:w="1000"/>
            <w:shd w:fill="fee2e2"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7</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6.4</w:t>
            </w:r>
          </w:p>
        </w:tc>
        <w:tc>
          <w:tcPr>
            <w:tcW w:type="dxa" w:w="5460"/>
            <w:shd w:fill="d1fae5"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Informed Consent for Surgical Procedures</w:t>
            </w:r>
          </w:p>
          <w:p>
            <w:pPr>
              <w:spacing w:after="36" w:before="0"/>
            </w:pPr>
            <w:r>
              <w:rPr>
                <w:rFonts w:ascii="Arial" w:cs="Arial" w:eastAsia="Arial" w:hAnsi="Arial"/>
                <w:b w:val="false"/>
                <w:bCs w:val="false"/>
                <w:i/>
                <w:iCs/>
                <w:caps w:val="false"/>
                <w:color w:val="4b5563"/>
                <w:sz w:val="12"/>
                <w:szCs w:val="12"/>
              </w:rPr>
              <w:t xml:space="preserve">Every surgical patient provides documented informed consent specific to the planned procedure, including risks, alternatives, and the right to refuse, obtained by a qualified member of the surgical team.</w:t>
            </w:r>
          </w:p>
        </w:tc>
        <w:tc>
          <w:tcPr>
            <w:tcW w:type="dxa" w:w="2200"/>
            <w:shd w:fill="d1fae5"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15803d"/>
                <w:sz w:val="11"/>
                <w:szCs w:val="11"/>
              </w:rPr>
              <w:t xml:space="preserve">Required for ALL facilities</w:t>
            </w:r>
          </w:p>
        </w:tc>
        <w:tc>
          <w:tcPr>
            <w:tcW w:type="dxa" w:w="1000"/>
            <w:shd w:fill="d1fae5"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9</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6.5</w:t>
            </w:r>
          </w:p>
        </w:tc>
        <w:tc>
          <w:tcPr>
            <w:tcW w:type="dxa" w:w="5460"/>
            <w:shd w:fill="d1fae5"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Instrument Counts and Retained Items Prevention</w:t>
            </w:r>
          </w:p>
          <w:p>
            <w:pPr>
              <w:spacing w:after="36" w:before="0"/>
            </w:pPr>
            <w:r>
              <w:rPr>
                <w:rFonts w:ascii="Arial" w:cs="Arial" w:eastAsia="Arial" w:hAnsi="Arial"/>
                <w:b w:val="false"/>
                <w:bCs w:val="false"/>
                <w:i/>
                <w:iCs/>
                <w:caps w:val="false"/>
                <w:color w:val="4b5563"/>
                <w:sz w:val="12"/>
                <w:szCs w:val="12"/>
              </w:rPr>
              <w:t xml:space="preserve">The hospital performs and documents a structured count of instruments, sponges, and sharps before and after every surgical procedure, with a defined process for resolving count discrepancies.</w:t>
            </w:r>
          </w:p>
        </w:tc>
        <w:tc>
          <w:tcPr>
            <w:tcW w:type="dxa" w:w="2200"/>
            <w:shd w:fill="d1fae5"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15803d"/>
                <w:sz w:val="11"/>
                <w:szCs w:val="11"/>
              </w:rPr>
              <w:t xml:space="preserve">Required for ALL facilities</w:t>
            </w:r>
          </w:p>
        </w:tc>
        <w:tc>
          <w:tcPr>
            <w:tcW w:type="dxa" w:w="1000"/>
            <w:shd w:fill="d1fae5"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11</w:t>
            </w:r>
          </w:p>
        </w:tc>
      </w:tr>
      <w:tr>
        <w:tc>
          <w:tcPr>
            <w:tcW w:type="dxa" w:w="9360"/>
            <w:gridSpan w:val="4"/>
            <w:shd w:fill="0e2647" w:color="auto" w:val="clear"/>
            <w:tcMar>
              <w:top w:type="dxa" w:w="20"/>
              <w:left w:type="dxa" w:w="60"/>
              <w:bottom w:type="dxa" w:w="20"/>
              <w:right w:type="dxa" w:w="60"/>
            </w:tcMar>
          </w:tcPr>
          <w:p>
            <w:pPr>
              <w:spacing w:after="36" w:before="0"/>
            </w:pPr>
            <w:r>
              <w:rPr>
                <w:rFonts w:ascii="Helvetica" w:cs="Helvetica" w:eastAsia="Helvetica" w:hAnsi="Helvetica"/>
                <w:b/>
                <w:bCs/>
                <w:i w:val="false"/>
                <w:iCs w:val="false"/>
                <w:caps/>
                <w:color w:val="c9a227"/>
                <w:sz w:val="11"/>
                <w:szCs w:val="11"/>
              </w:rPr>
              <w:t xml:space="preserve">LEVEL 2 — ACCREDITED  |  Standards 6.6 to 6.8</w:t>
            </w:r>
          </w:p>
        </w:tc>
      </w:tr>
      <w:tr>
        <w:tc>
          <w:tcPr>
            <w:tcW w:type="dxa" w:w="9360"/>
            <w:gridSpan w:val="4"/>
            <w:shd w:fill="fef3c7" w:color="auto" w:val="clear"/>
            <w:tcMar>
              <w:top w:type="dxa" w:w="24"/>
              <w:left w:type="dxa" w:w="60"/>
              <w:bottom w:type="dxa" w:w="24"/>
              <w:right w:type="dxa" w:w="60"/>
            </w:tcMar>
          </w:tcPr>
          <w:p>
            <w:pPr>
              <w:spacing w:after="36" w:before="0"/>
            </w:pPr>
            <w:r>
              <w:rPr>
                <w:rFonts w:ascii="Arial" w:cs="Arial" w:eastAsia="Arial" w:hAnsi="Arial"/>
                <w:b/>
                <w:bCs/>
                <w:i w:val="false"/>
                <w:iCs w:val="false"/>
                <w:caps w:val="false"/>
                <w:color w:val="92400e"/>
                <w:sz w:val="12"/>
                <w:szCs w:val="12"/>
              </w:rPr>
              <w:t xml:space="preserve">What this level means:  </w:t>
            </w:r>
            <w:r>
              <w:rPr>
                <w:rFonts w:ascii="Arial" w:cs="Arial" w:eastAsia="Arial" w:hAnsi="Arial"/>
                <w:b w:val="false"/>
                <w:bCs w:val="false"/>
                <w:i w:val="false"/>
                <w:iCs w:val="false"/>
                <w:caps w:val="false"/>
                <w:color w:val="374151"/>
                <w:sz w:val="12"/>
                <w:szCs w:val="12"/>
              </w:rPr>
              <w:t xml:space="preserve">A facility meeting Foundation standards runs safe, checklist-driven surgery with sound consent and counting practice. An Accredited facility actively maintains its theatre environment and equipment, manages blood products safely, and monitors post-operative patients with the same rigour it applies in the operating room. These are the marks of a facility that treats surgical safety as continuous, not confined to the time inside theatre.</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6.6</w:t>
            </w:r>
          </w:p>
        </w:tc>
        <w:tc>
          <w:tcPr>
            <w:tcW w:type="dxa" w:w="5460"/>
            <w:shd w:fill="fef3c7"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Theatre Environment and Equipment Safety</w:t>
            </w:r>
          </w:p>
          <w:p>
            <w:pPr>
              <w:spacing w:after="36" w:before="0"/>
            </w:pPr>
            <w:r>
              <w:rPr>
                <w:rFonts w:ascii="Arial" w:cs="Arial" w:eastAsia="Arial" w:hAnsi="Arial"/>
                <w:b w:val="false"/>
                <w:bCs w:val="false"/>
                <w:i/>
                <w:iCs/>
                <w:caps w:val="false"/>
                <w:color w:val="4b5563"/>
                <w:sz w:val="12"/>
                <w:szCs w:val="12"/>
              </w:rPr>
              <w:t xml:space="preserve">The hospital maintains a safe operating theatre environment, including air quality control, equipment maintenance and testing, and emergency backup systems, with a documented maintenance schedule.</w:t>
            </w:r>
          </w:p>
        </w:tc>
        <w:tc>
          <w:tcPr>
            <w:tcW w:type="dxa" w:w="2200"/>
            <w:shd w:fill="fef3c7"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92400e"/>
                <w:sz w:val="11"/>
                <w:szCs w:val="11"/>
              </w:rPr>
              <w:t xml:space="preserve">Expected of ACCREDITED facilities</w:t>
            </w:r>
          </w:p>
        </w:tc>
        <w:tc>
          <w:tcPr>
            <w:tcW w:type="dxa" w:w="1000"/>
            <w:shd w:fill="fef3c7"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13</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6.7</w:t>
            </w:r>
          </w:p>
        </w:tc>
        <w:tc>
          <w:tcPr>
            <w:tcW w:type="dxa" w:w="5460"/>
            <w:shd w:fill="fef3c7"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Blood and Blood Products Management</w:t>
            </w:r>
          </w:p>
          <w:p>
            <w:pPr>
              <w:spacing w:after="36" w:before="0"/>
            </w:pPr>
            <w:r>
              <w:rPr>
                <w:rFonts w:ascii="Arial" w:cs="Arial" w:eastAsia="Arial" w:hAnsi="Arial"/>
                <w:b w:val="false"/>
                <w:bCs w:val="false"/>
                <w:i/>
                <w:iCs/>
                <w:caps w:val="false"/>
                <w:color w:val="4b5563"/>
                <w:sz w:val="12"/>
                <w:szCs w:val="12"/>
              </w:rPr>
              <w:t xml:space="preserve">The hospital has a documented process for safe blood and blood product administration, including patient identity verification, compatibility testing, and a defined transfusion reaction response protocol.</w:t>
            </w:r>
          </w:p>
        </w:tc>
        <w:tc>
          <w:tcPr>
            <w:tcW w:type="dxa" w:w="2200"/>
            <w:shd w:fill="fef3c7"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92400e"/>
                <w:sz w:val="11"/>
                <w:szCs w:val="11"/>
              </w:rPr>
              <w:t xml:space="preserve">Expected of ACCREDITED facilities</w:t>
            </w:r>
          </w:p>
        </w:tc>
        <w:tc>
          <w:tcPr>
            <w:tcW w:type="dxa" w:w="1000"/>
            <w:shd w:fill="fef3c7"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15</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6.8</w:t>
            </w:r>
          </w:p>
        </w:tc>
        <w:tc>
          <w:tcPr>
            <w:tcW w:type="dxa" w:w="5460"/>
            <w:shd w:fill="fef3c7"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Post-Operative Care and Monitoring</w:t>
            </w:r>
          </w:p>
          <w:p>
            <w:pPr>
              <w:spacing w:after="36" w:before="0"/>
            </w:pPr>
            <w:r>
              <w:rPr>
                <w:rFonts w:ascii="Arial" w:cs="Arial" w:eastAsia="Arial" w:hAnsi="Arial"/>
                <w:b w:val="false"/>
                <w:bCs w:val="false"/>
                <w:i/>
                <w:iCs/>
                <w:caps w:val="false"/>
                <w:color w:val="4b5563"/>
                <w:sz w:val="12"/>
                <w:szCs w:val="12"/>
              </w:rPr>
              <w:t xml:space="preserve">The hospital provides structured post-operative monitoring appropriate to the procedure and patient risk, with defined parameters for escalating a deteriorating post-surgical patient.</w:t>
            </w:r>
          </w:p>
        </w:tc>
        <w:tc>
          <w:tcPr>
            <w:tcW w:type="dxa" w:w="2200"/>
            <w:shd w:fill="fef3c7"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92400e"/>
                <w:sz w:val="11"/>
                <w:szCs w:val="11"/>
              </w:rPr>
              <w:t xml:space="preserve">Expected of ACCREDITED facilities</w:t>
            </w:r>
          </w:p>
        </w:tc>
        <w:tc>
          <w:tcPr>
            <w:tcW w:type="dxa" w:w="1000"/>
            <w:shd w:fill="fef3c7"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17</w:t>
            </w:r>
          </w:p>
        </w:tc>
      </w:tr>
      <w:tr>
        <w:tc>
          <w:tcPr>
            <w:tcW w:type="dxa" w:w="9360"/>
            <w:gridSpan w:val="4"/>
            <w:shd w:fill="0e2647" w:color="auto" w:val="clear"/>
            <w:tcMar>
              <w:top w:type="dxa" w:w="20"/>
              <w:left w:type="dxa" w:w="60"/>
              <w:bottom w:type="dxa" w:w="20"/>
              <w:right w:type="dxa" w:w="60"/>
            </w:tcMar>
          </w:tcPr>
          <w:p>
            <w:pPr>
              <w:spacing w:after="36" w:before="0"/>
            </w:pPr>
            <w:r>
              <w:rPr>
                <w:rFonts w:ascii="Helvetica" w:cs="Helvetica" w:eastAsia="Helvetica" w:hAnsi="Helvetica"/>
                <w:b/>
                <w:bCs/>
                <w:i w:val="false"/>
                <w:iCs w:val="false"/>
                <w:caps/>
                <w:color w:val="c9a227"/>
                <w:sz w:val="11"/>
                <w:szCs w:val="11"/>
              </w:rPr>
              <w:t xml:space="preserve">LEVEL 3 — ADVANCED  |  Standards 6.9 to 6.10</w:t>
            </w:r>
          </w:p>
        </w:tc>
      </w:tr>
      <w:tr>
        <w:tc>
          <w:tcPr>
            <w:tcW w:type="dxa" w:w="9360"/>
            <w:gridSpan w:val="4"/>
            <w:shd w:fill="dbeafe" w:color="auto" w:val="clear"/>
            <w:tcMar>
              <w:top w:type="dxa" w:w="24"/>
              <w:left w:type="dxa" w:w="60"/>
              <w:bottom w:type="dxa" w:w="24"/>
              <w:right w:type="dxa" w:w="60"/>
            </w:tcMar>
          </w:tcPr>
          <w:p>
            <w:pPr>
              <w:spacing w:after="36" w:before="0"/>
            </w:pPr>
            <w:r>
              <w:rPr>
                <w:rFonts w:ascii="Arial" w:cs="Arial" w:eastAsia="Arial" w:hAnsi="Arial"/>
                <w:b/>
                <w:bCs/>
                <w:i w:val="false"/>
                <w:iCs w:val="false"/>
                <w:caps w:val="false"/>
                <w:color w:val="14335c"/>
                <w:sz w:val="12"/>
                <w:szCs w:val="12"/>
              </w:rPr>
              <w:t xml:space="preserve">What this level means:  </w:t>
            </w:r>
            <w:r>
              <w:rPr>
                <w:rFonts w:ascii="Arial" w:cs="Arial" w:eastAsia="Arial" w:hAnsi="Arial"/>
                <w:b w:val="false"/>
                <w:bCs w:val="false"/>
                <w:i w:val="false"/>
                <w:iCs w:val="false"/>
                <w:caps w:val="false"/>
                <w:color w:val="374151"/>
                <w:sz w:val="12"/>
                <w:szCs w:val="12"/>
              </w:rPr>
              <w:t xml:space="preserve">An Advanced facility’s surgical safety extends to measuring itself honestly. It systematically tracks its own outcomes and acts on what the data shows, and it recognises that minimally invasive techniques carry risks distinct from open surgery, requiring their own specific safeguards. These mark a facility at international best-practice level.</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6.9</w:t>
            </w:r>
          </w:p>
        </w:tc>
        <w:tc>
          <w:tcPr>
            <w:tcW w:type="dxa" w:w="5460"/>
            <w:shd w:fill="dbeafe"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Surgical Outcome Monitoring and Reporting</w:t>
            </w:r>
          </w:p>
          <w:p>
            <w:pPr>
              <w:spacing w:after="36" w:before="0"/>
            </w:pPr>
            <w:r>
              <w:rPr>
                <w:rFonts w:ascii="Arial" w:cs="Arial" w:eastAsia="Arial" w:hAnsi="Arial"/>
                <w:b w:val="false"/>
                <w:bCs w:val="false"/>
                <w:i/>
                <w:iCs/>
                <w:caps w:val="false"/>
                <w:color w:val="4b5563"/>
                <w:sz w:val="12"/>
                <w:szCs w:val="12"/>
              </w:rPr>
              <w:t xml:space="preserve">The hospital systematically tracks surgical outcomes, including mortality, complication, and readmission rates, and reviews this data regularly to identify and act on performance trends.</w:t>
            </w:r>
          </w:p>
        </w:tc>
        <w:tc>
          <w:tcPr>
            <w:tcW w:type="dxa" w:w="2200"/>
            <w:shd w:fill="dbeafe"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14335c"/>
                <w:sz w:val="11"/>
                <w:szCs w:val="11"/>
              </w:rPr>
              <w:t xml:space="preserve">INTERNATIONAL BEST PRACTICE</w:t>
            </w:r>
          </w:p>
        </w:tc>
        <w:tc>
          <w:tcPr>
            <w:tcW w:type="dxa" w:w="1000"/>
            <w:shd w:fill="dbeafe"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19</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6.10</w:t>
            </w:r>
          </w:p>
        </w:tc>
        <w:tc>
          <w:tcPr>
            <w:tcW w:type="dxa" w:w="5460"/>
            <w:shd w:fill="dbeafe"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Minimally Invasive Procedure Safety</w:t>
            </w:r>
          </w:p>
          <w:p>
            <w:pPr>
              <w:spacing w:after="36" w:before="0"/>
            </w:pPr>
            <w:r>
              <w:rPr>
                <w:rFonts w:ascii="Arial" w:cs="Arial" w:eastAsia="Arial" w:hAnsi="Arial"/>
                <w:b w:val="false"/>
                <w:bCs w:val="false"/>
                <w:i/>
                <w:iCs/>
                <w:caps w:val="false"/>
                <w:color w:val="4b5563"/>
                <w:sz w:val="12"/>
                <w:szCs w:val="12"/>
              </w:rPr>
              <w:t xml:space="preserve">The hospital has defined competency verification, equipment maintenance, and outcome monitoring specific to minimally invasive and laparoscopic procedures, recognising their distinct risk profile.</w:t>
            </w:r>
          </w:p>
        </w:tc>
        <w:tc>
          <w:tcPr>
            <w:tcW w:type="dxa" w:w="2200"/>
            <w:shd w:fill="dbeafe"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14335c"/>
                <w:sz w:val="11"/>
                <w:szCs w:val="11"/>
              </w:rPr>
              <w:t xml:space="preserve">INTERNATIONAL BEST PRACTICE</w:t>
            </w:r>
          </w:p>
        </w:tc>
        <w:tc>
          <w:tcPr>
            <w:tcW w:type="dxa" w:w="1000"/>
            <w:shd w:fill="dbeafe"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21</w:t>
            </w:r>
          </w:p>
        </w:tc>
      </w:tr>
      <w:tr>
        <w:tc>
          <w:tcPr>
            <w:tcW w:type="dxa" w:w="9360"/>
            <w:gridSpan w:val="4"/>
            <w:shd w:fill="0e2647" w:color="auto" w:val="clear"/>
            <w:tcMar>
              <w:top w:type="dxa" w:w="20"/>
              <w:left w:type="dxa" w:w="60"/>
              <w:bottom w:type="dxa" w:w="20"/>
              <w:right w:type="dxa" w:w="60"/>
            </w:tcMar>
          </w:tcPr>
          <w:p>
            <w:pPr>
              <w:spacing w:after="36" w:before="0"/>
            </w:pPr>
            <w:r>
              <w:rPr>
                <w:rFonts w:ascii="Helvetica" w:cs="Helvetica" w:eastAsia="Helvetica" w:hAnsi="Helvetica"/>
                <w:b/>
                <w:bCs/>
                <w:i w:val="false"/>
                <w:iCs w:val="false"/>
                <w:caps/>
                <w:color w:val="c9a227"/>
                <w:sz w:val="11"/>
                <w:szCs w:val="11"/>
              </w:rPr>
              <w:t xml:space="preserve">BACK MATTER</w:t>
            </w:r>
          </w:p>
        </w:tc>
      </w:tr>
      <w:tr>
        <w:tc>
          <w:tcPr>
            <w:tcW w:type="dxa" w:w="700"/>
            <w:tcMar>
              <w:top w:type="dxa" w:w="20"/>
              <w:left w:type="dxa" w:w="4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w:t>
            </w:r>
          </w:p>
        </w:tc>
        <w:tc>
          <w:tcPr>
            <w:tcW w:type="dxa" w:w="546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14335c"/>
                <w:sz w:val="13"/>
                <w:szCs w:val="13"/>
              </w:rPr>
              <w:t xml:space="preserve">Combined References — Vancouver style, with full URL for each citation</w:t>
            </w:r>
          </w:p>
        </w:tc>
        <w:tc>
          <w:tcPr>
            <w:tcW w:type="dxa" w:w="220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
            </w:r>
          </w:p>
        </w:tc>
        <w:tc>
          <w:tcPr>
            <w:tcW w:type="dxa" w:w="1000"/>
            <w:tcMar>
              <w:top w:type="dxa" w:w="20"/>
              <w:left w:type="dxa" w:w="40"/>
              <w:bottom w:type="dxa" w:w="20"/>
              <w:right w:type="dxa" w:w="75"/>
            </w:tcMar>
            <w:vAlign w:val="top"/>
          </w:tcPr>
          <w:p>
            <w:pPr>
              <w:spacing w:after="36" w:before="0"/>
            </w:pPr>
            <w:r>
              <w:rPr>
                <w:rFonts w:ascii="Arial" w:cs="Arial" w:eastAsia="Arial" w:hAnsi="Arial"/>
                <w:b w:val="false"/>
                <w:bCs w:val="false"/>
                <w:i/>
                <w:iCs/>
                <w:caps w:val="false"/>
                <w:color w:val="6b778c"/>
                <w:sz w:val="12"/>
                <w:szCs w:val="12"/>
              </w:rPr>
              <w:t xml:space="preserve">23</w:t>
            </w:r>
          </w:p>
        </w:tc>
      </w:tr>
      <w:tr>
        <w:tc>
          <w:tcPr>
            <w:tcW w:type="dxa" w:w="700"/>
            <w:tcMar>
              <w:top w:type="dxa" w:w="20"/>
              <w:left w:type="dxa" w:w="4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w:t>
            </w:r>
          </w:p>
        </w:tc>
        <w:tc>
          <w:tcPr>
            <w:tcW w:type="dxa" w:w="546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14335c"/>
                <w:sz w:val="13"/>
                <w:szCs w:val="13"/>
              </w:rPr>
              <w:t xml:space="preserve">Keyword Index — alphabetical, with standard number and page for each term</w:t>
            </w:r>
          </w:p>
        </w:tc>
        <w:tc>
          <w:tcPr>
            <w:tcW w:type="dxa" w:w="220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
            </w:r>
          </w:p>
        </w:tc>
        <w:tc>
          <w:tcPr>
            <w:tcW w:type="dxa" w:w="1000"/>
            <w:tcMar>
              <w:top w:type="dxa" w:w="20"/>
              <w:left w:type="dxa" w:w="40"/>
              <w:bottom w:type="dxa" w:w="20"/>
              <w:right w:type="dxa" w:w="75"/>
            </w:tcMar>
            <w:vAlign w:val="top"/>
          </w:tcPr>
          <w:p>
            <w:pPr>
              <w:spacing w:after="36" w:before="0"/>
            </w:pPr>
            <w:r>
              <w:rPr>
                <w:rFonts w:ascii="Arial" w:cs="Arial" w:eastAsia="Arial" w:hAnsi="Arial"/>
                <w:b w:val="false"/>
                <w:bCs w:val="false"/>
                <w:i/>
                <w:iCs/>
                <w:caps w:val="false"/>
                <w:color w:val="6b778c"/>
                <w:sz w:val="12"/>
                <w:szCs w:val="12"/>
              </w:rPr>
              <w:t xml:space="preserve">25</w:t>
            </w:r>
          </w:p>
        </w:tc>
      </w:tr>
    </w:tbl>
    <w:p>
      <w:pPr>
        <w:spacing w:after="36" w:before="2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4"/>
          <w:left w:val="none"/>
          <w:bottom w:val="none"/>
          <w:right w:val="none"/>
          <w:insideH w:val="single" w:color="auto" w:sz="4"/>
          <w:insideV w:val="single" w:color="auto" w:sz="4"/>
        </w:tblBorders>
      </w:tblPr>
      <w:tblGrid>
        <w:gridCol w:w="7000"/>
        <w:gridCol w:w="2360"/>
      </w:tblGrid>
      <w:tr>
        <w:tc>
          <w:tcPr>
            <w:tcW w:type="dxa" w:w="7000"/>
            <w:shd w:fill="0e2647" w:color="auto" w:val="clear"/>
            <w:tcMar>
              <w:top w:type="dxa" w:w="26"/>
              <w:left w:type="dxa" w:w="110"/>
              <w:bottom w:type="dxa" w:w="26"/>
              <w:right w:type="dxa" w:w="75"/>
            </w:tcMar>
            <w:vAlign w:val="top"/>
          </w:tcPr>
          <w:p>
            <w:pPr>
              <w:spacing w:after="36" w:before="0"/>
            </w:pPr>
            <w:r>
              <w:rPr>
                <w:rFonts w:ascii="Arial" w:cs="Arial" w:eastAsia="Arial" w:hAnsi="Arial"/>
                <w:b w:val="false"/>
                <w:bCs w:val="false"/>
                <w:i/>
                <w:iCs/>
                <w:caps w:val="false"/>
                <w:color w:val="6b778c"/>
                <w:sz w:val="12"/>
                <w:szCs w:val="12"/>
              </w:rPr>
              <w:t xml:space="preserve">Cross-cutting map and digital standards: </w:t>
            </w:r>
            <w:hyperlink w:history="1" r:id="rIdnzf5fah8kifn_uvjbv7zm">
              <w:r>
                <w:rPr>
                  <w:rFonts w:ascii="Arial" w:cs="Arial" w:eastAsia="Arial" w:hAnsi="Arial"/>
                  <w:b/>
                  <w:bCs/>
                  <w:color w:val="c9a227"/>
                  <w:sz w:val="12"/>
                  <w:szCs w:val="12"/>
                  <w:u w:val="single"/>
                </w:rPr>
                <w:t xml:space="preserve">france-asf.fr</w:t>
              </w:r>
            </w:hyperlink>
            <w:r>
              <w:rPr>
                <w:rFonts w:ascii="Arial" w:cs="Arial" w:eastAsia="Arial" w:hAnsi="Arial"/>
                <w:b w:val="false"/>
                <w:bCs w:val="false"/>
                <w:i/>
                <w:iCs/>
                <w:caps w:val="false"/>
                <w:color w:val="6b778c"/>
                <w:sz w:val="12"/>
                <w:szCs w:val="12"/>
              </w:rPr>
              <w:t xml:space="preserve">   E-learning: </w:t>
            </w:r>
            <w:hyperlink w:history="1" r:id="rId7lujcjahidjgmexkm7vql">
              <w:r>
                <w:rPr>
                  <w:rFonts w:ascii="Arial" w:cs="Arial" w:eastAsia="Arial" w:hAnsi="Arial"/>
                  <w:b/>
                  <w:bCs/>
                  <w:color w:val="c9a227"/>
                  <w:sz w:val="12"/>
                  <w:szCs w:val="12"/>
                  <w:u w:val="single"/>
                </w:rPr>
                <w:t xml:space="preserve">academy.gmj.ge</w:t>
              </w:r>
            </w:hyperlink>
            <w:r>
              <w:rPr>
                <w:rFonts w:ascii="Arial" w:cs="Arial" w:eastAsia="Arial" w:hAnsi="Arial"/>
                <w:b w:val="false"/>
                <w:bCs w:val="false"/>
                <w:i/>
                <w:iCs/>
                <w:caps w:val="false"/>
                <w:color w:val="6b778c"/>
                <w:sz w:val="12"/>
                <w:szCs w:val="12"/>
              </w:rPr>
              <w:t xml:space="preserve">   Advisory support: </w:t>
            </w:r>
            <w:hyperlink w:history="1" r:id="rIdxzrnmiupbnyic9wdhd9vf">
              <w:r>
                <w:rPr>
                  <w:rFonts w:ascii="Arial" w:cs="Arial" w:eastAsia="Arial" w:hAnsi="Arial"/>
                  <w:b/>
                  <w:bCs/>
                  <w:color w:val="c9a227"/>
                  <w:sz w:val="12"/>
                  <w:szCs w:val="12"/>
                  <w:u w:val="single"/>
                </w:rPr>
                <w:t xml:space="preserve">info@france-asf.fr</w:t>
              </w:r>
            </w:hyperlink>
          </w:p>
        </w:tc>
        <w:tc>
          <w:tcPr>
            <w:tcW w:type="dxa" w:w="2360"/>
            <w:shd w:fill="0e2647" w:color="auto" w:val="clear"/>
            <w:tcMar>
              <w:top w:type="dxa" w:w="26"/>
              <w:left w:type="dxa" w:w="70"/>
              <w:bottom w:type="dxa" w:w="26"/>
              <w:right w:type="dxa" w:w="75"/>
            </w:tcMar>
            <w:vAlign w:val="top"/>
          </w:tcPr>
          <w:p>
            <w:pPr>
              <w:spacing w:after="36" w:before="0"/>
            </w:pPr>
            <w:r>
              <w:rPr>
                <w:rFonts w:ascii="Arial" w:cs="Arial" w:eastAsia="Arial" w:hAnsi="Arial"/>
                <w:b w:val="false"/>
                <w:bCs w:val="false"/>
                <w:i/>
                <w:iCs/>
                <w:caps w:val="false"/>
                <w:color w:val="8fa8c8"/>
                <w:sz w:val="11"/>
                <w:szCs w:val="11"/>
              </w:rPr>
              <w:t xml:space="preserve">ASF-CH6-SPS-v2.0   ·   January 2025</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6.1</w:t>
            </w:r>
            <w:r>
              <w:rPr>
                <w:rFonts w:ascii="Helvetica" w:cs="Helvetica" w:eastAsia="Helvetica" w:hAnsi="Helvetica"/>
                <w:b/>
                <w:bCs/>
                <w:i w:val="false"/>
                <w:iCs w:val="false"/>
                <w:caps/>
                <w:color w:val="c9a227"/>
                <w:sz w:val="10"/>
                <w:szCs w:val="10"/>
              </w:rPr>
              <w:t xml:space="preserve">  CORE</w:t>
            </w:r>
            <w:r>
              <w:rPr>
                <w:rFonts w:ascii="Arial" w:cs="Arial" w:eastAsia="Arial" w:hAnsi="Arial"/>
                <w:b w:val="false"/>
                <w:bCs w:val="false"/>
                <w:i/>
                <w:iCs/>
                <w:caps w:val="false"/>
                <w:color w:val="8fa8c8"/>
                <w:sz w:val="10"/>
                <w:szCs w:val="10"/>
              </w:rPr>
              <w:t xml:space="preserve">  ·  Level 1  ·  Chapter 6: Surgical &amp; Procedural Safety</w:t>
            </w:r>
          </w:p>
          <w:p>
            <w:pPr>
              <w:spacing w:after="36" w:before="0"/>
            </w:pPr>
            <w:r>
              <w:rPr>
                <w:rFonts w:ascii="Arial" w:cs="Arial" w:eastAsia="Arial" w:hAnsi="Arial"/>
                <w:b/>
                <w:bCs/>
                <w:i w:val="false"/>
                <w:iCs w:val="false"/>
                <w:caps w:val="false"/>
                <w:color w:val="dce8f5"/>
                <w:sz w:val="12"/>
                <w:szCs w:val="12"/>
              </w:rPr>
              <w:t xml:space="preserve">WHO Surgical Safety Checklist</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3</w:t>
            </w:r>
          </w:p>
          <w:p>
            <w:pPr>
              <w:spacing w:after="36" w:before="0"/>
            </w:pPr>
            <w:r>
              <w:rPr>
                <w:rFonts w:ascii="Arial" w:cs="Arial" w:eastAsia="Arial" w:hAnsi="Arial"/>
                <w:b w:val="false"/>
                <w:bCs w:val="false"/>
                <w:i/>
                <w:iCs/>
                <w:caps w:val="false"/>
                <w:color w:val="8fa8c8"/>
                <w:sz w:val="9"/>
                <w:szCs w:val="9"/>
              </w:rPr>
              <w:t xml:space="preserve">ASF-CH6-SPS-v2.0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6.1</w:t>
            </w:r>
          </w:p>
          <w:p>
            <w:pPr>
              <w:spacing w:after="3" w:before="0"/>
            </w:pPr>
            <w:r>
              <w:rPr>
                <w:rFonts w:ascii="Helvetica" w:cs="Helvetica" w:eastAsia="Helvetica" w:hAnsi="Helvetica"/>
                <w:b/>
                <w:bCs/>
                <w:i w:val="false"/>
                <w:iCs w:val="false"/>
                <w:caps/>
                <w:color w:val="c9a227"/>
                <w:sz w:val="12"/>
                <w:szCs w:val="12"/>
              </w:rPr>
              <w:t xml:space="preserve">CORE</w:t>
            </w:r>
          </w:p>
          <w:p>
            <w:pPr>
              <w:spacing w:after="36" w:before="0"/>
            </w:pPr>
            <w:r>
              <w:rPr>
                <w:rFonts w:ascii="Helvetica" w:cs="Helvetica" w:eastAsia="Helvetica" w:hAnsi="Helvetica"/>
                <w:b w:val="false"/>
                <w:bCs w:val="false"/>
                <w:i w:val="false"/>
                <w:iCs w:val="false"/>
                <w:caps/>
                <w:color w:val="aaaaaa"/>
                <w:sz w:val="10"/>
                <w:szCs w:val="10"/>
              </w:rPr>
              <w:t xml:space="preserve">L1</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WHO Surgical Safety Checklist</w:t>
            </w:r>
          </w:p>
          <w:p>
            <w:pPr>
              <w:spacing w:after="36" w:before="0"/>
            </w:pPr>
            <w:r>
              <w:rPr>
                <w:rFonts w:ascii="Arial" w:cs="Arial" w:eastAsia="Arial" w:hAnsi="Arial"/>
                <w:b w:val="false"/>
                <w:bCs w:val="false"/>
                <w:i w:val="false"/>
                <w:iCs w:val="false"/>
                <w:caps w:val="false"/>
                <w:color w:val="4b5563"/>
                <w:sz w:val="15"/>
                <w:szCs w:val="15"/>
              </w:rPr>
              <w:t xml:space="preserve">The hospital uses the WHO Surgical Safety Checklist, or an equivalent structured checklist, for every surgical procedure, with all three phases completed and verbally confirmed by the team.</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 WHO Surgical Safety Checklist, or an equivalent, used for every surgical procedure?</w:t>
            </w:r>
          </w:p>
          <w:p>
            <w:pPr>
              <w:spacing w:after="7" w:before="0"/>
            </w:pPr>
            <w:r>
              <w:rPr>
                <w:rFonts w:ascii="Arial" w:cs="Arial" w:eastAsia="Arial" w:hAnsi="Arial"/>
                <w:b w:val="false"/>
                <w:bCs w:val="false"/>
                <w:i/>
                <w:iCs/>
                <w:caps w:val="false"/>
                <w:color w:val="4b5563"/>
                <w:sz w:val="15"/>
                <w:szCs w:val="15"/>
              </w:rPr>
              <w:t xml:space="preserve">Check use is universal, not limited to major or elective cases.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Checklist policy</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all three phases — sign in, time out, sign out — completed for a sample of recent procedures?</w:t>
            </w:r>
          </w:p>
          <w:p>
            <w:pPr>
              <w:spacing w:after="7" w:before="0"/>
            </w:pPr>
            <w:r>
              <w:rPr>
                <w:rFonts w:ascii="Arial" w:cs="Arial" w:eastAsia="Arial" w:hAnsi="Arial"/>
                <w:b w:val="false"/>
                <w:bCs w:val="false"/>
                <w:i/>
                <w:iCs/>
                <w:caps w:val="false"/>
                <w:color w:val="4b5563"/>
                <w:sz w:val="15"/>
                <w:szCs w:val="15"/>
              </w:rPr>
              <w:t xml:space="preserve">Spot-check five completed checklists across different procedure types.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Sample completed checklists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 checklist completed as a verbal team confirmation, not just a form filled in by one person?</w:t>
            </w:r>
          </w:p>
          <w:p>
            <w:pPr>
              <w:spacing w:after="36" w:before="0"/>
            </w:pPr>
            <w:r>
              <w:rPr>
                <w:rFonts w:ascii="Arial" w:cs="Arial" w:eastAsia="Arial" w:hAnsi="Arial"/>
                <w:b w:val="false"/>
                <w:bCs w:val="false"/>
                <w:i/>
                <w:iCs/>
                <w:caps w:val="false"/>
                <w:color w:val="4b5563"/>
                <w:sz w:val="15"/>
                <w:szCs w:val="15"/>
              </w:rPr>
              <w:t xml:space="preserve">Check for evidence of team-wide verbal participation, such as an observation record.</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Does the time-out phase include active confirmation of patient identity, procedure, and site?</w:t>
            </w:r>
          </w:p>
          <w:p>
            <w:pPr>
              <w:spacing w:after="36" w:before="0"/>
            </w:pPr>
            <w:r>
              <w:rPr>
                <w:rFonts w:ascii="Arial" w:cs="Arial" w:eastAsia="Arial" w:hAnsi="Arial"/>
                <w:b w:val="false"/>
                <w:bCs w:val="false"/>
                <w:i/>
                <w:iCs/>
                <w:caps w:val="false"/>
                <w:color w:val="4b5563"/>
                <w:sz w:val="15"/>
                <w:szCs w:val="15"/>
              </w:rPr>
              <w:t xml:space="preserve">Check the specific content of the time-out step.</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checklist compliance audited and are gaps addressed?</w:t>
            </w:r>
          </w:p>
          <w:p>
            <w:pPr>
              <w:spacing w:after="7" w:before="0"/>
            </w:pPr>
            <w:r>
              <w:rPr>
                <w:rFonts w:ascii="Arial" w:cs="Arial" w:eastAsia="Arial" w:hAnsi="Arial"/>
                <w:b w:val="false"/>
                <w:bCs w:val="false"/>
                <w:i/>
                <w:iCs/>
                <w:caps w:val="false"/>
                <w:color w:val="4b5563"/>
                <w:sz w:val="15"/>
                <w:szCs w:val="15"/>
              </w:rPr>
              <w:t xml:space="preserve">Check for a compliance audit and evidence of follow-up on gaps found.</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Compliance audit record</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Live checklist observation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Where possible, observes an actual surgical procedure for verbal, team-wide completion of all three checklist phases.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Completed checklist sample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a sample of completed checklists across procedure types for all three phases.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Compliance audit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compliance audit record and evidence that identified gaps were addressed.</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Team member interview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a theatre team member, not the surgeon, to describe how the time-out is actually conducted.</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f-pcopd72uj4heh-ijoy8">
              <w:r>
                <w:rPr>
                  <w:rFonts w:ascii="Arial" w:cs="Arial" w:eastAsia="Arial" w:hAnsi="Arial"/>
                  <w:b/>
                  <w:bCs/>
                  <w:color w:val="c9a227"/>
                  <w:sz w:val="13"/>
                  <w:szCs w:val="13"/>
                  <w:u w:val="single"/>
                </w:rPr>
                <w:t xml:space="preserve">World Health Organization. WHO Guidelines for Safe Surgery 2009: Safe Surgery Saves Lives. Geneva: WHO; 2009.</w:t>
              </w:r>
            </w:hyperlink>
            <w:r>
              <w:rPr>
                <w:rFonts w:ascii="Arial" w:cs="Arial" w:eastAsia="Arial" w:hAnsi="Arial"/>
                <w:b/>
                <w:bCs/>
                <w:i w:val="false"/>
                <w:iCs w:val="false"/>
                <w:caps w:val="false"/>
                <w:color w:val="6b778c"/>
                <w:sz w:val="13"/>
                <w:szCs w:val="13"/>
              </w:rPr>
              <w:t xml:space="preserve">   2. </w:t>
            </w:r>
            <w:hyperlink w:history="1" r:id="rIdq8yyudvz6poifnmffhxkm">
              <w:r>
                <w:rPr>
                  <w:rFonts w:ascii="Arial" w:cs="Arial" w:eastAsia="Arial" w:hAnsi="Arial"/>
                  <w:b/>
                  <w:bCs/>
                  <w:color w:val="c9a227"/>
                  <w:sz w:val="13"/>
                  <w:szCs w:val="13"/>
                  <w:u w:val="single"/>
                </w:rPr>
                <w:t xml:space="preserve">Haynes AB, Weiser TG, Berry WR, et al. A surgical safety checklist to reduce morbidity and mortality in a global population. N Engl J Med. 2009;360(5):491-499.</w:t>
              </w:r>
            </w:hyperlink>
            <w:r>
              <w:rPr>
                <w:rFonts w:ascii="Arial" w:cs="Arial" w:eastAsia="Arial" w:hAnsi="Arial"/>
                <w:b/>
                <w:bCs/>
                <w:i w:val="false"/>
                <w:iCs w:val="false"/>
                <w:caps w:val="false"/>
                <w:color w:val="6b778c"/>
                <w:sz w:val="13"/>
                <w:szCs w:val="13"/>
              </w:rPr>
              <w:t xml:space="preserve">   3. </w:t>
            </w:r>
            <w:hyperlink w:history="1" r:id="rIdn3vprmb1zy4mtl8uj4gdn">
              <w:r>
                <w:rPr>
                  <w:rFonts w:ascii="Arial" w:cs="Arial" w:eastAsia="Arial" w:hAnsi="Arial"/>
                  <w:b/>
                  <w:bCs/>
                  <w:color w:val="c9a227"/>
                  <w:sz w:val="13"/>
                  <w:szCs w:val="13"/>
                  <w:u w:val="single"/>
                </w:rPr>
                <w:t xml:space="preserve">World Health Organization. Implementation manual: WHO Surgical Safety Checklist. Geneva: WHO; 2008.</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6.1</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6.1</w:t>
            </w:r>
            <w:r>
              <w:rPr>
                <w:rFonts w:ascii="Arial" w:cs="Arial" w:eastAsia="Arial" w:hAnsi="Arial"/>
                <w:b w:val="false"/>
                <w:bCs w:val="false"/>
                <w:i/>
                <w:iCs/>
                <w:caps w:val="false"/>
                <w:color w:val="8fa8c8"/>
                <w:sz w:val="10"/>
                <w:szCs w:val="10"/>
              </w:rPr>
              <w:t xml:space="preserve">  ·  Level 1  ·  Chapter 6: Surgical &amp; Procedural Safety</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4</w:t>
            </w:r>
          </w:p>
          <w:p>
            <w:pPr>
              <w:spacing w:after="36" w:before="0"/>
            </w:pPr>
            <w:r>
              <w:rPr>
                <w:rFonts w:ascii="Arial" w:cs="Arial" w:eastAsia="Arial" w:hAnsi="Arial"/>
                <w:b w:val="false"/>
                <w:bCs w:val="false"/>
                <w:i/>
                <w:iCs/>
                <w:caps w:val="false"/>
                <w:color w:val="8fa8c8"/>
                <w:sz w:val="9"/>
                <w:szCs w:val="9"/>
              </w:rPr>
              <w:t xml:space="preserve">ASF-CH6-SPS-v2.0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The surgical safety checklist works not because it is a form, but because it forces a structured pause at three specific, high-risk moments where a fatal error — the wrong patient, the wrong site, a missed allergy, a forgotten instrument count — is otherwise most likely to slip through unnoticed until it is too late. A checklist filled in silently by one person after the fact provides none of this protection; the value comes entirely from the verbal, whole-team confirmation happening in real time.</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Haynes et al. 2009 — implementation of the WHO Surgical Safety Checklist across eight hospitals globally was associated with a reduction in major surgical complications from 11% to 7% and in mortality from 1.5% to 0.8%.</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The checklist is used for every surgical procedure, without exception for minor cases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All three phases — sign in, time out, sign out — are completed and verbally confirmed by the whole team</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Time-out actively confirms patient identity, procedure, and site before incision</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Checklist compliance is audited, with identified gaps followed up and closed</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Checklist use is observably a real team process, not a form completed by one person alone</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The checklist is used inconsistently, skipped for minor or routine procedures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Phases are marked complete without genuine verbal team confirmation</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Time-out is rushed or perfunctory, without active identity and site confirmation</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compliance audit exists, or gaps identified are never addressed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The checklist is completed retrospectively by one person rather than in real time by the team</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The checklist is completed but has become a silent ritual rather than a genuine team pause.</w:t>
            </w:r>
          </w:p>
          <w:p>
            <w:pPr>
              <w:spacing w:after="20" w:before="0"/>
            </w:pPr>
            <w:r>
              <w:rPr>
                <w:rFonts w:ascii="Arial" w:cs="Arial" w:eastAsia="Arial" w:hAnsi="Arial"/>
                <w:b w:val="false"/>
                <w:bCs w:val="false"/>
                <w:i/>
                <w:iCs/>
                <w:caps w:val="false"/>
                <w:color w:val="4b5563"/>
                <w:sz w:val="15"/>
                <w:szCs w:val="15"/>
              </w:rPr>
              <w:t xml:space="preserve">Forms are filled in for every case, but observation reveals the team no longer verbally engages — the checklist has become paperwork rather than a safety pause.</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Compliance is high for major surgery but drops for minor procedures.</w:t>
            </w:r>
          </w:p>
          <w:p>
            <w:pPr>
              <w:spacing w:after="20" w:before="0"/>
            </w:pPr>
            <w:r>
              <w:rPr>
                <w:rFonts w:ascii="Arial" w:cs="Arial" w:eastAsia="Arial" w:hAnsi="Arial"/>
                <w:b w:val="false"/>
                <w:bCs w:val="false"/>
                <w:i/>
                <w:iCs/>
                <w:caps w:val="false"/>
                <w:color w:val="4b5563"/>
                <w:sz w:val="15"/>
                <w:szCs w:val="15"/>
              </w:rPr>
              <w:t xml:space="preserve">Complex cases reliably get full checklist use; short or routine procedures are treated as exceptions where the checklist is skipped or abbreviated.</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Audits happen but findings rarely change practice.</w:t>
            </w:r>
          </w:p>
          <w:p>
            <w:pPr>
              <w:spacing w:after="36" w:before="0"/>
            </w:pPr>
            <w:r>
              <w:rPr>
                <w:rFonts w:ascii="Arial" w:cs="Arial" w:eastAsia="Arial" w:hAnsi="Arial"/>
                <w:b w:val="false"/>
                <w:bCs w:val="false"/>
                <w:i/>
                <w:iCs/>
                <w:caps w:val="false"/>
                <w:color w:val="4b5563"/>
                <w:sz w:val="15"/>
                <w:szCs w:val="15"/>
              </w:rPr>
              <w:t xml:space="preserve">A compliance audit is conducted periodically, but gaps identified in previous audits recur without any visible corrective action.</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Confirm the checklist policy applies to every surgical procedure without exception.</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Observe a sample of live procedures to assess whether checklist completion is genuinely verbal and team-wide.</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Retrain theatre teams where observation reveals the checklist has become a silent formality.</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Establish or strengthen a compliance audit process with a mechanism to close identified gaps.</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Audit checklist compliance regularly; observe live practice periodically, not only documentation.</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Observe a live case if at all possible.  </w:t>
            </w:r>
            <w:r>
              <w:rPr>
                <w:rFonts w:ascii="Arial" w:cs="Arial" w:eastAsia="Arial" w:hAnsi="Arial"/>
                <w:b w:val="false"/>
                <w:bCs w:val="false"/>
                <w:i w:val="false"/>
                <w:iCs w:val="false"/>
                <w:caps w:val="false"/>
                <w:color w:val="374151"/>
                <w:sz w:val="16"/>
                <w:szCs w:val="16"/>
              </w:rPr>
              <w:t xml:space="preserve">A completed paper checklist proves the form was filled in; only direct observation reveals whether the team actually paused and spoke.</w:t>
            </w:r>
          </w:p>
          <w:p>
            <w:pPr>
              <w:spacing w:after="16" w:before="0"/>
            </w:pPr>
            <w:r>
              <w:rPr>
                <w:rFonts w:ascii="Arial" w:cs="Arial" w:eastAsia="Arial" w:hAnsi="Arial"/>
                <w:b/>
                <w:bCs/>
                <w:i w:val="false"/>
                <w:iCs w:val="false"/>
                <w:caps w:val="false"/>
                <w:color w:val="b91c1c"/>
                <w:sz w:val="15"/>
                <w:szCs w:val="15"/>
              </w:rPr>
              <w:t xml:space="preserve">Ask a non-surgeon team member to describe the time-out.  </w:t>
            </w:r>
            <w:r>
              <w:rPr>
                <w:rFonts w:ascii="Arial" w:cs="Arial" w:eastAsia="Arial" w:hAnsi="Arial"/>
                <w:b w:val="false"/>
                <w:bCs w:val="false"/>
                <w:i w:val="false"/>
                <w:iCs w:val="false"/>
                <w:caps w:val="false"/>
                <w:color w:val="374151"/>
                <w:sz w:val="16"/>
                <w:szCs w:val="16"/>
              </w:rPr>
              <w:t xml:space="preserve">The nurse or anaesthetist’s account of how time-out actually unfolds is often more revealing than the surgeon’s.</w:t>
            </w:r>
          </w:p>
          <w:p>
            <w:pPr>
              <w:spacing w:after="36" w:before="0"/>
            </w:pPr>
            <w:r>
              <w:rPr>
                <w:rFonts w:ascii="Arial" w:cs="Arial" w:eastAsia="Arial" w:hAnsi="Arial"/>
                <w:b/>
                <w:bCs/>
                <w:i w:val="false"/>
                <w:iCs w:val="false"/>
                <w:caps w:val="false"/>
                <w:color w:val="b91c1c"/>
                <w:sz w:val="15"/>
                <w:szCs w:val="15"/>
              </w:rPr>
              <w:t xml:space="preserve">Check compliance specifically for minor or short procedures.  </w:t>
            </w:r>
            <w:r>
              <w:rPr>
                <w:rFonts w:ascii="Arial" w:cs="Arial" w:eastAsia="Arial" w:hAnsi="Arial"/>
                <w:b w:val="false"/>
                <w:bCs w:val="false"/>
                <w:i w:val="false"/>
                <w:iCs w:val="false"/>
                <w:caps w:val="false"/>
                <w:color w:val="374151"/>
                <w:sz w:val="16"/>
                <w:szCs w:val="16"/>
              </w:rPr>
              <w:t xml:space="preserve">This is where checklist use most often quietly lapses, even in facilities with strong compliance for major surgery.</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kievuirxqizzmgilxxv4m">
              <w:r>
                <w:rPr>
                  <w:rFonts w:ascii="Arial" w:cs="Arial" w:eastAsia="Arial" w:hAnsi="Arial"/>
                  <w:b/>
                  <w:bCs/>
                  <w:color w:val="c9a227"/>
                  <w:sz w:val="13"/>
                  <w:szCs w:val="13"/>
                  <w:u w:val="single"/>
                </w:rPr>
                <w:t xml:space="preserve">academy.gmj.ge/ch6-1-who-surgical-safety-checklist</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6.2</w:t>
            </w:r>
            <w:r>
              <w:rPr>
                <w:rFonts w:ascii="Helvetica" w:cs="Helvetica" w:eastAsia="Helvetica" w:hAnsi="Helvetica"/>
                <w:b/>
                <w:bCs/>
                <w:i w:val="false"/>
                <w:iCs w:val="false"/>
                <w:caps/>
                <w:color w:val="c9a227"/>
                <w:sz w:val="10"/>
                <w:szCs w:val="10"/>
              </w:rPr>
              <w:t xml:space="preserve">  CORE</w:t>
            </w:r>
            <w:r>
              <w:rPr>
                <w:rFonts w:ascii="Arial" w:cs="Arial" w:eastAsia="Arial" w:hAnsi="Arial"/>
                <w:b w:val="false"/>
                <w:bCs w:val="false"/>
                <w:i/>
                <w:iCs/>
                <w:caps w:val="false"/>
                <w:color w:val="8fa8c8"/>
                <w:sz w:val="10"/>
                <w:szCs w:val="10"/>
              </w:rPr>
              <w:t xml:space="preserve">  ·  Level 1  ·  Chapter 6: Surgical &amp; Procedural Safety</w:t>
            </w:r>
          </w:p>
          <w:p>
            <w:pPr>
              <w:spacing w:after="36" w:before="0"/>
            </w:pPr>
            <w:r>
              <w:rPr>
                <w:rFonts w:ascii="Arial" w:cs="Arial" w:eastAsia="Arial" w:hAnsi="Arial"/>
                <w:b/>
                <w:bCs/>
                <w:i w:val="false"/>
                <w:iCs w:val="false"/>
                <w:caps w:val="false"/>
                <w:color w:val="dce8f5"/>
                <w:sz w:val="12"/>
                <w:szCs w:val="12"/>
              </w:rPr>
              <w:t xml:space="preserve">Anaesthesia Safety Standards</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5</w:t>
            </w:r>
          </w:p>
          <w:p>
            <w:pPr>
              <w:spacing w:after="36" w:before="0"/>
            </w:pPr>
            <w:r>
              <w:rPr>
                <w:rFonts w:ascii="Arial" w:cs="Arial" w:eastAsia="Arial" w:hAnsi="Arial"/>
                <w:b w:val="false"/>
                <w:bCs w:val="false"/>
                <w:i/>
                <w:iCs/>
                <w:caps w:val="false"/>
                <w:color w:val="8fa8c8"/>
                <w:sz w:val="9"/>
                <w:szCs w:val="9"/>
              </w:rPr>
              <w:t xml:space="preserve">ASF-CH6-SPS-v2.0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6.2</w:t>
            </w:r>
          </w:p>
          <w:p>
            <w:pPr>
              <w:spacing w:after="3" w:before="0"/>
            </w:pPr>
            <w:r>
              <w:rPr>
                <w:rFonts w:ascii="Helvetica" w:cs="Helvetica" w:eastAsia="Helvetica" w:hAnsi="Helvetica"/>
                <w:b/>
                <w:bCs/>
                <w:i w:val="false"/>
                <w:iCs w:val="false"/>
                <w:caps/>
                <w:color w:val="c9a227"/>
                <w:sz w:val="12"/>
                <w:szCs w:val="12"/>
              </w:rPr>
              <w:t xml:space="preserve">CORE</w:t>
            </w:r>
          </w:p>
          <w:p>
            <w:pPr>
              <w:spacing w:after="36" w:before="0"/>
            </w:pPr>
            <w:r>
              <w:rPr>
                <w:rFonts w:ascii="Helvetica" w:cs="Helvetica" w:eastAsia="Helvetica" w:hAnsi="Helvetica"/>
                <w:b w:val="false"/>
                <w:bCs w:val="false"/>
                <w:i w:val="false"/>
                <w:iCs w:val="false"/>
                <w:caps/>
                <w:color w:val="aaaaaa"/>
                <w:sz w:val="10"/>
                <w:szCs w:val="10"/>
              </w:rPr>
              <w:t xml:space="preserve">L1</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Anaesthesia Safety Standards</w:t>
            </w:r>
          </w:p>
          <w:p>
            <w:pPr>
              <w:spacing w:after="36" w:before="0"/>
            </w:pPr>
            <w:r>
              <w:rPr>
                <w:rFonts w:ascii="Arial" w:cs="Arial" w:eastAsia="Arial" w:hAnsi="Arial"/>
                <w:b w:val="false"/>
                <w:bCs w:val="false"/>
                <w:i w:val="false"/>
                <w:iCs w:val="false"/>
                <w:caps w:val="false"/>
                <w:color w:val="4b5563"/>
                <w:sz w:val="15"/>
                <w:szCs w:val="15"/>
              </w:rPr>
              <w:t xml:space="preserve">The hospital has documented anaesthesia safety standards, including a pre-anaesthetic assessment, continuous intraoperative monitoring, and a defined recovery protocol for every patient receiving anaesthesia.</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a documented pre-anaesthetic assessment completed for every patient before anaesthesia is administered?</w:t>
            </w:r>
          </w:p>
          <w:p>
            <w:pPr>
              <w:spacing w:after="7" w:before="0"/>
            </w:pPr>
            <w:r>
              <w:rPr>
                <w:rFonts w:ascii="Arial" w:cs="Arial" w:eastAsia="Arial" w:hAnsi="Arial"/>
                <w:b w:val="false"/>
                <w:bCs w:val="false"/>
                <w:i/>
                <w:iCs/>
                <w:caps w:val="false"/>
                <w:color w:val="4b5563"/>
                <w:sz w:val="15"/>
                <w:szCs w:val="15"/>
              </w:rPr>
              <w:t xml:space="preserve">Check the assessment covers airway, allergy, and relevant medical history.</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Pre-anaesthetic assessment form</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continuous intraoperative monitoring performed and documented, including oxygenation, ventilation, and circulation?</w:t>
            </w:r>
          </w:p>
          <w:p>
            <w:pPr>
              <w:spacing w:after="7" w:before="0"/>
            </w:pPr>
            <w:r>
              <w:rPr>
                <w:rFonts w:ascii="Arial" w:cs="Arial" w:eastAsia="Arial" w:hAnsi="Arial"/>
                <w:b w:val="false"/>
                <w:bCs w:val="false"/>
                <w:i/>
                <w:iCs/>
                <w:caps w:val="false"/>
                <w:color w:val="4b5563"/>
                <w:sz w:val="15"/>
                <w:szCs w:val="15"/>
              </w:rPr>
              <w:t xml:space="preserve">Check monitoring records for completeness during a sample of procedures.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Intraoperative monitoring records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a qualified anaesthesia provider present for the entire duration of anaesthesia?</w:t>
            </w:r>
          </w:p>
          <w:p>
            <w:pPr>
              <w:spacing w:after="36" w:before="0"/>
            </w:pPr>
            <w:r>
              <w:rPr>
                <w:rFonts w:ascii="Arial" w:cs="Arial" w:eastAsia="Arial" w:hAnsi="Arial"/>
                <w:b w:val="false"/>
                <w:bCs w:val="false"/>
                <w:i/>
                <w:iCs/>
                <w:caps w:val="false"/>
                <w:color w:val="4b5563"/>
                <w:sz w:val="15"/>
                <w:szCs w:val="15"/>
              </w:rPr>
              <w:t xml:space="preserve">Check staffing records against procedure duration for a sample of cases.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defined recovery protocol with specific discharge criteria from the recovery area?</w:t>
            </w:r>
          </w:p>
          <w:p>
            <w:pPr>
              <w:spacing w:after="7" w:before="0"/>
            </w:pPr>
            <w:r>
              <w:rPr>
                <w:rFonts w:ascii="Arial" w:cs="Arial" w:eastAsia="Arial" w:hAnsi="Arial"/>
                <w:b w:val="false"/>
                <w:bCs w:val="false"/>
                <w:i/>
                <w:iCs/>
                <w:caps w:val="false"/>
                <w:color w:val="4b5563"/>
                <w:sz w:val="15"/>
                <w:szCs w:val="15"/>
              </w:rPr>
              <w:t xml:space="preserve">Check the criteria are specific, not left to individual judgement alone.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Recovery protocol / discharge criteria</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anaesthesia-related adverse events tracked and reviewed?</w:t>
            </w:r>
          </w:p>
          <w:p>
            <w:pPr>
              <w:spacing w:after="7" w:before="0"/>
            </w:pPr>
            <w:r>
              <w:rPr>
                <w:rFonts w:ascii="Arial" w:cs="Arial" w:eastAsia="Arial" w:hAnsi="Arial"/>
                <w:b w:val="false"/>
                <w:bCs w:val="false"/>
                <w:i/>
                <w:iCs/>
                <w:caps w:val="false"/>
                <w:color w:val="4b5563"/>
                <w:sz w:val="15"/>
                <w:szCs w:val="15"/>
              </w:rPr>
              <w:t xml:space="preserve">Check the incident log for anaesthesia-specific entries and evidence of review.</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Anaesthesia incident log</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Pre-anaesthetic assessment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a sample of pre-anaesthetic assessments for completeness, including airway, allergy, and medical history.</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Intraoperative monitoring observation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monitoring records or observes a live case for continuous oxygenation, ventilation, and circulation monitoring.</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Recovery discharge criteria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recovery protocol for specific, objective discharge criteria.</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Anaesthesia incident log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log for anaesthesia-related adverse events and evidence of follow-up.</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xgqievmcjipemzcjjdj86">
              <w:r>
                <w:rPr>
                  <w:rFonts w:ascii="Arial" w:cs="Arial" w:eastAsia="Arial" w:hAnsi="Arial"/>
                  <w:b/>
                  <w:bCs/>
                  <w:color w:val="c9a227"/>
                  <w:sz w:val="13"/>
                  <w:szCs w:val="13"/>
                  <w:u w:val="single"/>
                </w:rPr>
                <w:t xml:space="preserve">World Health Organization. WHO Guidelines for Safe Surgery 2009: Safe Surgery Saves Lives (anaesthesia safety provisions). Geneva: WHO; 2009.</w:t>
              </w:r>
            </w:hyperlink>
            <w:r>
              <w:rPr>
                <w:rFonts w:ascii="Arial" w:cs="Arial" w:eastAsia="Arial" w:hAnsi="Arial"/>
                <w:b/>
                <w:bCs/>
                <w:i w:val="false"/>
                <w:iCs w:val="false"/>
                <w:caps w:val="false"/>
                <w:color w:val="6b778c"/>
                <w:sz w:val="13"/>
                <w:szCs w:val="13"/>
              </w:rPr>
              <w:t xml:space="preserve">   2. </w:t>
            </w:r>
            <w:hyperlink w:history="1" r:id="rIdoxz3jly-bekjrdsbdn0me">
              <w:r>
                <w:rPr>
                  <w:rFonts w:ascii="Arial" w:cs="Arial" w:eastAsia="Arial" w:hAnsi="Arial"/>
                  <w:b/>
                  <w:bCs/>
                  <w:color w:val="c9a227"/>
                  <w:sz w:val="13"/>
                  <w:szCs w:val="13"/>
                  <w:u w:val="single"/>
                </w:rPr>
                <w:t xml:space="preserve">World Federation of Societies of Anaesthesiologists. International Standards for a Safe Practice of Anaesthesia. Helsinki: WFSA; 2018.</w:t>
              </w:r>
            </w:hyperlink>
            <w:r>
              <w:rPr>
                <w:rFonts w:ascii="Arial" w:cs="Arial" w:eastAsia="Arial" w:hAnsi="Arial"/>
                <w:b/>
                <w:bCs/>
                <w:i w:val="false"/>
                <w:iCs w:val="false"/>
                <w:caps w:val="false"/>
                <w:color w:val="6b778c"/>
                <w:sz w:val="13"/>
                <w:szCs w:val="13"/>
              </w:rPr>
              <w:t xml:space="preserve">   3. </w:t>
            </w:r>
            <w:hyperlink w:history="1" r:id="rIdq-thbithwx4zdikiolirw">
              <w:r>
                <w:rPr>
                  <w:rFonts w:ascii="Arial" w:cs="Arial" w:eastAsia="Arial" w:hAnsi="Arial"/>
                  <w:b/>
                  <w:bCs/>
                  <w:color w:val="c9a227"/>
                  <w:sz w:val="13"/>
                  <w:szCs w:val="13"/>
                  <w:u w:val="single"/>
                </w:rPr>
                <w:t xml:space="preserve">Merry AF, Cooper JB, Soyannwo O, Wilson IH, Eichhorn JH. International standards for a safe practice of anaesthesia. Can J Anaesth. 2010;57(11):1027-1034.</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6.2</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6.2</w:t>
            </w:r>
            <w:r>
              <w:rPr>
                <w:rFonts w:ascii="Arial" w:cs="Arial" w:eastAsia="Arial" w:hAnsi="Arial"/>
                <w:b w:val="false"/>
                <w:bCs w:val="false"/>
                <w:i/>
                <w:iCs/>
                <w:caps w:val="false"/>
                <w:color w:val="8fa8c8"/>
                <w:sz w:val="10"/>
                <w:szCs w:val="10"/>
              </w:rPr>
              <w:t xml:space="preserve">  ·  Level 1  ·  Chapter 6: Surgical &amp; Procedural Safety</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6</w:t>
            </w:r>
          </w:p>
          <w:p>
            <w:pPr>
              <w:spacing w:after="36" w:before="0"/>
            </w:pPr>
            <w:r>
              <w:rPr>
                <w:rFonts w:ascii="Arial" w:cs="Arial" w:eastAsia="Arial" w:hAnsi="Arial"/>
                <w:b w:val="false"/>
                <w:bCs w:val="false"/>
                <w:i/>
                <w:iCs/>
                <w:caps w:val="false"/>
                <w:color w:val="8fa8c8"/>
                <w:sz w:val="9"/>
                <w:szCs w:val="9"/>
              </w:rPr>
              <w:t xml:space="preserve">ASF-CH6-SPS-v2.0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Anaesthesia converts a patient into someone who cannot protect their own airway, regulate their own vital signs, or report pain or distress — every safeguard that would normally come from the patient’s own awareness has to be actively replaced by monitoring, a present qualified provider, and defined recovery criteria. A gap in any of these three is a gap in the patient’s only remaining protection during that time.</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WFSA International Standards 2018 — continuous presence of a qualified anaesthesia provider and continuous physiological monitoring throughout anaesthesia are identified as the two most critical, non-negotiable safety standards across all resource settings.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documented pre-anaesthetic assessment is completed for every patient, covering airway, allergy, and history</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Continuous intraoperative monitoring of oxygenation, ventilation, and circulation is performed and documented</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qualified anaesthesia provider is present for the entire duration of anaesthesia</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recovery protocol with specific, objective discharge criteria is consistently applied</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Anaesthesia-related adverse events are tracked and reviewed for patterns</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Pre-anaesthetic assessment is inconsistent or superficial</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Intraoperative monitoring is incomplete or undocumented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The anaesthesia provider is sometimes absent for part of the procedure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Recovery discharge relies on informal judgement with no defined criteria</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Anaesthesia-related adverse events are not tracked or reviewed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Pre-anaesthetic assessment happens but is rushed for straightforward cases.</w:t>
            </w:r>
          </w:p>
          <w:p>
            <w:pPr>
              <w:spacing w:after="20" w:before="0"/>
            </w:pPr>
            <w:r>
              <w:rPr>
                <w:rFonts w:ascii="Arial" w:cs="Arial" w:eastAsia="Arial" w:hAnsi="Arial"/>
                <w:b w:val="false"/>
                <w:bCs w:val="false"/>
                <w:i/>
                <w:iCs/>
                <w:caps w:val="false"/>
                <w:color w:val="4b5563"/>
                <w:sz w:val="15"/>
                <w:szCs w:val="15"/>
              </w:rPr>
              <w:t xml:space="preserve">A thorough assessment is standard for complex patients, but for apparently low-risk cases the same rigour is not consistently applied.</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Monitoring equipment is present but documentation is incomplete.</w:t>
            </w:r>
          </w:p>
          <w:p>
            <w:pPr>
              <w:spacing w:after="20" w:before="0"/>
            </w:pPr>
            <w:r>
              <w:rPr>
                <w:rFonts w:ascii="Arial" w:cs="Arial" w:eastAsia="Arial" w:hAnsi="Arial"/>
                <w:b w:val="false"/>
                <w:bCs w:val="false"/>
                <w:i/>
                <w:iCs/>
                <w:caps w:val="false"/>
                <w:color w:val="4b5563"/>
                <w:sz w:val="15"/>
                <w:szCs w:val="15"/>
              </w:rPr>
              <w:t xml:space="preserve">Continuous monitoring occurs in practice, but the written record does not fully capture it, weakening the ability to review a case later.</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Recovery criteria exist but discharge decisions sometimes precede them.</w:t>
            </w:r>
          </w:p>
          <w:p>
            <w:pPr>
              <w:spacing w:after="36" w:before="0"/>
            </w:pPr>
            <w:r>
              <w:rPr>
                <w:rFonts w:ascii="Arial" w:cs="Arial" w:eastAsia="Arial" w:hAnsi="Arial"/>
                <w:b w:val="false"/>
                <w:bCs w:val="false"/>
                <w:i/>
                <w:iCs/>
                <w:caps w:val="false"/>
                <w:color w:val="4b5563"/>
                <w:sz w:val="15"/>
                <w:szCs w:val="15"/>
              </w:rPr>
              <w:t xml:space="preserve">Objective discharge criteria are documented, but under time or bed pressure, patients are occasionally moved out of recovery before formally meeting them.</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Confirm the pre-anaesthetic assessment is completed and documented for every patient, regardless of case complexity.</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Audit intraoperative monitoring documentation for completeness across a sample of procedures.</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Confirm and communicate specific, objective recovery discharge criteria.</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Establish or strengthen tracking of anaesthesia-related adverse events.</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Review anaesthesia safety indicators periodically; audit compliance with assessment, monitoring, and recovery standards.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Check assessment quality for a straightforward case, not just a complex one.  </w:t>
            </w:r>
            <w:r>
              <w:rPr>
                <w:rFonts w:ascii="Arial" w:cs="Arial" w:eastAsia="Arial" w:hAnsi="Arial"/>
                <w:b w:val="false"/>
                <w:bCs w:val="false"/>
                <w:i w:val="false"/>
                <w:iCs w:val="false"/>
                <w:caps w:val="false"/>
                <w:color w:val="374151"/>
                <w:sz w:val="16"/>
                <w:szCs w:val="16"/>
              </w:rPr>
              <w:t xml:space="preserve">Rigour under obvious risk is common; consistency for apparently low-risk cases is the better test of a genuinely embedded standard.</w:t>
            </w:r>
          </w:p>
          <w:p>
            <w:pPr>
              <w:spacing w:after="16" w:before="0"/>
            </w:pPr>
            <w:r>
              <w:rPr>
                <w:rFonts w:ascii="Arial" w:cs="Arial" w:eastAsia="Arial" w:hAnsi="Arial"/>
                <w:b/>
                <w:bCs/>
                <w:i w:val="false"/>
                <w:iCs w:val="false"/>
                <w:caps w:val="false"/>
                <w:color w:val="b91c1c"/>
                <w:sz w:val="15"/>
                <w:szCs w:val="15"/>
              </w:rPr>
              <w:t xml:space="preserve">Compare the monitoring record to what continuous monitoring should show.  </w:t>
            </w:r>
            <w:r>
              <w:rPr>
                <w:rFonts w:ascii="Arial" w:cs="Arial" w:eastAsia="Arial" w:hAnsi="Arial"/>
                <w:b w:val="false"/>
                <w:bCs w:val="false"/>
                <w:i w:val="false"/>
                <w:iCs w:val="false"/>
                <w:caps w:val="false"/>
                <w:color w:val="374151"/>
                <w:sz w:val="16"/>
                <w:szCs w:val="16"/>
              </w:rPr>
              <w:t xml:space="preserve">Gaps or missing intervals in the documented record can reveal monitoring lapses that would otherwise go unnoticed.</w:t>
            </w:r>
          </w:p>
          <w:p>
            <w:pPr>
              <w:spacing w:after="36" w:before="0"/>
            </w:pPr>
            <w:r>
              <w:rPr>
                <w:rFonts w:ascii="Arial" w:cs="Arial" w:eastAsia="Arial" w:hAnsi="Arial"/>
                <w:b/>
                <w:bCs/>
                <w:i w:val="false"/>
                <w:iCs w:val="false"/>
                <w:caps w:val="false"/>
                <w:color w:val="b91c1c"/>
                <w:sz w:val="15"/>
                <w:szCs w:val="15"/>
              </w:rPr>
              <w:t xml:space="preserve">Ask what happens when recovery is busy and a bed is needed.  </w:t>
            </w:r>
            <w:r>
              <w:rPr>
                <w:rFonts w:ascii="Arial" w:cs="Arial" w:eastAsia="Arial" w:hAnsi="Arial"/>
                <w:b w:val="false"/>
                <w:bCs w:val="false"/>
                <w:i w:val="false"/>
                <w:iCs w:val="false"/>
                <w:caps w:val="false"/>
                <w:color w:val="374151"/>
                <w:sz w:val="16"/>
                <w:szCs w:val="16"/>
              </w:rPr>
              <w:t xml:space="preserve">This is the moment recovery discharge criteria are most likely to be quietly bent — a specific, honest answer is revealing.</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c1yntu8ctcs_sndvqv-_v">
              <w:r>
                <w:rPr>
                  <w:rFonts w:ascii="Arial" w:cs="Arial" w:eastAsia="Arial" w:hAnsi="Arial"/>
                  <w:b/>
                  <w:bCs/>
                  <w:color w:val="c9a227"/>
                  <w:sz w:val="13"/>
                  <w:szCs w:val="13"/>
                  <w:u w:val="single"/>
                </w:rPr>
                <w:t xml:space="preserve">academy.gmj.ge/ch6-2-anaesthesia-safety-standards</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6.3</w:t>
            </w:r>
            <w:r>
              <w:rPr>
                <w:rFonts w:ascii="Helvetica" w:cs="Helvetica" w:eastAsia="Helvetica" w:hAnsi="Helvetica"/>
                <w:b/>
                <w:bCs/>
                <w:i w:val="false"/>
                <w:iCs w:val="false"/>
                <w:caps/>
                <w:color w:val="c9a227"/>
                <w:sz w:val="10"/>
                <w:szCs w:val="10"/>
              </w:rPr>
              <w:t xml:space="preserve">  CORE</w:t>
            </w:r>
            <w:r>
              <w:rPr>
                <w:rFonts w:ascii="Arial" w:cs="Arial" w:eastAsia="Arial" w:hAnsi="Arial"/>
                <w:b w:val="false"/>
                <w:bCs w:val="false"/>
                <w:i/>
                <w:iCs/>
                <w:caps w:val="false"/>
                <w:color w:val="8fa8c8"/>
                <w:sz w:val="10"/>
                <w:szCs w:val="10"/>
              </w:rPr>
              <w:t xml:space="preserve">  ·  Level 1  ·  Chapter 6: Surgical &amp; Procedural Safety</w:t>
            </w:r>
          </w:p>
          <w:p>
            <w:pPr>
              <w:spacing w:after="36" w:before="0"/>
            </w:pPr>
            <w:r>
              <w:rPr>
                <w:rFonts w:ascii="Arial" w:cs="Arial" w:eastAsia="Arial" w:hAnsi="Arial"/>
                <w:b/>
                <w:bCs/>
                <w:i w:val="false"/>
                <w:iCs w:val="false"/>
                <w:caps w:val="false"/>
                <w:color w:val="dce8f5"/>
                <w:sz w:val="12"/>
                <w:szCs w:val="12"/>
              </w:rPr>
              <w:t xml:space="preserve">Surgical Site Infection Prevention</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7</w:t>
            </w:r>
          </w:p>
          <w:p>
            <w:pPr>
              <w:spacing w:after="36" w:before="0"/>
            </w:pPr>
            <w:r>
              <w:rPr>
                <w:rFonts w:ascii="Arial" w:cs="Arial" w:eastAsia="Arial" w:hAnsi="Arial"/>
                <w:b w:val="false"/>
                <w:bCs w:val="false"/>
                <w:i/>
                <w:iCs/>
                <w:caps w:val="false"/>
                <w:color w:val="8fa8c8"/>
                <w:sz w:val="9"/>
                <w:szCs w:val="9"/>
              </w:rPr>
              <w:t xml:space="preserve">ASF-CH6-SPS-v2.0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6.3</w:t>
            </w:r>
          </w:p>
          <w:p>
            <w:pPr>
              <w:spacing w:after="3" w:before="0"/>
            </w:pPr>
            <w:r>
              <w:rPr>
                <w:rFonts w:ascii="Helvetica" w:cs="Helvetica" w:eastAsia="Helvetica" w:hAnsi="Helvetica"/>
                <w:b/>
                <w:bCs/>
                <w:i w:val="false"/>
                <w:iCs w:val="false"/>
                <w:caps/>
                <w:color w:val="c9a227"/>
                <w:sz w:val="12"/>
                <w:szCs w:val="12"/>
              </w:rPr>
              <w:t xml:space="preserve">CORE</w:t>
            </w:r>
          </w:p>
          <w:p>
            <w:pPr>
              <w:spacing w:after="36" w:before="0"/>
            </w:pPr>
            <w:r>
              <w:rPr>
                <w:rFonts w:ascii="Helvetica" w:cs="Helvetica" w:eastAsia="Helvetica" w:hAnsi="Helvetica"/>
                <w:b w:val="false"/>
                <w:bCs w:val="false"/>
                <w:i w:val="false"/>
                <w:iCs w:val="false"/>
                <w:caps/>
                <w:color w:val="aaaaaa"/>
                <w:sz w:val="10"/>
                <w:szCs w:val="10"/>
              </w:rPr>
              <w:t xml:space="preserve">L1</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Surgical Site Infection Prevention</w:t>
            </w:r>
          </w:p>
          <w:p>
            <w:pPr>
              <w:spacing w:after="36" w:before="0"/>
            </w:pPr>
            <w:r>
              <w:rPr>
                <w:rFonts w:ascii="Arial" w:cs="Arial" w:eastAsia="Arial" w:hAnsi="Arial"/>
                <w:b w:val="false"/>
                <w:bCs w:val="false"/>
                <w:i w:val="false"/>
                <w:iCs w:val="false"/>
                <w:caps w:val="false"/>
                <w:color w:val="4b5563"/>
                <w:sz w:val="15"/>
                <w:szCs w:val="15"/>
              </w:rPr>
              <w:t xml:space="preserve">The hospital follows evidence-based practices to prevent surgical site infection, including appropriate antibiotic prophylaxis timing, skin preparation, and normothermia, with surveillance of infection rates.</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prophylactic antibiotic administered within the evidence-based timeframe before incision?</w:t>
            </w:r>
          </w:p>
          <w:p>
            <w:pPr>
              <w:spacing w:after="7" w:before="0"/>
            </w:pPr>
            <w:r>
              <w:rPr>
                <w:rFonts w:ascii="Arial" w:cs="Arial" w:eastAsia="Arial" w:hAnsi="Arial"/>
                <w:b w:val="false"/>
                <w:bCs w:val="false"/>
                <w:i/>
                <w:iCs/>
                <w:caps w:val="false"/>
                <w:color w:val="4b5563"/>
                <w:sz w:val="15"/>
                <w:szCs w:val="15"/>
              </w:rPr>
              <w:t xml:space="preserve">Check timing against the standard, typically within 60 minutes before incision.</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Antibiotic timing records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appropriate skin antisepsis performed before every procedure, following a defined protocol?</w:t>
            </w:r>
          </w:p>
          <w:p>
            <w:pPr>
              <w:spacing w:after="7" w:before="0"/>
            </w:pPr>
            <w:r>
              <w:rPr>
                <w:rFonts w:ascii="Arial" w:cs="Arial" w:eastAsia="Arial" w:hAnsi="Arial"/>
                <w:b w:val="false"/>
                <w:bCs w:val="false"/>
                <w:i/>
                <w:iCs/>
                <w:caps w:val="false"/>
                <w:color w:val="4b5563"/>
                <w:sz w:val="15"/>
                <w:szCs w:val="15"/>
              </w:rPr>
              <w:t xml:space="preserve">Check the protocol specifies agent and technique.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Skin preparation protocol</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patient normothermia actively maintained during surgery?</w:t>
            </w:r>
          </w:p>
          <w:p>
            <w:pPr>
              <w:spacing w:after="36" w:before="0"/>
            </w:pPr>
            <w:r>
              <w:rPr>
                <w:rFonts w:ascii="Arial" w:cs="Arial" w:eastAsia="Arial" w:hAnsi="Arial"/>
                <w:b w:val="false"/>
                <w:bCs w:val="false"/>
                <w:i/>
                <w:iCs/>
                <w:caps w:val="false"/>
                <w:color w:val="4b5563"/>
                <w:sz w:val="15"/>
                <w:szCs w:val="15"/>
              </w:rPr>
              <w:t xml:space="preserve">Check for active warming measures and temperature monitoring during procedures.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surgical site infection rate tracked and reviewed as a surveillance indicator?</w:t>
            </w:r>
          </w:p>
          <w:p>
            <w:pPr>
              <w:spacing w:after="7" w:before="0"/>
            </w:pPr>
            <w:r>
              <w:rPr>
                <w:rFonts w:ascii="Arial" w:cs="Arial" w:eastAsia="Arial" w:hAnsi="Arial"/>
                <w:b w:val="false"/>
                <w:bCs w:val="false"/>
                <w:i/>
                <w:iCs/>
                <w:caps w:val="false"/>
                <w:color w:val="4b5563"/>
                <w:sz w:val="15"/>
                <w:szCs w:val="15"/>
              </w:rPr>
              <w:t xml:space="preserve">Check for SSI rate data over time, not only individual case review.</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SSI surveillance data</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SSI rates linked back to practice review when trends are unfavourable?</w:t>
            </w:r>
          </w:p>
          <w:p>
            <w:pPr>
              <w:spacing w:after="36" w:before="0"/>
            </w:pPr>
            <w:r>
              <w:rPr>
                <w:rFonts w:ascii="Arial" w:cs="Arial" w:eastAsia="Arial" w:hAnsi="Arial"/>
                <w:b w:val="false"/>
                <w:bCs w:val="false"/>
                <w:i/>
                <w:iCs/>
                <w:caps w:val="false"/>
                <w:color w:val="4b5563"/>
                <w:sz w:val="15"/>
                <w:szCs w:val="15"/>
              </w:rPr>
              <w:t xml:space="preserve">Ask for an example of a practice change made in response to SSI surveillance data.</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Antibiotic timing audit</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prophylactic antibiotic administration timing against the evidence-based standard for a sample of procedures.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Skin preparation observation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Observes or reviews documentation of skin antisepsis technique for adherence to the defined protocol.</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Normothermia monitoring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intraoperative temperature monitoring and active warming measures for a sample of procedures.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SSI surveillance data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surgical site infection rate data over time and evidence of practice review when trends are unfavourable.</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soagd_bpnz8woarttuqgu">
              <w:r>
                <w:rPr>
                  <w:rFonts w:ascii="Arial" w:cs="Arial" w:eastAsia="Arial" w:hAnsi="Arial"/>
                  <w:b/>
                  <w:bCs/>
                  <w:color w:val="c9a227"/>
                  <w:sz w:val="13"/>
                  <w:szCs w:val="13"/>
                  <w:u w:val="single"/>
                </w:rPr>
                <w:t xml:space="preserve">World Health Organization. Global guidelines for the prevention of surgical site infection. 2nd ed. Geneva: WHO; 2018.</w:t>
              </w:r>
            </w:hyperlink>
            <w:r>
              <w:rPr>
                <w:rFonts w:ascii="Arial" w:cs="Arial" w:eastAsia="Arial" w:hAnsi="Arial"/>
                <w:b/>
                <w:bCs/>
                <w:i w:val="false"/>
                <w:iCs w:val="false"/>
                <w:caps w:val="false"/>
                <w:color w:val="6b778c"/>
                <w:sz w:val="13"/>
                <w:szCs w:val="13"/>
              </w:rPr>
              <w:t xml:space="preserve">   2. </w:t>
            </w:r>
            <w:hyperlink w:history="1" r:id="rIdqoy0r9cqf5szoqkhcevt6">
              <w:r>
                <w:rPr>
                  <w:rFonts w:ascii="Arial" w:cs="Arial" w:eastAsia="Arial" w:hAnsi="Arial"/>
                  <w:b/>
                  <w:bCs/>
                  <w:color w:val="c9a227"/>
                  <w:sz w:val="13"/>
                  <w:szCs w:val="13"/>
                  <w:u w:val="single"/>
                </w:rPr>
                <w:t xml:space="preserve">Berrios-Torres SI, Umscheid CA, Bratzler DW, et al. Centers for Disease Control and Prevention guideline for the prevention of surgical site infection. JAMA Surg. 2017;152(8):784-791.</w:t>
              </w:r>
            </w:hyperlink>
            <w:r>
              <w:rPr>
                <w:rFonts w:ascii="Arial" w:cs="Arial" w:eastAsia="Arial" w:hAnsi="Arial"/>
                <w:b/>
                <w:bCs/>
                <w:i w:val="false"/>
                <w:iCs w:val="false"/>
                <w:caps w:val="false"/>
                <w:color w:val="6b778c"/>
                <w:sz w:val="13"/>
                <w:szCs w:val="13"/>
              </w:rPr>
              <w:t xml:space="preserve">   3. </w:t>
            </w:r>
            <w:hyperlink w:history="1" r:id="rIdk03icbcv4vrgmrant_b4q">
              <w:r>
                <w:rPr>
                  <w:rFonts w:ascii="Arial" w:cs="Arial" w:eastAsia="Arial" w:hAnsi="Arial"/>
                  <w:b/>
                  <w:bCs/>
                  <w:color w:val="c9a227"/>
                  <w:sz w:val="13"/>
                  <w:szCs w:val="13"/>
                  <w:u w:val="single"/>
                </w:rPr>
                <w:t xml:space="preserve">National Institute for Health and Care Excellence. Surgical site infections: prevention and treatment. London: NICE; 2020.</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6.3</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6.3</w:t>
            </w:r>
            <w:r>
              <w:rPr>
                <w:rFonts w:ascii="Arial" w:cs="Arial" w:eastAsia="Arial" w:hAnsi="Arial"/>
                <w:b w:val="false"/>
                <w:bCs w:val="false"/>
                <w:i/>
                <w:iCs/>
                <w:caps w:val="false"/>
                <w:color w:val="8fa8c8"/>
                <w:sz w:val="10"/>
                <w:szCs w:val="10"/>
              </w:rPr>
              <w:t xml:space="preserve">  ·  Level 1  ·  Chapter 6: Surgical &amp; Procedural Safety</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8</w:t>
            </w:r>
          </w:p>
          <w:p>
            <w:pPr>
              <w:spacing w:after="36" w:before="0"/>
            </w:pPr>
            <w:r>
              <w:rPr>
                <w:rFonts w:ascii="Arial" w:cs="Arial" w:eastAsia="Arial" w:hAnsi="Arial"/>
                <w:b w:val="false"/>
                <w:bCs w:val="false"/>
                <w:i/>
                <w:iCs/>
                <w:caps w:val="false"/>
                <w:color w:val="8fa8c8"/>
                <w:sz w:val="9"/>
                <w:szCs w:val="9"/>
              </w:rPr>
              <w:t xml:space="preserve">ASF-CH6-SPS-v2.0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Surgical site infection is among the most common and most preventable healthcare-associated infections, and the evidence for what prevents it — correctly timed antibiotics, proper skin antisepsis, and maintaining normal body temperature during surgery — is unusually strong and specific. Each of these is a small, low-cost intervention with outsized protective effect, and each is also easy to let slip under time pressure unless actively tracked.</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WHO Global Guidelines 2018 — correctly timed surgical antibiotic prophylaxis, appropriate skin preparation, and maintained normothermia are each independently associated with significant reductions in surgical site infection rates across all resource settings.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Prophylactic antibiotics are consistently administered within the evidence-based timeframe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Skin antisepsis follows a defined protocol for agent and technique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Active warming measures maintain patient normothermia throughout surgery</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Surgical site infection rates are tracked as an ongoing surveillance indicator</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Unfavourable SSI trends prompt a specific, documented practice review and response</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Antibiotic timing is inconsistent, often given too early or too late relative to incision</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Skin preparation technique varies by individual practice, with no defined protocol</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active measures are taken to maintain patient temperature during surgery</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Surgical site infection rates are not tracked or reviewed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SSI surveillance data, if collected, never prompts any practice change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Antibiotic timing is correct for scheduled cases but inconsistent for urgent or emergency procedures.</w:t>
            </w:r>
          </w:p>
          <w:p>
            <w:pPr>
              <w:spacing w:after="20" w:before="0"/>
            </w:pPr>
            <w:r>
              <w:rPr>
                <w:rFonts w:ascii="Arial" w:cs="Arial" w:eastAsia="Arial" w:hAnsi="Arial"/>
                <w:b w:val="false"/>
                <w:bCs w:val="false"/>
                <w:i/>
                <w:iCs/>
                <w:caps w:val="false"/>
                <w:color w:val="4b5563"/>
                <w:sz w:val="15"/>
                <w:szCs w:val="15"/>
              </w:rPr>
              <w:t xml:space="preserve">Elective surgery reliably follows the timing standard, but emergency cases, where timing is harder to control, show more variation.</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SSI rates are tracked but the data doesn’t reach the surgical team.</w:t>
            </w:r>
          </w:p>
          <w:p>
            <w:pPr>
              <w:spacing w:after="20" w:before="0"/>
            </w:pPr>
            <w:r>
              <w:rPr>
                <w:rFonts w:ascii="Arial" w:cs="Arial" w:eastAsia="Arial" w:hAnsi="Arial"/>
                <w:b w:val="false"/>
                <w:bCs w:val="false"/>
                <w:i/>
                <w:iCs/>
                <w:caps w:val="false"/>
                <w:color w:val="4b5563"/>
                <w:sz w:val="15"/>
                <w:szCs w:val="15"/>
              </w:rPr>
              <w:t xml:space="preserve">Surveillance data exists and is technically collected, but it is reviewed by infection control staff without being shared back with the surgeons whose practice it reflects.</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Normothermia is prioritised for long procedures but overlooked for shorter ones.</w:t>
            </w:r>
          </w:p>
          <w:p>
            <w:pPr>
              <w:spacing w:after="36" w:before="0"/>
            </w:pPr>
            <w:r>
              <w:rPr>
                <w:rFonts w:ascii="Arial" w:cs="Arial" w:eastAsia="Arial" w:hAnsi="Arial"/>
                <w:b w:val="false"/>
                <w:bCs w:val="false"/>
                <w:i/>
                <w:iCs/>
                <w:caps w:val="false"/>
                <w:color w:val="4b5563"/>
                <w:sz w:val="15"/>
                <w:szCs w:val="15"/>
              </w:rPr>
              <w:t xml:space="preserve">Active warming is standard practice for extended surgery, but shorter procedures, where the risk is assumed to be lower, are treated less consistently.</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Audit antibiotic prophylaxis timing against the evidence-based standard for a sample of recent procedures.</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Confirm or standardise the skin antisepsis protocol, including agent and technique.</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Introduce or reinforce active warming measures and temperature monitoring for all procedures.</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Establish or strengthen ongoing SSI rate surveillance, with data shared back to the surgical team.</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Review SSI trends periodically; investigate and respond to unfavourable patterns.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Check antibiotic timing specifically for emergency cases.  </w:t>
            </w:r>
            <w:r>
              <w:rPr>
                <w:rFonts w:ascii="Arial" w:cs="Arial" w:eastAsia="Arial" w:hAnsi="Arial"/>
                <w:b w:val="false"/>
                <w:bCs w:val="false"/>
                <w:i w:val="false"/>
                <w:iCs w:val="false"/>
                <w:caps w:val="false"/>
                <w:color w:val="374151"/>
                <w:sz w:val="16"/>
                <w:szCs w:val="16"/>
              </w:rPr>
              <w:t xml:space="preserve">Timing discipline often weakens under the pressure of an urgent, unscheduled procedure — this is where the real test lies.</w:t>
            </w:r>
          </w:p>
          <w:p>
            <w:pPr>
              <w:spacing w:after="16" w:before="0"/>
            </w:pPr>
            <w:r>
              <w:rPr>
                <w:rFonts w:ascii="Arial" w:cs="Arial" w:eastAsia="Arial" w:hAnsi="Arial"/>
                <w:b/>
                <w:bCs/>
                <w:i w:val="false"/>
                <w:iCs w:val="false"/>
                <w:caps w:val="false"/>
                <w:color w:val="b91c1c"/>
                <w:sz w:val="15"/>
                <w:szCs w:val="15"/>
              </w:rPr>
              <w:t xml:space="preserve">Ask whether surgeons themselves see the SSI data.  </w:t>
            </w:r>
            <w:r>
              <w:rPr>
                <w:rFonts w:ascii="Arial" w:cs="Arial" w:eastAsia="Arial" w:hAnsi="Arial"/>
                <w:b w:val="false"/>
                <w:bCs w:val="false"/>
                <w:i w:val="false"/>
                <w:iCs w:val="false"/>
                <w:caps w:val="false"/>
                <w:color w:val="374151"/>
                <w:sz w:val="16"/>
                <w:szCs w:val="16"/>
              </w:rPr>
              <w:t xml:space="preserve">Surveillance that stops with infection control staff and never reaches the surgical team is unlikely to change practice.</w:t>
            </w:r>
          </w:p>
          <w:p>
            <w:pPr>
              <w:spacing w:after="36" w:before="0"/>
            </w:pPr>
            <w:r>
              <w:rPr>
                <w:rFonts w:ascii="Arial" w:cs="Arial" w:eastAsia="Arial" w:hAnsi="Arial"/>
                <w:b/>
                <w:bCs/>
                <w:i w:val="false"/>
                <w:iCs w:val="false"/>
                <w:caps w:val="false"/>
                <w:color w:val="b91c1c"/>
                <w:sz w:val="15"/>
                <w:szCs w:val="15"/>
              </w:rPr>
              <w:t xml:space="preserve">Look at normothermia measures for shorter procedures, not just long ones.  </w:t>
            </w:r>
            <w:r>
              <w:rPr>
                <w:rFonts w:ascii="Arial" w:cs="Arial" w:eastAsia="Arial" w:hAnsi="Arial"/>
                <w:b w:val="false"/>
                <w:bCs w:val="false"/>
                <w:i w:val="false"/>
                <w:iCs w:val="false"/>
                <w:caps w:val="false"/>
                <w:color w:val="374151"/>
                <w:sz w:val="16"/>
                <w:szCs w:val="16"/>
              </w:rPr>
              <w:t xml:space="preserve">Assumptions that shorter surgery carries negligible temperature risk are common and not always well-founded.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ya8oe1lpiq0ezq4u7ewim">
              <w:r>
                <w:rPr>
                  <w:rFonts w:ascii="Arial" w:cs="Arial" w:eastAsia="Arial" w:hAnsi="Arial"/>
                  <w:b/>
                  <w:bCs/>
                  <w:color w:val="c9a227"/>
                  <w:sz w:val="13"/>
                  <w:szCs w:val="13"/>
                  <w:u w:val="single"/>
                </w:rPr>
                <w:t xml:space="preserve">academy.gmj.ge/ch6-3-surgical-site-infection-prevention</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6.4</w:t>
            </w:r>
            <w:r>
              <w:rPr>
                <w:rFonts w:ascii="Arial" w:cs="Arial" w:eastAsia="Arial" w:hAnsi="Arial"/>
                <w:b w:val="false"/>
                <w:bCs w:val="false"/>
                <w:i/>
                <w:iCs/>
                <w:caps w:val="false"/>
                <w:color w:val="8fa8c8"/>
                <w:sz w:val="10"/>
                <w:szCs w:val="10"/>
              </w:rPr>
              <w:t xml:space="preserve">  ·  Level 1  ·  Chapter 6: Surgical &amp; Procedural Safety</w:t>
            </w:r>
          </w:p>
          <w:p>
            <w:pPr>
              <w:spacing w:after="36" w:before="0"/>
            </w:pPr>
            <w:r>
              <w:rPr>
                <w:rFonts w:ascii="Arial" w:cs="Arial" w:eastAsia="Arial" w:hAnsi="Arial"/>
                <w:b/>
                <w:bCs/>
                <w:i w:val="false"/>
                <w:iCs w:val="false"/>
                <w:caps w:val="false"/>
                <w:color w:val="dce8f5"/>
                <w:sz w:val="12"/>
                <w:szCs w:val="12"/>
              </w:rPr>
              <w:t xml:space="preserve">Informed Consent for Surgical Procedures</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9</w:t>
            </w:r>
          </w:p>
          <w:p>
            <w:pPr>
              <w:spacing w:after="36" w:before="0"/>
            </w:pPr>
            <w:r>
              <w:rPr>
                <w:rFonts w:ascii="Arial" w:cs="Arial" w:eastAsia="Arial" w:hAnsi="Arial"/>
                <w:b w:val="false"/>
                <w:bCs w:val="false"/>
                <w:i/>
                <w:iCs/>
                <w:caps w:val="false"/>
                <w:color w:val="8fa8c8"/>
                <w:sz w:val="9"/>
                <w:szCs w:val="9"/>
              </w:rPr>
              <w:t xml:space="preserve">ASF-CH6-SPS-v2.0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6.4</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L1</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Informed Consent for Surgical Procedures</w:t>
            </w:r>
          </w:p>
          <w:p>
            <w:pPr>
              <w:spacing w:after="36" w:before="0"/>
            </w:pPr>
            <w:r>
              <w:rPr>
                <w:rFonts w:ascii="Arial" w:cs="Arial" w:eastAsia="Arial" w:hAnsi="Arial"/>
                <w:b w:val="false"/>
                <w:bCs w:val="false"/>
                <w:i w:val="false"/>
                <w:iCs w:val="false"/>
                <w:caps w:val="false"/>
                <w:color w:val="4b5563"/>
                <w:sz w:val="15"/>
                <w:szCs w:val="15"/>
              </w:rPr>
              <w:t xml:space="preserve">Every surgical patient provides documented informed consent specific to the planned procedure, including risks, alternatives, and the right to refuse, obtained by a qualified member of the surgical team.</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surgical consent obtained using a procedure-specific form, not a generic surgical consent form?</w:t>
            </w:r>
          </w:p>
          <w:p>
            <w:pPr>
              <w:spacing w:after="7" w:before="0"/>
            </w:pPr>
            <w:r>
              <w:rPr>
                <w:rFonts w:ascii="Arial" w:cs="Arial" w:eastAsia="Arial" w:hAnsi="Arial"/>
                <w:b w:val="false"/>
                <w:bCs w:val="false"/>
                <w:i/>
                <w:iCs/>
                <w:caps w:val="false"/>
                <w:color w:val="4b5563"/>
                <w:sz w:val="15"/>
                <w:szCs w:val="15"/>
              </w:rPr>
              <w:t xml:space="preserve">Check the form names the actual planned procedure and its specific risks.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Sample surgical consent forms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consent obtained by a surgeon or qualified team member involved in the procedure, not delegated to unrelated staff?</w:t>
            </w:r>
          </w:p>
          <w:p>
            <w:pPr>
              <w:spacing w:after="36" w:before="0"/>
            </w:pPr>
            <w:r>
              <w:rPr>
                <w:rFonts w:ascii="Arial" w:cs="Arial" w:eastAsia="Arial" w:hAnsi="Arial"/>
                <w:b w:val="false"/>
                <w:bCs w:val="false"/>
                <w:i/>
                <w:iCs/>
                <w:caps w:val="false"/>
                <w:color w:val="4b5563"/>
                <w:sz w:val="15"/>
                <w:szCs w:val="15"/>
              </w:rPr>
              <w:t xml:space="preserve">Check who signs as the consenting clinician.</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Does the consent conversation occur before the day of surgery where feasible, not only immediately pre-operatively?</w:t>
            </w:r>
          </w:p>
          <w:p>
            <w:pPr>
              <w:spacing w:after="36" w:before="0"/>
            </w:pPr>
            <w:r>
              <w:rPr>
                <w:rFonts w:ascii="Arial" w:cs="Arial" w:eastAsia="Arial" w:hAnsi="Arial"/>
                <w:b w:val="false"/>
                <w:bCs w:val="false"/>
                <w:i/>
                <w:iCs/>
                <w:caps w:val="false"/>
                <w:color w:val="4b5563"/>
                <w:sz w:val="15"/>
                <w:szCs w:val="15"/>
              </w:rPr>
              <w:t xml:space="preserve">Check timing of consent relative to surgery date for a sample of cases.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site marking performed and confirmed as part of the consent and pre-operative process?</w:t>
            </w:r>
          </w:p>
          <w:p>
            <w:pPr>
              <w:spacing w:after="7" w:before="0"/>
            </w:pPr>
            <w:r>
              <w:rPr>
                <w:rFonts w:ascii="Arial" w:cs="Arial" w:eastAsia="Arial" w:hAnsi="Arial"/>
                <w:b w:val="false"/>
                <w:bCs w:val="false"/>
                <w:i/>
                <w:iCs/>
                <w:caps w:val="false"/>
                <w:color w:val="4b5563"/>
                <w:sz w:val="15"/>
                <w:szCs w:val="15"/>
              </w:rPr>
              <w:t xml:space="preserve">Check for a site-marking protocol linked to the consent process.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Site marking protocol</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Can a sample of patients describe, in their own words, what procedure they consented to?</w:t>
            </w:r>
          </w:p>
          <w:p>
            <w:pPr>
              <w:spacing w:after="36" w:before="0"/>
            </w:pPr>
            <w:r>
              <w:rPr>
                <w:rFonts w:ascii="Arial" w:cs="Arial" w:eastAsia="Arial" w:hAnsi="Arial"/>
                <w:b w:val="false"/>
                <w:bCs w:val="false"/>
                <w:i/>
                <w:iCs/>
                <w:caps w:val="false"/>
                <w:color w:val="4b5563"/>
                <w:sz w:val="15"/>
                <w:szCs w:val="15"/>
              </w:rPr>
              <w:t xml:space="preserve">Brief patient interview, where appropriate.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Consent form specificity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a sample of surgical consent forms for procedure-specific content, including risks and alternatives.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Consent timing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Checks the timing of consent relative to the surgery date for a sample of cases.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Site marking observation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or observes the site marking process and its link to the consent and time-out process.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Patient understanding 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a patient, where appropriate, to describe in their own words the procedure they consented to.</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lldys7ilmoz3frxcnrxiy">
              <w:r>
                <w:rPr>
                  <w:rFonts w:ascii="Arial" w:cs="Arial" w:eastAsia="Arial" w:hAnsi="Arial"/>
                  <w:b/>
                  <w:bCs/>
                  <w:color w:val="c9a227"/>
                  <w:sz w:val="13"/>
                  <w:szCs w:val="13"/>
                  <w:u w:val="single"/>
                </w:rPr>
                <w:t xml:space="preserve">World Health Organization. WHO Guidelines for Safe Surgery 2009: Safe Surgery Saves Lives. Geneva: WHO; 2009.</w:t>
              </w:r>
            </w:hyperlink>
            <w:r>
              <w:rPr>
                <w:rFonts w:ascii="Arial" w:cs="Arial" w:eastAsia="Arial" w:hAnsi="Arial"/>
                <w:b/>
                <w:bCs/>
                <w:i w:val="false"/>
                <w:iCs w:val="false"/>
                <w:caps w:val="false"/>
                <w:color w:val="6b778c"/>
                <w:sz w:val="13"/>
                <w:szCs w:val="13"/>
              </w:rPr>
              <w:t xml:space="preserve">   2. </w:t>
            </w:r>
            <w:hyperlink w:history="1" r:id="rIdhlfjlzlfbcyziwlvk_kbr">
              <w:r>
                <w:rPr>
                  <w:rFonts w:ascii="Arial" w:cs="Arial" w:eastAsia="Arial" w:hAnsi="Arial"/>
                  <w:b/>
                  <w:bCs/>
                  <w:color w:val="c9a227"/>
                  <w:sz w:val="13"/>
                  <w:szCs w:val="13"/>
                  <w:u w:val="single"/>
                </w:rPr>
                <w:t xml:space="preserve">Council of Europe. Convention on Human Rights and Biomedicine (Oviedo Convention), Article 5. Strasbourg: Council of Europe; 1997.</w:t>
              </w:r>
            </w:hyperlink>
            <w:r>
              <w:rPr>
                <w:rFonts w:ascii="Arial" w:cs="Arial" w:eastAsia="Arial" w:hAnsi="Arial"/>
                <w:b/>
                <w:bCs/>
                <w:i w:val="false"/>
                <w:iCs w:val="false"/>
                <w:caps w:val="false"/>
                <w:color w:val="6b778c"/>
                <w:sz w:val="13"/>
                <w:szCs w:val="13"/>
              </w:rPr>
              <w:t xml:space="preserve">   3. </w:t>
            </w:r>
            <w:hyperlink w:history="1" r:id="rIde5o-gezlu3vkpoguoeodi">
              <w:r>
                <w:rPr>
                  <w:rFonts w:ascii="Arial" w:cs="Arial" w:eastAsia="Arial" w:hAnsi="Arial"/>
                  <w:b/>
                  <w:bCs/>
                  <w:color w:val="c9a227"/>
                  <w:sz w:val="13"/>
                  <w:szCs w:val="13"/>
                  <w:u w:val="single"/>
                </w:rPr>
                <w:t xml:space="preserve">American College of Surgeons. Statements on Principles: Informed Consent. Chicago: ACS; 2016.</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6.4</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6.4</w:t>
            </w:r>
            <w:r>
              <w:rPr>
                <w:rFonts w:ascii="Arial" w:cs="Arial" w:eastAsia="Arial" w:hAnsi="Arial"/>
                <w:b w:val="false"/>
                <w:bCs w:val="false"/>
                <w:i/>
                <w:iCs/>
                <w:caps w:val="false"/>
                <w:color w:val="8fa8c8"/>
                <w:sz w:val="10"/>
                <w:szCs w:val="10"/>
              </w:rPr>
              <w:t xml:space="preserve">  ·  Level 1  ·  Chapter 6: Surgical &amp; Procedural Safety</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10</w:t>
            </w:r>
          </w:p>
          <w:p>
            <w:pPr>
              <w:spacing w:after="36" w:before="0"/>
            </w:pPr>
            <w:r>
              <w:rPr>
                <w:rFonts w:ascii="Arial" w:cs="Arial" w:eastAsia="Arial" w:hAnsi="Arial"/>
                <w:b w:val="false"/>
                <w:bCs w:val="false"/>
                <w:i/>
                <w:iCs/>
                <w:caps w:val="false"/>
                <w:color w:val="8fa8c8"/>
                <w:sz w:val="9"/>
                <w:szCs w:val="9"/>
              </w:rPr>
              <w:t xml:space="preserve">ASF-CH6-SPS-v2.0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Surgical consent carries the same requirement for genuine understanding as any other consent process, but the stakes and the specificity of what could go wrong are higher — a generic form covering "surgery in general" tells a patient almost nothing about the actual risks of the actual operation they are about to have. A procedure-specific conversation, ideally with time to reflect before the day of surgery, gives consent its real ethical and legal weight.</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ACS Statements on Principles 2016 — informed consent for surgery is defined as a process requiring specific discussion of the diagnosis, the proposed procedure, material risks, and reasonable alternatives, not merely a signed authorisation to operate.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Consent forms are procedure-specific, naming the actual planned surgery and its risks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Consent is obtained by a qualified member of the surgical team involved in the procedure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The consent conversation occurs before the day of surgery where feasible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Site marking is performed and explicitly linked to the consent and time-out process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Patients can describe, in their own words, the procedure they consented to</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A generic surgical consent form is used regardless of the specific procedure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Consent is obtained by staff not involved in or qualified for the procedure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Consent conversations happen only immediately before surgery, with no time to reflect</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site marking protocol exists, or it is disconnected from the consent process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Patients cannot describe what procedure they agreed to</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The form is procedure-specific but the conversation is rushed on the day of surgery.</w:t>
            </w:r>
          </w:p>
          <w:p>
            <w:pPr>
              <w:spacing w:after="20" w:before="0"/>
            </w:pPr>
            <w:r>
              <w:rPr>
                <w:rFonts w:ascii="Arial" w:cs="Arial" w:eastAsia="Arial" w:hAnsi="Arial"/>
                <w:b w:val="false"/>
                <w:bCs w:val="false"/>
                <w:i/>
                <w:iCs/>
                <w:caps w:val="false"/>
                <w:color w:val="4b5563"/>
                <w:sz w:val="15"/>
                <w:szCs w:val="15"/>
              </w:rPr>
              <w:t xml:space="preserve">Documentation looks thorough, but in practice the substantive discussion happens minutes before the patient is taken to theatre.</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Site marking happens but isn’t consistently cross-checked against the consent form.</w:t>
            </w:r>
          </w:p>
          <w:p>
            <w:pPr>
              <w:spacing w:after="20" w:before="0"/>
            </w:pPr>
            <w:r>
              <w:rPr>
                <w:rFonts w:ascii="Arial" w:cs="Arial" w:eastAsia="Arial" w:hAnsi="Arial"/>
                <w:b w:val="false"/>
                <w:bCs w:val="false"/>
                <w:i/>
                <w:iCs/>
                <w:caps w:val="false"/>
                <w:color w:val="4b5563"/>
                <w:sz w:val="15"/>
                <w:szCs w:val="15"/>
              </w:rPr>
              <w:t xml:space="preserve">Marking occurs as a routine step, but it is not always actively verified against what the patient actually consented to.</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Consent is obtained early for elective cases but compressed for urgent ones.</w:t>
            </w:r>
          </w:p>
          <w:p>
            <w:pPr>
              <w:spacing w:after="36" w:before="0"/>
            </w:pPr>
            <w:r>
              <w:rPr>
                <w:rFonts w:ascii="Arial" w:cs="Arial" w:eastAsia="Arial" w:hAnsi="Arial"/>
                <w:b w:val="false"/>
                <w:bCs w:val="false"/>
                <w:i/>
                <w:iCs/>
                <w:caps w:val="false"/>
                <w:color w:val="4b5563"/>
                <w:sz w:val="15"/>
                <w:szCs w:val="15"/>
              </w:rPr>
              <w:t xml:space="preserve">Scheduled surgery allows time for a proper consent conversation; urgent or add-on cases receive a much more compressed process.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Review current surgical consent forms and ensure they are procedure-specific.</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Confirm consent is obtained by a qualified member of the actual surgical team.</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Where feasible, shift consent conversations earlier, ahead of the day of surgery.</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Confirm site marking is explicitly linked to and cross-checked against the consent process.</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Audit a sample of consent forms and, where feasible, patient understanding on a regular schedule.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Ask the patient to describe the procedure, not just confirm they signed.  </w:t>
            </w:r>
            <w:r>
              <w:rPr>
                <w:rFonts w:ascii="Arial" w:cs="Arial" w:eastAsia="Arial" w:hAnsi="Arial"/>
                <w:b w:val="false"/>
                <w:bCs w:val="false"/>
                <w:i w:val="false"/>
                <w:iCs w:val="false"/>
                <w:caps w:val="false"/>
                <w:color w:val="374151"/>
                <w:sz w:val="16"/>
                <w:szCs w:val="16"/>
              </w:rPr>
              <w:t xml:space="preserve">A patient who can restate the operation and its main risk in their own words has genuinely consented.</w:t>
            </w:r>
          </w:p>
          <w:p>
            <w:pPr>
              <w:spacing w:after="16" w:before="0"/>
            </w:pPr>
            <w:r>
              <w:rPr>
                <w:rFonts w:ascii="Arial" w:cs="Arial" w:eastAsia="Arial" w:hAnsi="Arial"/>
                <w:b/>
                <w:bCs/>
                <w:i w:val="false"/>
                <w:iCs w:val="false"/>
                <w:caps w:val="false"/>
                <w:color w:val="b91c1c"/>
                <w:sz w:val="15"/>
                <w:szCs w:val="15"/>
              </w:rPr>
              <w:t xml:space="preserve">Check the date and time of the consent conversation against the surgery date.  </w:t>
            </w:r>
            <w:r>
              <w:rPr>
                <w:rFonts w:ascii="Arial" w:cs="Arial" w:eastAsia="Arial" w:hAnsi="Arial"/>
                <w:b w:val="false"/>
                <w:bCs w:val="false"/>
                <w:i w:val="false"/>
                <w:iCs w:val="false"/>
                <w:caps w:val="false"/>
                <w:color w:val="374151"/>
                <w:sz w:val="16"/>
                <w:szCs w:val="16"/>
              </w:rPr>
              <w:t xml:space="preserve">Same-day, pre-operative-only consent for elective cases is a common and significant gap.</w:t>
            </w:r>
          </w:p>
          <w:p>
            <w:pPr>
              <w:spacing w:after="36" w:before="0"/>
            </w:pPr>
            <w:r>
              <w:rPr>
                <w:rFonts w:ascii="Arial" w:cs="Arial" w:eastAsia="Arial" w:hAnsi="Arial"/>
                <w:b/>
                <w:bCs/>
                <w:i w:val="false"/>
                <w:iCs w:val="false"/>
                <w:caps w:val="false"/>
                <w:color w:val="b91c1c"/>
                <w:sz w:val="15"/>
                <w:szCs w:val="15"/>
              </w:rPr>
              <w:t xml:space="preserve">Verify the site marking against the consent form directly.  </w:t>
            </w:r>
            <w:r>
              <w:rPr>
                <w:rFonts w:ascii="Arial" w:cs="Arial" w:eastAsia="Arial" w:hAnsi="Arial"/>
                <w:b w:val="false"/>
                <w:bCs w:val="false"/>
                <w:i w:val="false"/>
                <w:iCs w:val="false"/>
                <w:caps w:val="false"/>
                <w:color w:val="374151"/>
                <w:sz w:val="16"/>
                <w:szCs w:val="16"/>
              </w:rPr>
              <w:t xml:space="preserve">A quick cross-check between the two documents is one of the simplest, highest-value safety verifications available.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45qmru5k0rqvwrzdg32qi">
              <w:r>
                <w:rPr>
                  <w:rFonts w:ascii="Arial" w:cs="Arial" w:eastAsia="Arial" w:hAnsi="Arial"/>
                  <w:b/>
                  <w:bCs/>
                  <w:color w:val="c9a227"/>
                  <w:sz w:val="13"/>
                  <w:szCs w:val="13"/>
                  <w:u w:val="single"/>
                </w:rPr>
                <w:t xml:space="preserve">academy.gmj.ge/ch6-4-informed-consent-surgical</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6.5</w:t>
            </w:r>
            <w:r>
              <w:rPr>
                <w:rFonts w:ascii="Arial" w:cs="Arial" w:eastAsia="Arial" w:hAnsi="Arial"/>
                <w:b w:val="false"/>
                <w:bCs w:val="false"/>
                <w:i/>
                <w:iCs/>
                <w:caps w:val="false"/>
                <w:color w:val="8fa8c8"/>
                <w:sz w:val="10"/>
                <w:szCs w:val="10"/>
              </w:rPr>
              <w:t xml:space="preserve">  ·  Level 1  ·  Chapter 6: Surgical &amp; Procedural Safety</w:t>
            </w:r>
          </w:p>
          <w:p>
            <w:pPr>
              <w:spacing w:after="36" w:before="0"/>
            </w:pPr>
            <w:r>
              <w:rPr>
                <w:rFonts w:ascii="Arial" w:cs="Arial" w:eastAsia="Arial" w:hAnsi="Arial"/>
                <w:b/>
                <w:bCs/>
                <w:i w:val="false"/>
                <w:iCs w:val="false"/>
                <w:caps w:val="false"/>
                <w:color w:val="dce8f5"/>
                <w:sz w:val="12"/>
                <w:szCs w:val="12"/>
              </w:rPr>
              <w:t xml:space="preserve">Instrument Counts and Retained Items Prevention</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11</w:t>
            </w:r>
          </w:p>
          <w:p>
            <w:pPr>
              <w:spacing w:after="36" w:before="0"/>
            </w:pPr>
            <w:r>
              <w:rPr>
                <w:rFonts w:ascii="Arial" w:cs="Arial" w:eastAsia="Arial" w:hAnsi="Arial"/>
                <w:b w:val="false"/>
                <w:bCs w:val="false"/>
                <w:i/>
                <w:iCs/>
                <w:caps w:val="false"/>
                <w:color w:val="8fa8c8"/>
                <w:sz w:val="9"/>
                <w:szCs w:val="9"/>
              </w:rPr>
              <w:t xml:space="preserve">ASF-CH6-SPS-v2.0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6.5</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L1</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Instrument Counts and Retained Items Prevention</w:t>
            </w:r>
          </w:p>
          <w:p>
            <w:pPr>
              <w:spacing w:after="36" w:before="0"/>
            </w:pPr>
            <w:r>
              <w:rPr>
                <w:rFonts w:ascii="Arial" w:cs="Arial" w:eastAsia="Arial" w:hAnsi="Arial"/>
                <w:b w:val="false"/>
                <w:bCs w:val="false"/>
                <w:i w:val="false"/>
                <w:iCs w:val="false"/>
                <w:caps w:val="false"/>
                <w:color w:val="4b5563"/>
                <w:sz w:val="15"/>
                <w:szCs w:val="15"/>
              </w:rPr>
              <w:t xml:space="preserve">The hospital performs and documents a structured count of instruments, sponges, and sharps before and after every surgical procedure, with a defined process for resolving count discrepancies.</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a structured count of instruments, sponges, and sharps performed before and after every procedure?</w:t>
            </w:r>
          </w:p>
          <w:p>
            <w:pPr>
              <w:spacing w:after="7" w:before="0"/>
            </w:pPr>
            <w:r>
              <w:rPr>
                <w:rFonts w:ascii="Arial" w:cs="Arial" w:eastAsia="Arial" w:hAnsi="Arial"/>
                <w:b w:val="false"/>
                <w:bCs w:val="false"/>
                <w:i/>
                <w:iCs/>
                <w:caps w:val="false"/>
                <w:color w:val="4b5563"/>
                <w:sz w:val="15"/>
                <w:szCs w:val="15"/>
              </w:rPr>
              <w:t xml:space="preserve">Check counts are performed for every case, not only complex ones.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Count policy</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counts documented, with both initial and final counts recorded and reconciled?</w:t>
            </w:r>
          </w:p>
          <w:p>
            <w:pPr>
              <w:spacing w:after="7" w:before="0"/>
            </w:pPr>
            <w:r>
              <w:rPr>
                <w:rFonts w:ascii="Arial" w:cs="Arial" w:eastAsia="Arial" w:hAnsi="Arial"/>
                <w:b w:val="false"/>
                <w:bCs w:val="false"/>
                <w:i/>
                <w:iCs/>
                <w:caps w:val="false"/>
                <w:color w:val="4b5563"/>
                <w:sz w:val="15"/>
                <w:szCs w:val="15"/>
              </w:rPr>
              <w:t xml:space="preserve">Spot-check five procedure records for documented counts.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Sample count records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defined process for resolving a count discrepancy before the patient leaves theatre?</w:t>
            </w:r>
          </w:p>
          <w:p>
            <w:pPr>
              <w:spacing w:after="7" w:before="0"/>
            </w:pPr>
            <w:r>
              <w:rPr>
                <w:rFonts w:ascii="Arial" w:cs="Arial" w:eastAsia="Arial" w:hAnsi="Arial"/>
                <w:b w:val="false"/>
                <w:bCs w:val="false"/>
                <w:i/>
                <w:iCs/>
                <w:caps w:val="false"/>
                <w:color w:val="4b5563"/>
                <w:sz w:val="15"/>
                <w:szCs w:val="15"/>
              </w:rPr>
              <w:t xml:space="preserve">Check the specific steps, including imaging if a discrepancy cannot be resolved.</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Discrepancy resolution protocol</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two staff members involved in the counting process, not a single individual?</w:t>
            </w:r>
          </w:p>
          <w:p>
            <w:pPr>
              <w:spacing w:after="36" w:before="0"/>
            </w:pPr>
            <w:r>
              <w:rPr>
                <w:rFonts w:ascii="Arial" w:cs="Arial" w:eastAsia="Arial" w:hAnsi="Arial"/>
                <w:b w:val="false"/>
                <w:bCs w:val="false"/>
                <w:i/>
                <w:iCs/>
                <w:caps w:val="false"/>
                <w:color w:val="4b5563"/>
                <w:sz w:val="15"/>
                <w:szCs w:val="15"/>
              </w:rPr>
              <w:t xml:space="preserve">Check the count is performed by two people independently, not one person alone.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retained item near-misses or events tracked and reviewed?</w:t>
            </w:r>
          </w:p>
          <w:p>
            <w:pPr>
              <w:spacing w:after="7" w:before="0"/>
            </w:pPr>
            <w:r>
              <w:rPr>
                <w:rFonts w:ascii="Arial" w:cs="Arial" w:eastAsia="Arial" w:hAnsi="Arial"/>
                <w:b w:val="false"/>
                <w:bCs w:val="false"/>
                <w:i/>
                <w:iCs/>
                <w:caps w:val="false"/>
                <w:color w:val="4b5563"/>
                <w:sz w:val="15"/>
                <w:szCs w:val="15"/>
              </w:rPr>
              <w:t xml:space="preserve">Check the incident log for this specific category.</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Retained item incident log</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Count documentation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a sample of procedure records for documented initial and final counts, properly reconciled.</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Live count observation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Where possible, observes a count being performed for two-person involvement and structured process.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Discrepancy resolution protocol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defined process for resolving a count discrepancy, including imaging escalation.</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Retained item incident log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log for retained item near-misses or events and evidence of follow-up.</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nvllpi9_vzofxln5vfrph">
              <w:r>
                <w:rPr>
                  <w:rFonts w:ascii="Arial" w:cs="Arial" w:eastAsia="Arial" w:hAnsi="Arial"/>
                  <w:b/>
                  <w:bCs/>
                  <w:color w:val="c9a227"/>
                  <w:sz w:val="13"/>
                  <w:szCs w:val="13"/>
                  <w:u w:val="single"/>
                </w:rPr>
                <w:t xml:space="preserve">World Health Organization. WHO Guidelines for Safe Surgery 2009: Safe Surgery Saves Lives (retained item prevention). Geneva: WHO; 2009.</w:t>
              </w:r>
            </w:hyperlink>
            <w:r>
              <w:rPr>
                <w:rFonts w:ascii="Arial" w:cs="Arial" w:eastAsia="Arial" w:hAnsi="Arial"/>
                <w:b/>
                <w:bCs/>
                <w:i w:val="false"/>
                <w:iCs w:val="false"/>
                <w:caps w:val="false"/>
                <w:color w:val="6b778c"/>
                <w:sz w:val="13"/>
                <w:szCs w:val="13"/>
              </w:rPr>
              <w:t xml:space="preserve">   2. </w:t>
            </w:r>
            <w:hyperlink w:history="1" r:id="rIdhbn4lk-34h0gzwttsqrib">
              <w:r>
                <w:rPr>
                  <w:rFonts w:ascii="Arial" w:cs="Arial" w:eastAsia="Arial" w:hAnsi="Arial"/>
                  <w:b/>
                  <w:bCs/>
                  <w:color w:val="c9a227"/>
                  <w:sz w:val="13"/>
                  <w:szCs w:val="13"/>
                  <w:u w:val="single"/>
                </w:rPr>
                <w:t xml:space="preserve">Association of periOperative Registered Nurses. Guideline for Prevention of Retained Surgical Items. Denver: AORN; 2022.</w:t>
              </w:r>
            </w:hyperlink>
            <w:r>
              <w:rPr>
                <w:rFonts w:ascii="Arial" w:cs="Arial" w:eastAsia="Arial" w:hAnsi="Arial"/>
                <w:b/>
                <w:bCs/>
                <w:i w:val="false"/>
                <w:iCs w:val="false"/>
                <w:caps w:val="false"/>
                <w:color w:val="6b778c"/>
                <w:sz w:val="13"/>
                <w:szCs w:val="13"/>
              </w:rPr>
              <w:t xml:space="preserve">   3. </w:t>
            </w:r>
            <w:hyperlink w:history="1" r:id="rIdvzdba8w4ivfsbt10ijrmv">
              <w:r>
                <w:rPr>
                  <w:rFonts w:ascii="Arial" w:cs="Arial" w:eastAsia="Arial" w:hAnsi="Arial"/>
                  <w:b/>
                  <w:bCs/>
                  <w:color w:val="c9a227"/>
                  <w:sz w:val="13"/>
                  <w:szCs w:val="13"/>
                  <w:u w:val="single"/>
                </w:rPr>
                <w:t xml:space="preserve">Gawande AA, Studdert DM, Orav EJ, Brennan TA, Zinner MJ. Risk factors for retained instruments and sponges after surgery. N Engl J Med. 2003;348(3):229-235.</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6.5</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6.5</w:t>
            </w:r>
            <w:r>
              <w:rPr>
                <w:rFonts w:ascii="Arial" w:cs="Arial" w:eastAsia="Arial" w:hAnsi="Arial"/>
                <w:b w:val="false"/>
                <w:bCs w:val="false"/>
                <w:i/>
                <w:iCs/>
                <w:caps w:val="false"/>
                <w:color w:val="8fa8c8"/>
                <w:sz w:val="10"/>
                <w:szCs w:val="10"/>
              </w:rPr>
              <w:t xml:space="preserve">  ·  Level 1  ·  Chapter 6: Surgical &amp; Procedural Safety</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12</w:t>
            </w:r>
          </w:p>
          <w:p>
            <w:pPr>
              <w:spacing w:after="36" w:before="0"/>
            </w:pPr>
            <w:r>
              <w:rPr>
                <w:rFonts w:ascii="Arial" w:cs="Arial" w:eastAsia="Arial" w:hAnsi="Arial"/>
                <w:b w:val="false"/>
                <w:bCs w:val="false"/>
                <w:i/>
                <w:iCs/>
                <w:caps w:val="false"/>
                <w:color w:val="8fa8c8"/>
                <w:sz w:val="9"/>
                <w:szCs w:val="9"/>
              </w:rPr>
              <w:t xml:space="preserve">ASF-CH6-SPS-v2.0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A retained surgical item — a sponge, an instrument, a needle left inside a patient — is one of the most entirely preventable severe harm events in surgery, and it happens almost exclusively when the counting process is rushed, informal, or performed by a single person without independent verification. A structured, two-person, documented count is a simple procedural safeguard against an error with disproportionately severe consequences.</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Gawande et al. 2003 — retained surgical items occur disproportionately during emergency surgery, unplanned changes in procedure, and cases involving a higher body mass index, precisely the situations where structured counting is most likely to be rushed or skipped.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structured count of instruments, sponges, and sharps is performed for every procedure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Initial and final counts are documented and formally reconciled</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defined process, including imaging escalation, resolves any count discrepancy before the patient leaves theatre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Counts are performed by two staff members independently, not one person alone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Retained item near-misses are tracked and reviewed</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Counts are performed inconsistently or skipped for shorter procedures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Counts are not documented, or documentation does not show reconciliation</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defined process exists for resolving a count discrepancy</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Counts rely on a single individual with no independent verification</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Retained item near-misses are not tracked or reviewed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Counts are performed but discrepancies are sometimes resolved informally.</w:t>
            </w:r>
          </w:p>
          <w:p>
            <w:pPr>
              <w:spacing w:after="20" w:before="0"/>
            </w:pPr>
            <w:r>
              <w:rPr>
                <w:rFonts w:ascii="Arial" w:cs="Arial" w:eastAsia="Arial" w:hAnsi="Arial"/>
                <w:b w:val="false"/>
                <w:bCs w:val="false"/>
                <w:i/>
                <w:iCs/>
                <w:caps w:val="false"/>
                <w:color w:val="4b5563"/>
                <w:sz w:val="15"/>
                <w:szCs w:val="15"/>
              </w:rPr>
              <w:t xml:space="preserve">The counting process itself is solid, but when a discrepancy occurs, resolution sometimes relies on informal reassurance rather than the defined protocol, including imaging when needed.</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Two-person counting is standard for planned surgery but compressed during emergencies.</w:t>
            </w:r>
          </w:p>
          <w:p>
            <w:pPr>
              <w:spacing w:after="20" w:before="0"/>
            </w:pPr>
            <w:r>
              <w:rPr>
                <w:rFonts w:ascii="Arial" w:cs="Arial" w:eastAsia="Arial" w:hAnsi="Arial"/>
                <w:b w:val="false"/>
                <w:bCs w:val="false"/>
                <w:i/>
                <w:iCs/>
                <w:caps w:val="false"/>
                <w:color w:val="4b5563"/>
                <w:sz w:val="15"/>
                <w:szCs w:val="15"/>
              </w:rPr>
              <w:t xml:space="preserve">Elective procedures reliably involve two independent counters; emergency or urgent cases show more variation under time pressure.</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Documentation shows counts occurred but not always that they were reconciled.</w:t>
            </w:r>
          </w:p>
          <w:p>
            <w:pPr>
              <w:spacing w:after="36" w:before="0"/>
            </w:pPr>
            <w:r>
              <w:rPr>
                <w:rFonts w:ascii="Arial" w:cs="Arial" w:eastAsia="Arial" w:hAnsi="Arial"/>
                <w:b w:val="false"/>
                <w:bCs w:val="false"/>
                <w:i/>
                <w:iCs/>
                <w:caps w:val="false"/>
                <w:color w:val="4b5563"/>
                <w:sz w:val="15"/>
                <w:szCs w:val="15"/>
              </w:rPr>
              <w:t xml:space="preserve">A count is recorded as performed, but the record does not always clearly show that initial and final counts were actively compared and matched.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Confirm the count policy applies to every surgical procedure, without exception for shorter cases.</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Audit count documentation for a sample of procedures to confirm reconciliation is recorded.</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Confirm and reinforce the discrepancy resolution protocol, including the imaging escalation step.</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Confirm two-person independent counting is standard practice, including during emergency procedures.</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Track retained item near-misses and events; review and reinforce practice based on findings.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Observe a live count if possible.  </w:t>
            </w:r>
            <w:r>
              <w:rPr>
                <w:rFonts w:ascii="Arial" w:cs="Arial" w:eastAsia="Arial" w:hAnsi="Arial"/>
                <w:b w:val="false"/>
                <w:bCs w:val="false"/>
                <w:i w:val="false"/>
                <w:iCs w:val="false"/>
                <w:caps w:val="false"/>
                <w:color w:val="374151"/>
                <w:sz w:val="16"/>
                <w:szCs w:val="16"/>
              </w:rPr>
              <w:t xml:space="preserve">Watching whether two people independently count, rather than one person counting aloud while another simply agrees, reveals the real rigour of the process.</w:t>
            </w:r>
          </w:p>
          <w:p>
            <w:pPr>
              <w:spacing w:after="16" w:before="0"/>
            </w:pPr>
            <w:r>
              <w:rPr>
                <w:rFonts w:ascii="Arial" w:cs="Arial" w:eastAsia="Arial" w:hAnsi="Arial"/>
                <w:b/>
                <w:bCs/>
                <w:i w:val="false"/>
                <w:iCs w:val="false"/>
                <w:caps w:val="false"/>
                <w:color w:val="b91c1c"/>
                <w:sz w:val="15"/>
                <w:szCs w:val="15"/>
              </w:rPr>
              <w:t xml:space="preserve">Ask what happens specifically during an emergency case.  </w:t>
            </w:r>
            <w:r>
              <w:rPr>
                <w:rFonts w:ascii="Arial" w:cs="Arial" w:eastAsia="Arial" w:hAnsi="Arial"/>
                <w:b w:val="false"/>
                <w:bCs w:val="false"/>
                <w:i w:val="false"/>
                <w:iCs w:val="false"/>
                <w:caps w:val="false"/>
                <w:color w:val="374151"/>
                <w:sz w:val="16"/>
                <w:szCs w:val="16"/>
              </w:rPr>
              <w:t xml:space="preserve">Time pressure during unplanned or emergency surgery is where structured counting is most likely to be compressed or skipped.</w:t>
            </w:r>
          </w:p>
          <w:p>
            <w:pPr>
              <w:spacing w:after="36" w:before="0"/>
            </w:pPr>
            <w:r>
              <w:rPr>
                <w:rFonts w:ascii="Arial" w:cs="Arial" w:eastAsia="Arial" w:hAnsi="Arial"/>
                <w:b/>
                <w:bCs/>
                <w:i w:val="false"/>
                <w:iCs w:val="false"/>
                <w:caps w:val="false"/>
                <w:color w:val="b91c1c"/>
                <w:sz w:val="15"/>
                <w:szCs w:val="15"/>
              </w:rPr>
              <w:t xml:space="preserve">Check for evidence of reconciliation, not just two recorded numbers.  </w:t>
            </w:r>
            <w:r>
              <w:rPr>
                <w:rFonts w:ascii="Arial" w:cs="Arial" w:eastAsia="Arial" w:hAnsi="Arial"/>
                <w:b w:val="false"/>
                <w:bCs w:val="false"/>
                <w:i w:val="false"/>
                <w:iCs w:val="false"/>
                <w:caps w:val="false"/>
                <w:color w:val="374151"/>
                <w:sz w:val="16"/>
                <w:szCs w:val="16"/>
              </w:rPr>
              <w:t xml:space="preserve">A documented initial and final count that were never actually compared against each other provides a false sense of safety.</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rud7pkf_wy9qhbilsabuf">
              <w:r>
                <w:rPr>
                  <w:rFonts w:ascii="Arial" w:cs="Arial" w:eastAsia="Arial" w:hAnsi="Arial"/>
                  <w:b/>
                  <w:bCs/>
                  <w:color w:val="c9a227"/>
                  <w:sz w:val="13"/>
                  <w:szCs w:val="13"/>
                  <w:u w:val="single"/>
                </w:rPr>
                <w:t xml:space="preserve">academy.gmj.ge/ch6-5-instrument-counts-retained-items</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6.6</w:t>
            </w:r>
            <w:r>
              <w:rPr>
                <w:rFonts w:ascii="Arial" w:cs="Arial" w:eastAsia="Arial" w:hAnsi="Arial"/>
                <w:b w:val="false"/>
                <w:bCs w:val="false"/>
                <w:i/>
                <w:iCs/>
                <w:caps w:val="false"/>
                <w:color w:val="8fa8c8"/>
                <w:sz w:val="10"/>
                <w:szCs w:val="10"/>
              </w:rPr>
              <w:t xml:space="preserve">  ·  Level 2  ·  Chapter 6: Surgical &amp; Procedural Safety</w:t>
            </w:r>
          </w:p>
          <w:p>
            <w:pPr>
              <w:spacing w:after="36" w:before="0"/>
            </w:pPr>
            <w:r>
              <w:rPr>
                <w:rFonts w:ascii="Arial" w:cs="Arial" w:eastAsia="Arial" w:hAnsi="Arial"/>
                <w:b/>
                <w:bCs/>
                <w:i w:val="false"/>
                <w:iCs w:val="false"/>
                <w:caps w:val="false"/>
                <w:color w:val="dce8f5"/>
                <w:sz w:val="12"/>
                <w:szCs w:val="12"/>
              </w:rPr>
              <w:t xml:space="preserve">Theatre Environment and Equipment Safety</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13</w:t>
            </w:r>
          </w:p>
          <w:p>
            <w:pPr>
              <w:spacing w:after="36" w:before="0"/>
            </w:pPr>
            <w:r>
              <w:rPr>
                <w:rFonts w:ascii="Arial" w:cs="Arial" w:eastAsia="Arial" w:hAnsi="Arial"/>
                <w:b w:val="false"/>
                <w:bCs w:val="false"/>
                <w:i/>
                <w:iCs/>
                <w:caps w:val="false"/>
                <w:color w:val="8fa8c8"/>
                <w:sz w:val="9"/>
                <w:szCs w:val="9"/>
              </w:rPr>
              <w:t xml:space="preserve">ASF-CH6-SPS-v2.0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6.6</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L2</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Theatre Environment and Equipment Safety</w:t>
            </w:r>
          </w:p>
          <w:p>
            <w:pPr>
              <w:spacing w:after="36" w:before="0"/>
            </w:pPr>
            <w:r>
              <w:rPr>
                <w:rFonts w:ascii="Arial" w:cs="Arial" w:eastAsia="Arial" w:hAnsi="Arial"/>
                <w:b w:val="false"/>
                <w:bCs w:val="false"/>
                <w:i w:val="false"/>
                <w:iCs w:val="false"/>
                <w:caps w:val="false"/>
                <w:color w:val="4b5563"/>
                <w:sz w:val="15"/>
                <w:szCs w:val="15"/>
              </w:rPr>
              <w:t xml:space="preserve">The hospital maintains a safe operating theatre environment, including air quality control, equipment maintenance and testing, and emergency backup systems, with a documented maintenance schedule.</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operating theatre air quality controlled and monitored, appropriate to the procedures performed?</w:t>
            </w:r>
          </w:p>
          <w:p>
            <w:pPr>
              <w:spacing w:after="7" w:before="0"/>
            </w:pPr>
            <w:r>
              <w:rPr>
                <w:rFonts w:ascii="Arial" w:cs="Arial" w:eastAsia="Arial" w:hAnsi="Arial"/>
                <w:b w:val="false"/>
                <w:bCs w:val="false"/>
                <w:i/>
                <w:iCs/>
                <w:caps w:val="false"/>
                <w:color w:val="4b5563"/>
                <w:sz w:val="15"/>
                <w:szCs w:val="15"/>
              </w:rPr>
              <w:t xml:space="preserve">Check for ventilation standards relevant to theatre use.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Air quality monitoring records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critical theatre equipment on a documented preventive maintenance schedule?</w:t>
            </w:r>
          </w:p>
          <w:p>
            <w:pPr>
              <w:spacing w:after="7" w:before="0"/>
            </w:pPr>
            <w:r>
              <w:rPr>
                <w:rFonts w:ascii="Arial" w:cs="Arial" w:eastAsia="Arial" w:hAnsi="Arial"/>
                <w:b w:val="false"/>
                <w:bCs w:val="false"/>
                <w:i/>
                <w:iCs/>
                <w:caps w:val="false"/>
                <w:color w:val="4b5563"/>
                <w:sz w:val="15"/>
                <w:szCs w:val="15"/>
              </w:rPr>
              <w:t xml:space="preserve">Check the schedule against actual maintenance records for a sample of equipment.</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Equipment maintenance schedule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tested emergency backup system for power and critical gas supply?</w:t>
            </w:r>
          </w:p>
          <w:p>
            <w:pPr>
              <w:spacing w:after="7" w:before="0"/>
            </w:pPr>
            <w:r>
              <w:rPr>
                <w:rFonts w:ascii="Arial" w:cs="Arial" w:eastAsia="Arial" w:hAnsi="Arial"/>
                <w:b w:val="false"/>
                <w:bCs w:val="false"/>
                <w:i/>
                <w:iCs/>
                <w:caps w:val="false"/>
                <w:color w:val="4b5563"/>
                <w:sz w:val="15"/>
                <w:szCs w:val="15"/>
              </w:rPr>
              <w:t xml:space="preserve">Ask when backup systems were last tested and check the result.</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Backup system test records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equipment failure during a procedure tracked and reviewed?</w:t>
            </w:r>
          </w:p>
          <w:p>
            <w:pPr>
              <w:spacing w:after="7" w:before="0"/>
            </w:pPr>
            <w:r>
              <w:rPr>
                <w:rFonts w:ascii="Arial" w:cs="Arial" w:eastAsia="Arial" w:hAnsi="Arial"/>
                <w:b w:val="false"/>
                <w:bCs w:val="false"/>
                <w:i/>
                <w:iCs/>
                <w:caps w:val="false"/>
                <w:color w:val="4b5563"/>
                <w:sz w:val="15"/>
                <w:szCs w:val="15"/>
              </w:rPr>
              <w:t xml:space="preserve">Check the incident log for equipment-related entries.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Equipment failure log</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pre-procedure equipment check performed before each case?</w:t>
            </w:r>
          </w:p>
          <w:p>
            <w:pPr>
              <w:spacing w:after="7" w:before="0"/>
            </w:pPr>
            <w:r>
              <w:rPr>
                <w:rFonts w:ascii="Arial" w:cs="Arial" w:eastAsia="Arial" w:hAnsi="Arial"/>
                <w:b w:val="false"/>
                <w:bCs w:val="false"/>
                <w:i/>
                <w:iCs/>
                <w:caps w:val="false"/>
                <w:color w:val="4b5563"/>
                <w:sz w:val="15"/>
                <w:szCs w:val="15"/>
              </w:rPr>
              <w:t xml:space="preserve">Check for a documented pre-case equipment check.</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Pre-case equipment check record</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Air quality and ventilation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air quality monitoring records against relevant theatre ventilation standards.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Maintenance schedule compliance 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Compares the documented maintenance schedule against actual maintenance records for a sample of critical equipment.</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Backup system test question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when emergency power and gas backup systems were last tested and for the result.</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Equipment failure log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log for equipment-related incidents during procedures and evidence of follow-up.</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oftg5liayesvktprdku7-">
              <w:r>
                <w:rPr>
                  <w:rFonts w:ascii="Arial" w:cs="Arial" w:eastAsia="Arial" w:hAnsi="Arial"/>
                  <w:b/>
                  <w:bCs/>
                  <w:color w:val="c9a227"/>
                  <w:sz w:val="13"/>
                  <w:szCs w:val="13"/>
                  <w:u w:val="single"/>
                </w:rPr>
                <w:t xml:space="preserve">World Health Organization. WHO Guidelines for Safe Surgery 2009: Safe Surgery Saves Lives (theatre environment provisions). Geneva: WHO; 2009.</w:t>
              </w:r>
            </w:hyperlink>
            <w:r>
              <w:rPr>
                <w:rFonts w:ascii="Arial" w:cs="Arial" w:eastAsia="Arial" w:hAnsi="Arial"/>
                <w:b/>
                <w:bCs/>
                <w:i w:val="false"/>
                <w:iCs w:val="false"/>
                <w:caps w:val="false"/>
                <w:color w:val="6b778c"/>
                <w:sz w:val="13"/>
                <w:szCs w:val="13"/>
              </w:rPr>
              <w:t xml:space="preserve">   2. </w:t>
            </w:r>
            <w:hyperlink w:history="1" r:id="rIdzgdvcgsv0fhqjt_9irjzv">
              <w:r>
                <w:rPr>
                  <w:rFonts w:ascii="Arial" w:cs="Arial" w:eastAsia="Arial" w:hAnsi="Arial"/>
                  <w:b/>
                  <w:bCs/>
                  <w:color w:val="c9a227"/>
                  <w:sz w:val="13"/>
                  <w:szCs w:val="13"/>
                  <w:u w:val="single"/>
                </w:rPr>
                <w:t xml:space="preserve">International Federation of Hospital Engineering. Guidelines for operating theatre ventilation. London: IFHE; 2018.</w:t>
              </w:r>
            </w:hyperlink>
            <w:r>
              <w:rPr>
                <w:rFonts w:ascii="Arial" w:cs="Arial" w:eastAsia="Arial" w:hAnsi="Arial"/>
                <w:b/>
                <w:bCs/>
                <w:i w:val="false"/>
                <w:iCs w:val="false"/>
                <w:caps w:val="false"/>
                <w:color w:val="6b778c"/>
                <w:sz w:val="13"/>
                <w:szCs w:val="13"/>
              </w:rPr>
              <w:t xml:space="preserve">   3. </w:t>
            </w:r>
            <w:hyperlink w:history="1" r:id="rIdn-cp3gvy2kbqw16lkdlwv">
              <w:r>
                <w:rPr>
                  <w:rFonts w:ascii="Arial" w:cs="Arial" w:eastAsia="Arial" w:hAnsi="Arial"/>
                  <w:b/>
                  <w:bCs/>
                  <w:color w:val="c9a227"/>
                  <w:sz w:val="13"/>
                  <w:szCs w:val="13"/>
                  <w:u w:val="single"/>
                </w:rPr>
                <w:t xml:space="preserve">World Health Organization. Medical equipment maintenance programme overview. Geneva: WHO; 2011.</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6.6</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6.6</w:t>
            </w:r>
            <w:r>
              <w:rPr>
                <w:rFonts w:ascii="Arial" w:cs="Arial" w:eastAsia="Arial" w:hAnsi="Arial"/>
                <w:b w:val="false"/>
                <w:bCs w:val="false"/>
                <w:i/>
                <w:iCs/>
                <w:caps w:val="false"/>
                <w:color w:val="8fa8c8"/>
                <w:sz w:val="10"/>
                <w:szCs w:val="10"/>
              </w:rPr>
              <w:t xml:space="preserve">  ·  Level 2  ·  Chapter 6: Surgical &amp; Procedural Safety</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14</w:t>
            </w:r>
          </w:p>
          <w:p>
            <w:pPr>
              <w:spacing w:after="36" w:before="0"/>
            </w:pPr>
            <w:r>
              <w:rPr>
                <w:rFonts w:ascii="Arial" w:cs="Arial" w:eastAsia="Arial" w:hAnsi="Arial"/>
                <w:b w:val="false"/>
                <w:bCs w:val="false"/>
                <w:i/>
                <w:iCs/>
                <w:caps w:val="false"/>
                <w:color w:val="8fa8c8"/>
                <w:sz w:val="9"/>
                <w:szCs w:val="9"/>
              </w:rPr>
              <w:t xml:space="preserve">ASF-CH6-SPS-v2.0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An operating theatre is only as safe as the environment and equipment supporting it — contaminated air can undermine even excellent surgical technique, and a piece of critical equipment failing mid-procedure, or a power outage with no working backup, can turn a routine operation into an emergency in seconds. Documented, tested maintenance and backup systems are what stand between the theatre working reliably and a crisis occurring precisely when there is the least room to improvise.</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WHO medical equipment guidance — a structured preventive maintenance programme is consistently associated with reduced equipment failure rates and improved reliability during critical procedures compared with reactive, failure-driven maintenance.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Theatre air quality is actively controlled and monitored to an appropriate standard</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Critical equipment follows a documented preventive maintenance schedule that is actually kept</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Emergency backup power and gas systems are tested regularly, with results recorded</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Equipment failures during procedures are tracked and reviewed for patterns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pre-case equipment check is performed and documented before each procedure</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Theatre air quality is not actively monitored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Equipment maintenance is reactive, occurring only after a failure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Backup power or gas systems have never been tested, or testing has lapsed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Equipment failures during procedures are not tracked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pre-case equipment check is performed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A maintenance schedule exists but actual maintenance lags behind it.</w:t>
            </w:r>
          </w:p>
          <w:p>
            <w:pPr>
              <w:spacing w:after="20" w:before="0"/>
            </w:pPr>
            <w:r>
              <w:rPr>
                <w:rFonts w:ascii="Arial" w:cs="Arial" w:eastAsia="Arial" w:hAnsi="Arial"/>
                <w:b w:val="false"/>
                <w:bCs w:val="false"/>
                <w:i/>
                <w:iCs/>
                <w:caps w:val="false"/>
                <w:color w:val="4b5563"/>
                <w:sz w:val="15"/>
                <w:szCs w:val="15"/>
              </w:rPr>
              <w:t xml:space="preserve">The documented schedule looks appropriate, but comparing it to real maintenance records reveals overdue equipment that has not been serviced on time.</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Backup systems exist but haven’t been tested recently.</w:t>
            </w:r>
          </w:p>
          <w:p>
            <w:pPr>
              <w:spacing w:after="20" w:before="0"/>
            </w:pPr>
            <w:r>
              <w:rPr>
                <w:rFonts w:ascii="Arial" w:cs="Arial" w:eastAsia="Arial" w:hAnsi="Arial"/>
                <w:b w:val="false"/>
                <w:bCs w:val="false"/>
                <w:i/>
                <w:iCs/>
                <w:caps w:val="false"/>
                <w:color w:val="4b5563"/>
                <w:sz w:val="15"/>
                <w:szCs w:val="15"/>
              </w:rPr>
              <w:t xml:space="preserve">Emergency power and gas backup infrastructure is in place, but no one can confirm when it was last actually tested to verify it works.</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Pre-case checks happen for major equipment but not routinely for smaller items.</w:t>
            </w:r>
          </w:p>
          <w:p>
            <w:pPr>
              <w:spacing w:after="36" w:before="0"/>
            </w:pPr>
            <w:r>
              <w:rPr>
                <w:rFonts w:ascii="Arial" w:cs="Arial" w:eastAsia="Arial" w:hAnsi="Arial"/>
                <w:b w:val="false"/>
                <w:bCs w:val="false"/>
                <w:i/>
                <w:iCs/>
                <w:caps w:val="false"/>
                <w:color w:val="4b5563"/>
                <w:sz w:val="15"/>
                <w:szCs w:val="15"/>
              </w:rPr>
              <w:t xml:space="preserve">Anaesthesia machines and major monitors are checked reliably before each case; smaller but still critical equipment is checked less consistently.</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Confirm the theatre air quality monitoring approach and check it against an appropriate standard.</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Audit actual maintenance records against the documented schedule for critical equipment.</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Test emergency backup power and gas systems if not recently verified, and establish a regular testing schedule.</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Introduce or strengthen a documented pre-case equipment check.</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Track equipment failures during procedures; review maintenance and backup testing schedules regularly.</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Compare the maintenance schedule to actual service records, not just its existence.  </w:t>
            </w:r>
            <w:r>
              <w:rPr>
                <w:rFonts w:ascii="Arial" w:cs="Arial" w:eastAsia="Arial" w:hAnsi="Arial"/>
                <w:b w:val="false"/>
                <w:bCs w:val="false"/>
                <w:i w:val="false"/>
                <w:iCs w:val="false"/>
                <w:caps w:val="false"/>
                <w:color w:val="374151"/>
                <w:sz w:val="16"/>
                <w:szCs w:val="16"/>
              </w:rPr>
              <w:t xml:space="preserve">A well-designed schedule on paper means little if equipment is not actually being serviced on time.</w:t>
            </w:r>
          </w:p>
          <w:p>
            <w:pPr>
              <w:spacing w:after="16" w:before="0"/>
            </w:pPr>
            <w:r>
              <w:rPr>
                <w:rFonts w:ascii="Arial" w:cs="Arial" w:eastAsia="Arial" w:hAnsi="Arial"/>
                <w:b/>
                <w:bCs/>
                <w:i w:val="false"/>
                <w:iCs w:val="false"/>
                <w:caps w:val="false"/>
                <w:color w:val="b91c1c"/>
                <w:sz w:val="15"/>
                <w:szCs w:val="15"/>
              </w:rPr>
              <w:t xml:space="preserve">Ask for the date and result of the last backup system test.  </w:t>
            </w:r>
            <w:r>
              <w:rPr>
                <w:rFonts w:ascii="Arial" w:cs="Arial" w:eastAsia="Arial" w:hAnsi="Arial"/>
                <w:b w:val="false"/>
                <w:bCs w:val="false"/>
                <w:i w:val="false"/>
                <w:iCs w:val="false"/>
                <w:caps w:val="false"/>
                <w:color w:val="374151"/>
                <w:sz w:val="16"/>
                <w:szCs w:val="16"/>
              </w:rPr>
              <w:t xml:space="preserve">A specific, recent, documented answer indicates real preparedness; vagueness suggests untested infrastructure.</w:t>
            </w:r>
          </w:p>
          <w:p>
            <w:pPr>
              <w:spacing w:after="36" w:before="0"/>
            </w:pPr>
            <w:r>
              <w:rPr>
                <w:rFonts w:ascii="Arial" w:cs="Arial" w:eastAsia="Arial" w:hAnsi="Arial"/>
                <w:b/>
                <w:bCs/>
                <w:i w:val="false"/>
                <w:iCs w:val="false"/>
                <w:caps w:val="false"/>
                <w:color w:val="b91c1c"/>
                <w:sz w:val="15"/>
                <w:szCs w:val="15"/>
              </w:rPr>
              <w:t xml:space="preserve">Check pre-case equipment checks for a range of equipment, not only the most obvious.  </w:t>
            </w:r>
            <w:r>
              <w:rPr>
                <w:rFonts w:ascii="Arial" w:cs="Arial" w:eastAsia="Arial" w:hAnsi="Arial"/>
                <w:b w:val="false"/>
                <w:bCs w:val="false"/>
                <w:i w:val="false"/>
                <w:iCs w:val="false"/>
                <w:caps w:val="false"/>
                <w:color w:val="374151"/>
                <w:sz w:val="16"/>
                <w:szCs w:val="16"/>
              </w:rPr>
              <w:t xml:space="preserve">Major monitors are often checked reliably; smaller but still critical items can be more easily overlooked.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dgowl29pcpymyesruyfcg">
              <w:r>
                <w:rPr>
                  <w:rFonts w:ascii="Arial" w:cs="Arial" w:eastAsia="Arial" w:hAnsi="Arial"/>
                  <w:b/>
                  <w:bCs/>
                  <w:color w:val="c9a227"/>
                  <w:sz w:val="13"/>
                  <w:szCs w:val="13"/>
                  <w:u w:val="single"/>
                </w:rPr>
                <w:t xml:space="preserve">academy.gmj.ge/ch6-6-theatre-environment-equipment</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6.7</w:t>
            </w:r>
            <w:r>
              <w:rPr>
                <w:rFonts w:ascii="Arial" w:cs="Arial" w:eastAsia="Arial" w:hAnsi="Arial"/>
                <w:b w:val="false"/>
                <w:bCs w:val="false"/>
                <w:i/>
                <w:iCs/>
                <w:caps w:val="false"/>
                <w:color w:val="8fa8c8"/>
                <w:sz w:val="10"/>
                <w:szCs w:val="10"/>
              </w:rPr>
              <w:t xml:space="preserve">  ·  Level 2  ·  Chapter 6: Surgical &amp; Procedural Safety</w:t>
            </w:r>
          </w:p>
          <w:p>
            <w:pPr>
              <w:spacing w:after="36" w:before="0"/>
            </w:pPr>
            <w:r>
              <w:rPr>
                <w:rFonts w:ascii="Arial" w:cs="Arial" w:eastAsia="Arial" w:hAnsi="Arial"/>
                <w:b/>
                <w:bCs/>
                <w:i w:val="false"/>
                <w:iCs w:val="false"/>
                <w:caps w:val="false"/>
                <w:color w:val="dce8f5"/>
                <w:sz w:val="12"/>
                <w:szCs w:val="12"/>
              </w:rPr>
              <w:t xml:space="preserve">Blood and Blood Products Management</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15</w:t>
            </w:r>
          </w:p>
          <w:p>
            <w:pPr>
              <w:spacing w:after="36" w:before="0"/>
            </w:pPr>
            <w:r>
              <w:rPr>
                <w:rFonts w:ascii="Arial" w:cs="Arial" w:eastAsia="Arial" w:hAnsi="Arial"/>
                <w:b w:val="false"/>
                <w:bCs w:val="false"/>
                <w:i/>
                <w:iCs/>
                <w:caps w:val="false"/>
                <w:color w:val="8fa8c8"/>
                <w:sz w:val="9"/>
                <w:szCs w:val="9"/>
              </w:rPr>
              <w:t xml:space="preserve">ASF-CH6-SPS-v2.0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6.7</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L2</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Blood and Blood Products Management</w:t>
            </w:r>
          </w:p>
          <w:p>
            <w:pPr>
              <w:spacing w:after="36" w:before="0"/>
            </w:pPr>
            <w:r>
              <w:rPr>
                <w:rFonts w:ascii="Arial" w:cs="Arial" w:eastAsia="Arial" w:hAnsi="Arial"/>
                <w:b w:val="false"/>
                <w:bCs w:val="false"/>
                <w:i w:val="false"/>
                <w:iCs w:val="false"/>
                <w:caps w:val="false"/>
                <w:color w:val="4b5563"/>
                <w:sz w:val="15"/>
                <w:szCs w:val="15"/>
              </w:rPr>
              <w:t xml:space="preserve">The hospital has a documented process for safe blood and blood product administration, including patient identity verification, compatibility testing, and a defined transfusion reaction response protocol.</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two-identifier patient verification step immediately before blood product administration?</w:t>
            </w:r>
          </w:p>
          <w:p>
            <w:pPr>
              <w:spacing w:after="7" w:before="0"/>
            </w:pPr>
            <w:r>
              <w:rPr>
                <w:rFonts w:ascii="Arial" w:cs="Arial" w:eastAsia="Arial" w:hAnsi="Arial"/>
                <w:b w:val="false"/>
                <w:bCs w:val="false"/>
                <w:i/>
                <w:iCs/>
                <w:caps w:val="false"/>
                <w:color w:val="4b5563"/>
                <w:sz w:val="15"/>
                <w:szCs w:val="15"/>
              </w:rPr>
              <w:t xml:space="preserve">Check this is a distinct, final check, not only the general patient identification process.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Blood administration policy</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compatibility testing performed and documented before every transfusion?</w:t>
            </w:r>
          </w:p>
          <w:p>
            <w:pPr>
              <w:spacing w:after="7" w:before="0"/>
            </w:pPr>
            <w:r>
              <w:rPr>
                <w:rFonts w:ascii="Arial" w:cs="Arial" w:eastAsia="Arial" w:hAnsi="Arial"/>
                <w:b w:val="false"/>
                <w:bCs w:val="false"/>
                <w:i/>
                <w:iCs/>
                <w:caps w:val="false"/>
                <w:color w:val="4b5563"/>
                <w:sz w:val="15"/>
                <w:szCs w:val="15"/>
              </w:rPr>
              <w:t xml:space="preserve">Check for cross-match or type-and-screen documentation matched to the administered unit.</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Compatibility testing records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defined protocol for recognising and responding to a transfusion reaction?</w:t>
            </w:r>
          </w:p>
          <w:p>
            <w:pPr>
              <w:spacing w:after="7" w:before="0"/>
            </w:pPr>
            <w:r>
              <w:rPr>
                <w:rFonts w:ascii="Arial" w:cs="Arial" w:eastAsia="Arial" w:hAnsi="Arial"/>
                <w:b w:val="false"/>
                <w:bCs w:val="false"/>
                <w:i/>
                <w:iCs/>
                <w:caps w:val="false"/>
                <w:color w:val="4b5563"/>
                <w:sz w:val="15"/>
                <w:szCs w:val="15"/>
              </w:rPr>
              <w:t xml:space="preserve">Ask staff to describe the specific steps for a suspected reaction.</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Transfusion reaction protocol</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staff who administer blood products specifically trained on the process?</w:t>
            </w:r>
          </w:p>
          <w:p>
            <w:pPr>
              <w:spacing w:after="7" w:before="0"/>
            </w:pPr>
            <w:r>
              <w:rPr>
                <w:rFonts w:ascii="Arial" w:cs="Arial" w:eastAsia="Arial" w:hAnsi="Arial"/>
                <w:b w:val="false"/>
                <w:bCs w:val="false"/>
                <w:i/>
                <w:iCs/>
                <w:caps w:val="false"/>
                <w:color w:val="4b5563"/>
                <w:sz w:val="15"/>
                <w:szCs w:val="15"/>
              </w:rPr>
              <w:t xml:space="preserve">Check training records for this specific competency.</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Training records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transfusion-related incidents or reactions tracked and reviewed?</w:t>
            </w:r>
          </w:p>
          <w:p>
            <w:pPr>
              <w:spacing w:after="7" w:before="0"/>
            </w:pPr>
            <w:r>
              <w:rPr>
                <w:rFonts w:ascii="Arial" w:cs="Arial" w:eastAsia="Arial" w:hAnsi="Arial"/>
                <w:b w:val="false"/>
                <w:bCs w:val="false"/>
                <w:i/>
                <w:iCs/>
                <w:caps w:val="false"/>
                <w:color w:val="4b5563"/>
                <w:sz w:val="15"/>
                <w:szCs w:val="15"/>
              </w:rPr>
              <w:t xml:space="preserve">Check the incident log for this specific category.</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Transfusion incident log</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Bedside verification observation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Observes or reviews documentation of the two-identifier verification step immediately before blood administration.</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Compatibility testing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compatibility testing documentation against the administered unit for a sample of transfusions.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Transfusion reaction scenario</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a nurse to describe the specific steps taken if a patient shows signs of a transfusion reaction.</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Transfusion incident log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log for transfusion-related incidents and evidence of follow-up.</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rdzmbju4aouacxmttr1kn">
              <w:r>
                <w:rPr>
                  <w:rFonts w:ascii="Arial" w:cs="Arial" w:eastAsia="Arial" w:hAnsi="Arial"/>
                  <w:b/>
                  <w:bCs/>
                  <w:color w:val="c9a227"/>
                  <w:sz w:val="13"/>
                  <w:szCs w:val="13"/>
                  <w:u w:val="single"/>
                </w:rPr>
                <w:t xml:space="preserve">World Health Organization. WHO Blood Transfusion Safety: Clinical Transfusion Practice Guidelines. Geneva: WHO; 2010.</w:t>
              </w:r>
            </w:hyperlink>
            <w:r>
              <w:rPr>
                <w:rFonts w:ascii="Arial" w:cs="Arial" w:eastAsia="Arial" w:hAnsi="Arial"/>
                <w:b/>
                <w:bCs/>
                <w:i w:val="false"/>
                <w:iCs w:val="false"/>
                <w:caps w:val="false"/>
                <w:color w:val="6b778c"/>
                <w:sz w:val="13"/>
                <w:szCs w:val="13"/>
              </w:rPr>
              <w:t xml:space="preserve">   2. </w:t>
            </w:r>
            <w:hyperlink w:history="1" r:id="rIdrkstbxiaqfqh1yatfw4ej">
              <w:r>
                <w:rPr>
                  <w:rFonts w:ascii="Arial" w:cs="Arial" w:eastAsia="Arial" w:hAnsi="Arial"/>
                  <w:b/>
                  <w:bCs/>
                  <w:color w:val="c9a227"/>
                  <w:sz w:val="13"/>
                  <w:szCs w:val="13"/>
                  <w:u w:val="single"/>
                </w:rPr>
                <w:t xml:space="preserve">International Society of Blood Transfusion. Guidelines for pre-transfusion compatibility testing. Amsterdam: ISBT; 2019.</w:t>
              </w:r>
            </w:hyperlink>
            <w:r>
              <w:rPr>
                <w:rFonts w:ascii="Arial" w:cs="Arial" w:eastAsia="Arial" w:hAnsi="Arial"/>
                <w:b/>
                <w:bCs/>
                <w:i w:val="false"/>
                <w:iCs w:val="false"/>
                <w:caps w:val="false"/>
                <w:color w:val="6b778c"/>
                <w:sz w:val="13"/>
                <w:szCs w:val="13"/>
              </w:rPr>
              <w:t xml:space="preserve">   3. </w:t>
            </w:r>
            <w:hyperlink w:history="1" r:id="rIdg3jn8rjs6znvhosuznb1m">
              <w:r>
                <w:rPr>
                  <w:rFonts w:ascii="Arial" w:cs="Arial" w:eastAsia="Arial" w:hAnsi="Arial"/>
                  <w:b/>
                  <w:bCs/>
                  <w:color w:val="c9a227"/>
                  <w:sz w:val="13"/>
                  <w:szCs w:val="13"/>
                  <w:u w:val="single"/>
                </w:rPr>
                <w:t xml:space="preserve">World Health Organization. Global status report on blood safety and availability. Geneva: WHO; 2021.</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6.7</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6.7</w:t>
            </w:r>
            <w:r>
              <w:rPr>
                <w:rFonts w:ascii="Arial" w:cs="Arial" w:eastAsia="Arial" w:hAnsi="Arial"/>
                <w:b w:val="false"/>
                <w:bCs w:val="false"/>
                <w:i/>
                <w:iCs/>
                <w:caps w:val="false"/>
                <w:color w:val="8fa8c8"/>
                <w:sz w:val="10"/>
                <w:szCs w:val="10"/>
              </w:rPr>
              <w:t xml:space="preserve">  ·  Level 2  ·  Chapter 6: Surgical &amp; Procedural Safety</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16</w:t>
            </w:r>
          </w:p>
          <w:p>
            <w:pPr>
              <w:spacing w:after="36" w:before="0"/>
            </w:pPr>
            <w:r>
              <w:rPr>
                <w:rFonts w:ascii="Arial" w:cs="Arial" w:eastAsia="Arial" w:hAnsi="Arial"/>
                <w:b w:val="false"/>
                <w:bCs w:val="false"/>
                <w:i/>
                <w:iCs/>
                <w:caps w:val="false"/>
                <w:color w:val="8fa8c8"/>
                <w:sz w:val="9"/>
                <w:szCs w:val="9"/>
              </w:rPr>
              <w:t xml:space="preserve">ASF-CH6-SPS-v2.0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Blood transfusion is a common procedure that is also capable of causing rapid, severe, and sometimes fatal harm if the wrong unit reaches the wrong patient or a reaction goes unrecognised — and the final safeguard against both is not laboratory testing but a simple bedside identity check performed by the person actually giving the transfusion. Treating that final verification as a genuine, distinct step, not folded into general patient identification, closes the gap where transfusion errors most often occur.</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WHO Clinical Transfusion Practice Guidelines — the majority of serious transfusion errors are attributable to human error in patient identification at the bedside, not laboratory testing failures, making the final verification step the single most important safeguard.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distinct two-identifier verification occurs immediately before blood product administration</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Compatibility testing is documented and matched to the actual unit administered</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Staff can describe a specific, correct response to a suspected transfusion reaction</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Staff administering blood products are specifically trained on the process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Transfusion-related incidents and reactions are tracked and reviewed</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Bedside verification before transfusion is folded into general checks without a distinct final step</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Compatibility testing documentation is incomplete or not matched to the specific unit</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Staff cannot describe a clear response to a suspected transfusion reaction</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specific training exists for staff who administer blood products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Transfusion-related incidents are not tracked or reviewed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Verification happens but isn’t treated as a distinct, final safeguard.</w:t>
            </w:r>
          </w:p>
          <w:p>
            <w:pPr>
              <w:spacing w:after="20" w:before="0"/>
            </w:pPr>
            <w:r>
              <w:rPr>
                <w:rFonts w:ascii="Arial" w:cs="Arial" w:eastAsia="Arial" w:hAnsi="Arial"/>
                <w:b w:val="false"/>
                <w:bCs w:val="false"/>
                <w:i/>
                <w:iCs/>
                <w:caps w:val="false"/>
                <w:color w:val="4b5563"/>
                <w:sz w:val="15"/>
                <w:szCs w:val="15"/>
              </w:rPr>
              <w:t xml:space="preserve">Patient identity is checked as part of general practice, but the specific, final bedside verification immediately before transfusion is not consistently distinguished as its own critical step.</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Reaction response is known by experienced staff but not reliably by newer ones.</w:t>
            </w:r>
          </w:p>
          <w:p>
            <w:pPr>
              <w:spacing w:after="20" w:before="0"/>
            </w:pPr>
            <w:r>
              <w:rPr>
                <w:rFonts w:ascii="Arial" w:cs="Arial" w:eastAsia="Arial" w:hAnsi="Arial"/>
                <w:b w:val="false"/>
                <w:bCs w:val="false"/>
                <w:i/>
                <w:iCs/>
                <w:caps w:val="false"/>
                <w:color w:val="4b5563"/>
                <w:sz w:val="15"/>
                <w:szCs w:val="15"/>
              </w:rPr>
              <w:t xml:space="preserve">Long-serving nursing staff can describe the reaction protocol confidently; newer or less experienced staff are less certain.</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Training happened once at hiring and has not been refreshed.</w:t>
            </w:r>
          </w:p>
          <w:p>
            <w:pPr>
              <w:spacing w:after="36" w:before="0"/>
            </w:pPr>
            <w:r>
              <w:rPr>
                <w:rFonts w:ascii="Arial" w:cs="Arial" w:eastAsia="Arial" w:hAnsi="Arial"/>
                <w:b w:val="false"/>
                <w:bCs w:val="false"/>
                <w:i/>
                <w:iCs/>
                <w:caps w:val="false"/>
                <w:color w:val="4b5563"/>
                <w:sz w:val="15"/>
                <w:szCs w:val="15"/>
              </w:rPr>
              <w:t xml:space="preserve">Staff were trained on blood administration when they joined, but there has been no refresher since, and practice has drifted informally over time.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Confirm a distinct, final two-identifier verification step occurs immediately before every blood product administration.</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Audit compatibility testing documentation for a sample of recent transfusions.</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Confirm or refresh the transfusion reaction response protocol and staff familiarity with it.</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Establish or refresh specific training for staff who administer blood products.</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Track transfusion-related incidents and reactions; review and reinforce practice based on findings.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Observe the bedside verification step directly, if possible.  </w:t>
            </w:r>
            <w:r>
              <w:rPr>
                <w:rFonts w:ascii="Arial" w:cs="Arial" w:eastAsia="Arial" w:hAnsi="Arial"/>
                <w:b w:val="false"/>
                <w:bCs w:val="false"/>
                <w:i w:val="false"/>
                <w:iCs w:val="false"/>
                <w:caps w:val="false"/>
                <w:color w:val="374151"/>
                <w:sz w:val="16"/>
                <w:szCs w:val="16"/>
              </w:rPr>
              <w:t xml:space="preserve">This is the single point where transfusion errors most commonly occur — direct observation is the most reliable check.</w:t>
            </w:r>
          </w:p>
          <w:p>
            <w:pPr>
              <w:spacing w:after="16" w:before="0"/>
            </w:pPr>
            <w:r>
              <w:rPr>
                <w:rFonts w:ascii="Arial" w:cs="Arial" w:eastAsia="Arial" w:hAnsi="Arial"/>
                <w:b/>
                <w:bCs/>
                <w:i w:val="false"/>
                <w:iCs w:val="false"/>
                <w:caps w:val="false"/>
                <w:color w:val="b91c1c"/>
                <w:sz w:val="15"/>
                <w:szCs w:val="15"/>
              </w:rPr>
              <w:t xml:space="preserve">Ask a newer staff member about the reaction protocol, not just an experienced one.  </w:t>
            </w:r>
            <w:r>
              <w:rPr>
                <w:rFonts w:ascii="Arial" w:cs="Arial" w:eastAsia="Arial" w:hAnsi="Arial"/>
                <w:b w:val="false"/>
                <w:bCs w:val="false"/>
                <w:i w:val="false"/>
                <w:iCs w:val="false"/>
                <w:caps w:val="false"/>
                <w:color w:val="374151"/>
                <w:sz w:val="16"/>
                <w:szCs w:val="16"/>
              </w:rPr>
              <w:t xml:space="preserve">Awareness gaps often concentrate among newer staff who may not have been through the same depth of training as more senior colleagues.</w:t>
            </w:r>
          </w:p>
          <w:p>
            <w:pPr>
              <w:spacing w:after="36" w:before="0"/>
            </w:pPr>
            <w:r>
              <w:rPr>
                <w:rFonts w:ascii="Arial" w:cs="Arial" w:eastAsia="Arial" w:hAnsi="Arial"/>
                <w:b/>
                <w:bCs/>
                <w:i w:val="false"/>
                <w:iCs w:val="false"/>
                <w:caps w:val="false"/>
                <w:color w:val="b91c1c"/>
                <w:sz w:val="15"/>
                <w:szCs w:val="15"/>
              </w:rPr>
              <w:t xml:space="preserve">Check the training record date, not just whether training happened once.  </w:t>
            </w:r>
            <w:r>
              <w:rPr>
                <w:rFonts w:ascii="Arial" w:cs="Arial" w:eastAsia="Arial" w:hAnsi="Arial"/>
                <w:b w:val="false"/>
                <w:bCs w:val="false"/>
                <w:i w:val="false"/>
                <w:iCs w:val="false"/>
                <w:caps w:val="false"/>
                <w:color w:val="374151"/>
                <w:sz w:val="16"/>
                <w:szCs w:val="16"/>
              </w:rPr>
              <w:t xml:space="preserve">A single training session at hiring, with no refresher, often means practice has drifted from the original standard over time.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8vjhadjcqgcpg15rkkru_">
              <w:r>
                <w:rPr>
                  <w:rFonts w:ascii="Arial" w:cs="Arial" w:eastAsia="Arial" w:hAnsi="Arial"/>
                  <w:b/>
                  <w:bCs/>
                  <w:color w:val="c9a227"/>
                  <w:sz w:val="13"/>
                  <w:szCs w:val="13"/>
                  <w:u w:val="single"/>
                </w:rPr>
                <w:t xml:space="preserve">academy.gmj.ge/ch6-7-blood-blood-products</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6.8</w:t>
            </w:r>
            <w:r>
              <w:rPr>
                <w:rFonts w:ascii="Arial" w:cs="Arial" w:eastAsia="Arial" w:hAnsi="Arial"/>
                <w:b w:val="false"/>
                <w:bCs w:val="false"/>
                <w:i/>
                <w:iCs/>
                <w:caps w:val="false"/>
                <w:color w:val="8fa8c8"/>
                <w:sz w:val="10"/>
                <w:szCs w:val="10"/>
              </w:rPr>
              <w:t xml:space="preserve">  ·  Level 2  ·  Chapter 6: Surgical &amp; Procedural Safety</w:t>
            </w:r>
          </w:p>
          <w:p>
            <w:pPr>
              <w:spacing w:after="36" w:before="0"/>
            </w:pPr>
            <w:r>
              <w:rPr>
                <w:rFonts w:ascii="Arial" w:cs="Arial" w:eastAsia="Arial" w:hAnsi="Arial"/>
                <w:b/>
                <w:bCs/>
                <w:i w:val="false"/>
                <w:iCs w:val="false"/>
                <w:caps w:val="false"/>
                <w:color w:val="dce8f5"/>
                <w:sz w:val="12"/>
                <w:szCs w:val="12"/>
              </w:rPr>
              <w:t xml:space="preserve">Post-Operative Care and Monitoring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17</w:t>
            </w:r>
          </w:p>
          <w:p>
            <w:pPr>
              <w:spacing w:after="36" w:before="0"/>
            </w:pPr>
            <w:r>
              <w:rPr>
                <w:rFonts w:ascii="Arial" w:cs="Arial" w:eastAsia="Arial" w:hAnsi="Arial"/>
                <w:b w:val="false"/>
                <w:bCs w:val="false"/>
                <w:i/>
                <w:iCs/>
                <w:caps w:val="false"/>
                <w:color w:val="8fa8c8"/>
                <w:sz w:val="9"/>
                <w:szCs w:val="9"/>
              </w:rPr>
              <w:t xml:space="preserve">ASF-CH6-SPS-v2.0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6.8</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L2</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Post-Operative Care and Monitoring</w:t>
            </w:r>
          </w:p>
          <w:p>
            <w:pPr>
              <w:spacing w:after="36" w:before="0"/>
            </w:pPr>
            <w:r>
              <w:rPr>
                <w:rFonts w:ascii="Arial" w:cs="Arial" w:eastAsia="Arial" w:hAnsi="Arial"/>
                <w:b w:val="false"/>
                <w:bCs w:val="false"/>
                <w:i w:val="false"/>
                <w:iCs w:val="false"/>
                <w:caps w:val="false"/>
                <w:color w:val="4b5563"/>
                <w:sz w:val="15"/>
                <w:szCs w:val="15"/>
              </w:rPr>
              <w:t xml:space="preserve">The hospital provides structured post-operative monitoring appropriate to the procedure and patient risk, with defined parameters for escalating a deteriorating post-surgical patient.</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defined post-operative monitoring protocol specifying parameters and frequency by procedure type or risk?</w:t>
            </w:r>
          </w:p>
          <w:p>
            <w:pPr>
              <w:spacing w:after="7" w:before="0"/>
            </w:pPr>
            <w:r>
              <w:rPr>
                <w:rFonts w:ascii="Arial" w:cs="Arial" w:eastAsia="Arial" w:hAnsi="Arial"/>
                <w:b w:val="false"/>
                <w:bCs w:val="false"/>
                <w:i/>
                <w:iCs/>
                <w:caps w:val="false"/>
                <w:color w:val="4b5563"/>
                <w:sz w:val="15"/>
                <w:szCs w:val="15"/>
              </w:rPr>
              <w:t xml:space="preserve">Check the protocol differentiates by risk, not a single uniform schedule.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Post-operative monitoring protocol</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post-operative observations documented at the required frequency for a sample of recent cases?</w:t>
            </w:r>
          </w:p>
          <w:p>
            <w:pPr>
              <w:spacing w:after="7" w:before="0"/>
            </w:pPr>
            <w:r>
              <w:rPr>
                <w:rFonts w:ascii="Arial" w:cs="Arial" w:eastAsia="Arial" w:hAnsi="Arial"/>
                <w:b w:val="false"/>
                <w:bCs w:val="false"/>
                <w:i/>
                <w:iCs/>
                <w:caps w:val="false"/>
                <w:color w:val="4b5563"/>
                <w:sz w:val="15"/>
                <w:szCs w:val="15"/>
              </w:rPr>
              <w:t xml:space="preserve">Compare recorded observation times to the required frequency.</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Sample post-operative records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defined escalation pathway specific to post-surgical deterioration, connected to Standard 5.6?</w:t>
            </w:r>
          </w:p>
          <w:p>
            <w:pPr>
              <w:spacing w:after="7" w:before="0"/>
            </w:pPr>
            <w:r>
              <w:rPr>
                <w:rFonts w:ascii="Arial" w:cs="Arial" w:eastAsia="Arial" w:hAnsi="Arial"/>
                <w:b w:val="false"/>
                <w:bCs w:val="false"/>
                <w:i/>
                <w:iCs/>
                <w:caps w:val="false"/>
                <w:color w:val="4b5563"/>
                <w:sz w:val="15"/>
                <w:szCs w:val="15"/>
              </w:rPr>
              <w:t xml:space="preserve">Check the pathway names specific triggers relevant to post-surgical complications.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Escalation protocol</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post-operative complications tracked and reviewed?</w:t>
            </w:r>
          </w:p>
          <w:p>
            <w:pPr>
              <w:spacing w:after="7" w:before="0"/>
            </w:pPr>
            <w:r>
              <w:rPr>
                <w:rFonts w:ascii="Arial" w:cs="Arial" w:eastAsia="Arial" w:hAnsi="Arial"/>
                <w:b w:val="false"/>
                <w:bCs w:val="false"/>
                <w:i/>
                <w:iCs/>
                <w:caps w:val="false"/>
                <w:color w:val="4b5563"/>
                <w:sz w:val="15"/>
                <w:szCs w:val="15"/>
              </w:rPr>
              <w:t xml:space="preserve">Check for a complication log or register.</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Complication tracking data</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pain assessed and managed as part of structured post-operative monitoring?</w:t>
            </w:r>
          </w:p>
          <w:p>
            <w:pPr>
              <w:spacing w:after="36" w:before="0"/>
            </w:pPr>
            <w:r>
              <w:rPr>
                <w:rFonts w:ascii="Arial" w:cs="Arial" w:eastAsia="Arial" w:hAnsi="Arial"/>
                <w:b w:val="false"/>
                <w:bCs w:val="false"/>
                <w:i/>
                <w:iCs/>
                <w:caps w:val="false"/>
                <w:color w:val="4b5563"/>
                <w:sz w:val="15"/>
                <w:szCs w:val="15"/>
              </w:rPr>
              <w:t xml:space="preserve">Check for a defined pain assessment tool and response protocol.</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Monitoring protocol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post-operative monitoring protocol for risk-differentiated parameters and frequency.</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Observation frequency audit</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Compares documented post-operative observation times against the required frequency for a sample of cases.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Escalation pathway question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a recovery or ward nurse to describe the specific escalation steps for a deteriorating post-surgical patient.</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Complication tracking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complication tracking data and evidence it informs practice.</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pyfzkihnk-qja0u_rrf8g">
              <w:r>
                <w:rPr>
                  <w:rFonts w:ascii="Arial" w:cs="Arial" w:eastAsia="Arial" w:hAnsi="Arial"/>
                  <w:b/>
                  <w:bCs/>
                  <w:color w:val="c9a227"/>
                  <w:sz w:val="13"/>
                  <w:szCs w:val="13"/>
                  <w:u w:val="single"/>
                </w:rPr>
                <w:t xml:space="preserve">World Health Organization. WHO Guidelines for Safe Surgery 2009: Safe Surgery Saves Lives (post-operative care provisions). Geneva: WHO; 2009.</w:t>
              </w:r>
            </w:hyperlink>
            <w:r>
              <w:rPr>
                <w:rFonts w:ascii="Arial" w:cs="Arial" w:eastAsia="Arial" w:hAnsi="Arial"/>
                <w:b/>
                <w:bCs/>
                <w:i w:val="false"/>
                <w:iCs w:val="false"/>
                <w:caps w:val="false"/>
                <w:color w:val="6b778c"/>
                <w:sz w:val="13"/>
                <w:szCs w:val="13"/>
              </w:rPr>
              <w:t xml:space="preserve">   2. </w:t>
            </w:r>
            <w:hyperlink w:history="1" r:id="rIdzsgpxujdvtfvw9idtgcrv">
              <w:r>
                <w:rPr>
                  <w:rFonts w:ascii="Arial" w:cs="Arial" w:eastAsia="Arial" w:hAnsi="Arial"/>
                  <w:b/>
                  <w:bCs/>
                  <w:color w:val="c9a227"/>
                  <w:sz w:val="13"/>
                  <w:szCs w:val="13"/>
                  <w:u w:val="single"/>
                </w:rPr>
                <w:t xml:space="preserve">Royal College of Physicians. National Early Warning Score (NEWS2). London: RCP; 2017.</w:t>
              </w:r>
            </w:hyperlink>
            <w:r>
              <w:rPr>
                <w:rFonts w:ascii="Arial" w:cs="Arial" w:eastAsia="Arial" w:hAnsi="Arial"/>
                <w:b/>
                <w:bCs/>
                <w:i w:val="false"/>
                <w:iCs w:val="false"/>
                <w:caps w:val="false"/>
                <w:color w:val="6b778c"/>
                <w:sz w:val="13"/>
                <w:szCs w:val="13"/>
              </w:rPr>
              <w:t xml:space="preserve">   3. </w:t>
            </w:r>
            <w:hyperlink w:history="1" r:id="rId8ma186-0eaughpjxcv2p2">
              <w:r>
                <w:rPr>
                  <w:rFonts w:ascii="Arial" w:cs="Arial" w:eastAsia="Arial" w:hAnsi="Arial"/>
                  <w:b/>
                  <w:bCs/>
                  <w:color w:val="c9a227"/>
                  <w:sz w:val="13"/>
                  <w:szCs w:val="13"/>
                  <w:u w:val="single"/>
                </w:rPr>
                <w:t xml:space="preserve">Ghaferi AA, Birkmeyer JD, Dimick JB. Variation in hospital mortality associated with inpatient surgery. N Engl J Med. 2009;361(14):1368-1375.</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6.8</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6.8</w:t>
            </w:r>
            <w:r>
              <w:rPr>
                <w:rFonts w:ascii="Arial" w:cs="Arial" w:eastAsia="Arial" w:hAnsi="Arial"/>
                <w:b w:val="false"/>
                <w:bCs w:val="false"/>
                <w:i/>
                <w:iCs/>
                <w:caps w:val="false"/>
                <w:color w:val="8fa8c8"/>
                <w:sz w:val="10"/>
                <w:szCs w:val="10"/>
              </w:rPr>
              <w:t xml:space="preserve">  ·  Level 2  ·  Chapter 6: Surgical &amp; Procedural Safety</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18</w:t>
            </w:r>
          </w:p>
          <w:p>
            <w:pPr>
              <w:spacing w:after="36" w:before="0"/>
            </w:pPr>
            <w:r>
              <w:rPr>
                <w:rFonts w:ascii="Arial" w:cs="Arial" w:eastAsia="Arial" w:hAnsi="Arial"/>
                <w:b w:val="false"/>
                <w:bCs w:val="false"/>
                <w:i/>
                <w:iCs/>
                <w:caps w:val="false"/>
                <w:color w:val="8fa8c8"/>
                <w:sz w:val="9"/>
                <w:szCs w:val="9"/>
              </w:rPr>
              <w:t xml:space="preserve">ASF-CH6-SPS-v2.0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Much of the difference in surgical outcomes between hospitals is not explained by how often complications occur in the operating room, but by how quickly a complication is recognised and acted on afterward — the same complication rate can produce very different mortality depending on whether post-operative deterioration is caught early or missed. Structured, risk-appropriate monitoring with a clear escalation pathway is what turns "failure to rescue" into a timely, effective response.</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Ghaferi, Birkmeyer &amp; Dimick 2009 — variation in surgical mortality between hospitals is driven far more by differences in the timely recognition and management of post-operative complications than by differences in complication rates themselves.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Post-operative monitoring parameters and frequency are matched to procedure type and patient risk</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Observations are documented at the required frequency in actual practice, not only in policy</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defined escalation pathway for post-surgical deterioration is well understood by staff</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Post-operative complications are tracked and reviewed for patterns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Pain is assessed using a structured tool as part of routine post-operative monitoring</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Post-operative monitoring is uniform regardless of procedure risk</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Observations fall behind the required frequency without being flagged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specific escalation pathway exists for post-surgical deterioration</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Post-operative complications are not tracked or reviewed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Pain assessment is inconsistent or left to informal judgement</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The protocol differentiates risk but observation frequency drifts in busy periods.</w:t>
            </w:r>
          </w:p>
          <w:p>
            <w:pPr>
              <w:spacing w:after="20" w:before="0"/>
            </w:pPr>
            <w:r>
              <w:rPr>
                <w:rFonts w:ascii="Arial" w:cs="Arial" w:eastAsia="Arial" w:hAnsi="Arial"/>
                <w:b w:val="false"/>
                <w:bCs w:val="false"/>
                <w:i/>
                <w:iCs/>
                <w:caps w:val="false"/>
                <w:color w:val="4b5563"/>
                <w:sz w:val="15"/>
                <w:szCs w:val="15"/>
              </w:rPr>
              <w:t xml:space="preserve">A well-designed, risk-based monitoring schedule exists, but under staffing pressure, actual observation frequency for lower-acuity patients sometimes falls short.</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Escalation exists but isn’t specifically tailored to post-surgical complications.</w:t>
            </w:r>
          </w:p>
          <w:p>
            <w:pPr>
              <w:spacing w:after="20" w:before="0"/>
            </w:pPr>
            <w:r>
              <w:rPr>
                <w:rFonts w:ascii="Arial" w:cs="Arial" w:eastAsia="Arial" w:hAnsi="Arial"/>
                <w:b w:val="false"/>
                <w:bCs w:val="false"/>
                <w:i/>
                <w:iCs/>
                <w:caps w:val="false"/>
                <w:color w:val="4b5563"/>
                <w:sz w:val="15"/>
                <w:szCs w:val="15"/>
              </w:rPr>
              <w:t xml:space="preserve">A general deterioration escalation pathway is in place, but it does not specifically address the particular complications most relevant after surgery.</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Complications are tracked but the data isn’t reviewed with surgical teams.</w:t>
            </w:r>
          </w:p>
          <w:p>
            <w:pPr>
              <w:spacing w:after="36" w:before="0"/>
            </w:pPr>
            <w:r>
              <w:rPr>
                <w:rFonts w:ascii="Arial" w:cs="Arial" w:eastAsia="Arial" w:hAnsi="Arial"/>
                <w:b w:val="false"/>
                <w:bCs w:val="false"/>
                <w:i/>
                <w:iCs/>
                <w:caps w:val="false"/>
                <w:color w:val="4b5563"/>
                <w:sz w:val="15"/>
                <w:szCs w:val="15"/>
              </w:rPr>
              <w:t xml:space="preserve">A complication log exists and is reasonably complete, but findings are not routinely shared back with the surgeons and teams whose practice it reflects.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Confirm the post-operative monitoring protocol differentiates parameters and frequency by risk.</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Audit observation frequency against the protocol for a sample of recent post-operative patients.</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Confirm or strengthen the escalation pathway specific to post-surgical deterioration.</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Establish or strengthen complication tracking, with data shared back to surgical teams.</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Review post-operative monitoring compliance and complication trends as routine quality indicators.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Compare observation timestamps to the protocol’s required frequency.  </w:t>
            </w:r>
            <w:r>
              <w:rPr>
                <w:rFonts w:ascii="Arial" w:cs="Arial" w:eastAsia="Arial" w:hAnsi="Arial"/>
                <w:b w:val="false"/>
                <w:bCs w:val="false"/>
                <w:i w:val="false"/>
                <w:iCs w:val="false"/>
                <w:caps w:val="false"/>
                <w:color w:val="374151"/>
                <w:sz w:val="16"/>
                <w:szCs w:val="16"/>
              </w:rPr>
              <w:t xml:space="preserve">This is the clearest way to check whether risk-based monitoring is genuinely followed, not just designed well on paper.</w:t>
            </w:r>
          </w:p>
          <w:p>
            <w:pPr>
              <w:spacing w:after="16" w:before="0"/>
            </w:pPr>
            <w:r>
              <w:rPr>
                <w:rFonts w:ascii="Arial" w:cs="Arial" w:eastAsia="Arial" w:hAnsi="Arial"/>
                <w:b/>
                <w:bCs/>
                <w:i w:val="false"/>
                <w:iCs w:val="false"/>
                <w:caps w:val="false"/>
                <w:color w:val="b91c1c"/>
                <w:sz w:val="15"/>
                <w:szCs w:val="15"/>
              </w:rPr>
              <w:t xml:space="preserve">Ask specifically about post-surgical complications, not general deterioration.  </w:t>
            </w:r>
            <w:r>
              <w:rPr>
                <w:rFonts w:ascii="Arial" w:cs="Arial" w:eastAsia="Arial" w:hAnsi="Arial"/>
                <w:b w:val="false"/>
                <w:bCs w:val="false"/>
                <w:i w:val="false"/>
                <w:iCs w:val="false"/>
                <w:caps w:val="false"/>
                <w:color w:val="374151"/>
                <w:sz w:val="16"/>
                <w:szCs w:val="16"/>
              </w:rPr>
              <w:t xml:space="preserve">A pathway addressing generic deterioration may not adequately cover complications specific to the type of surgery performed.</w:t>
            </w:r>
          </w:p>
          <w:p>
            <w:pPr>
              <w:spacing w:after="36" w:before="0"/>
            </w:pPr>
            <w:r>
              <w:rPr>
                <w:rFonts w:ascii="Arial" w:cs="Arial" w:eastAsia="Arial" w:hAnsi="Arial"/>
                <w:b/>
                <w:bCs/>
                <w:i w:val="false"/>
                <w:iCs w:val="false"/>
                <w:caps w:val="false"/>
                <w:color w:val="b91c1c"/>
                <w:sz w:val="15"/>
                <w:szCs w:val="15"/>
              </w:rPr>
              <w:t xml:space="preserve">Ask whether surgeons see the complication data.  </w:t>
            </w:r>
            <w:r>
              <w:rPr>
                <w:rFonts w:ascii="Arial" w:cs="Arial" w:eastAsia="Arial" w:hAnsi="Arial"/>
                <w:b w:val="false"/>
                <w:bCs w:val="false"/>
                <w:i w:val="false"/>
                <w:iCs w:val="false"/>
                <w:caps w:val="false"/>
                <w:color w:val="374151"/>
                <w:sz w:val="16"/>
                <w:szCs w:val="16"/>
              </w:rPr>
              <w:t xml:space="preserve">Tracking that never reaches the people who could act on it is unlikely to change practice.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ie3_rsxxk1tc_yll9jecf">
              <w:r>
                <w:rPr>
                  <w:rFonts w:ascii="Arial" w:cs="Arial" w:eastAsia="Arial" w:hAnsi="Arial"/>
                  <w:b/>
                  <w:bCs/>
                  <w:color w:val="c9a227"/>
                  <w:sz w:val="13"/>
                  <w:szCs w:val="13"/>
                  <w:u w:val="single"/>
                </w:rPr>
                <w:t xml:space="preserve">academy.gmj.ge/ch6-8-post-operative-care-monitoring</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6.9</w:t>
            </w:r>
            <w:r>
              <w:rPr>
                <w:rFonts w:ascii="Arial" w:cs="Arial" w:eastAsia="Arial" w:hAnsi="Arial"/>
                <w:b w:val="false"/>
                <w:bCs w:val="false"/>
                <w:i/>
                <w:iCs/>
                <w:caps w:val="false"/>
                <w:color w:val="8fa8c8"/>
                <w:sz w:val="10"/>
                <w:szCs w:val="10"/>
              </w:rPr>
              <w:t xml:space="preserve">  ·  Level 3  ·  Chapter 6: Surgical &amp; Procedural Safety</w:t>
            </w:r>
          </w:p>
          <w:p>
            <w:pPr>
              <w:spacing w:after="36" w:before="0"/>
            </w:pPr>
            <w:r>
              <w:rPr>
                <w:rFonts w:ascii="Arial" w:cs="Arial" w:eastAsia="Arial" w:hAnsi="Arial"/>
                <w:b/>
                <w:bCs/>
                <w:i w:val="false"/>
                <w:iCs w:val="false"/>
                <w:caps w:val="false"/>
                <w:color w:val="dce8f5"/>
                <w:sz w:val="12"/>
                <w:szCs w:val="12"/>
              </w:rPr>
              <w:t xml:space="preserve">Surgical Outcome Monitoring and Reporting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19</w:t>
            </w:r>
          </w:p>
          <w:p>
            <w:pPr>
              <w:spacing w:after="36" w:before="0"/>
            </w:pPr>
            <w:r>
              <w:rPr>
                <w:rFonts w:ascii="Arial" w:cs="Arial" w:eastAsia="Arial" w:hAnsi="Arial"/>
                <w:b w:val="false"/>
                <w:bCs w:val="false"/>
                <w:i/>
                <w:iCs/>
                <w:caps w:val="false"/>
                <w:color w:val="8fa8c8"/>
                <w:sz w:val="9"/>
                <w:szCs w:val="9"/>
              </w:rPr>
              <w:t xml:space="preserve">ASF-CH6-SPS-v2.0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6.9</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L3</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Surgical Outcome Monitoring and Reporting</w:t>
            </w:r>
          </w:p>
          <w:p>
            <w:pPr>
              <w:spacing w:after="36" w:before="0"/>
            </w:pPr>
            <w:r>
              <w:rPr>
                <w:rFonts w:ascii="Arial" w:cs="Arial" w:eastAsia="Arial" w:hAnsi="Arial"/>
                <w:b w:val="false"/>
                <w:bCs w:val="false"/>
                <w:i w:val="false"/>
                <w:iCs w:val="false"/>
                <w:caps w:val="false"/>
                <w:color w:val="4b5563"/>
                <w:sz w:val="15"/>
                <w:szCs w:val="15"/>
              </w:rPr>
              <w:t xml:space="preserve">The hospital systematically tracks surgical outcomes, including mortality, complication, and readmission rates, and reviews this data regularly to identify and act on performance trends.</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surgical mortality, complication, and readmission rates tracked systematically?</w:t>
            </w:r>
          </w:p>
          <w:p>
            <w:pPr>
              <w:spacing w:after="7" w:before="0"/>
            </w:pPr>
            <w:r>
              <w:rPr>
                <w:rFonts w:ascii="Arial" w:cs="Arial" w:eastAsia="Arial" w:hAnsi="Arial"/>
                <w:b w:val="false"/>
                <w:bCs w:val="false"/>
                <w:i/>
                <w:iCs/>
                <w:caps w:val="false"/>
                <w:color w:val="4b5563"/>
                <w:sz w:val="15"/>
                <w:szCs w:val="15"/>
              </w:rPr>
              <w:t xml:space="preserve">Check for ongoing data collection, not periodic manual review only.</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Outcome tracking system</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outcome data reviewed at a defined interval by surgical leadership?</w:t>
            </w:r>
          </w:p>
          <w:p>
            <w:pPr>
              <w:spacing w:after="7" w:before="0"/>
            </w:pPr>
            <w:r>
              <w:rPr>
                <w:rFonts w:ascii="Arial" w:cs="Arial" w:eastAsia="Arial" w:hAnsi="Arial"/>
                <w:b w:val="false"/>
                <w:bCs w:val="false"/>
                <w:i/>
                <w:iCs/>
                <w:caps w:val="false"/>
                <w:color w:val="4b5563"/>
                <w:sz w:val="15"/>
                <w:szCs w:val="15"/>
              </w:rPr>
              <w:t xml:space="preserve">Check for a scheduled review meeting or process.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Review schedule / minutes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outcome data risk-adjusted or otherwise contextualised for meaningful comparison?</w:t>
            </w:r>
          </w:p>
          <w:p>
            <w:pPr>
              <w:spacing w:after="36" w:before="0"/>
            </w:pPr>
            <w:r>
              <w:rPr>
                <w:rFonts w:ascii="Arial" w:cs="Arial" w:eastAsia="Arial" w:hAnsi="Arial"/>
                <w:b w:val="false"/>
                <w:bCs w:val="false"/>
                <w:i/>
                <w:iCs/>
                <w:caps w:val="false"/>
                <w:color w:val="4b5563"/>
                <w:sz w:val="15"/>
                <w:szCs w:val="15"/>
              </w:rPr>
              <w:t xml:space="preserve">Ask how the hospital accounts for case-mix differences when reviewing outcomes.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evidence of a specific practice change resulting from outcome data review?</w:t>
            </w:r>
          </w:p>
          <w:p>
            <w:pPr>
              <w:spacing w:after="7" w:before="0"/>
            </w:pPr>
            <w:r>
              <w:rPr>
                <w:rFonts w:ascii="Arial" w:cs="Arial" w:eastAsia="Arial" w:hAnsi="Arial"/>
                <w:b w:val="false"/>
                <w:bCs w:val="false"/>
                <w:i/>
                <w:iCs/>
                <w:caps w:val="false"/>
                <w:color w:val="4b5563"/>
                <w:sz w:val="15"/>
                <w:szCs w:val="15"/>
              </w:rPr>
              <w:t xml:space="preserve">Ask for a concrete example, not a general claim.</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Documented example of practice change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individual surgeon-level outcome data available for internal quality purposes, handled appropriately?</w:t>
            </w:r>
          </w:p>
          <w:p>
            <w:pPr>
              <w:spacing w:after="36" w:before="0"/>
            </w:pPr>
            <w:r>
              <w:rPr>
                <w:rFonts w:ascii="Arial" w:cs="Arial" w:eastAsia="Arial" w:hAnsi="Arial"/>
                <w:b w:val="false"/>
                <w:bCs w:val="false"/>
                <w:i/>
                <w:iCs/>
                <w:caps w:val="false"/>
                <w:color w:val="4b5563"/>
                <w:sz w:val="15"/>
                <w:szCs w:val="15"/>
              </w:rPr>
              <w:t xml:space="preserve">Ask how individual-level data is used and protected.</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Outcome tracking system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systematic data collection process for surgical mortality, complication, and readmission rates.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Review schedule and minutes 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evidence of a scheduled, regular review of outcome data by surgical leadership.</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Practice change example</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for a specific example of a practice change resulting from outcome data review.</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Risk adjustment question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how the hospital accounts for case-mix differences when reviewing and comparing surgical outcomes.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b4c_l-6en2ifx6nddycgu">
              <w:r>
                <w:rPr>
                  <w:rFonts w:ascii="Arial" w:cs="Arial" w:eastAsia="Arial" w:hAnsi="Arial"/>
                  <w:b/>
                  <w:bCs/>
                  <w:color w:val="c9a227"/>
                  <w:sz w:val="13"/>
                  <w:szCs w:val="13"/>
                  <w:u w:val="single"/>
                </w:rPr>
                <w:t xml:space="preserve">World Health Organization. WHO Guidelines for Safe Surgery 2009: Safe Surgery Saves Lives (outcome measurement provisions). Geneva: WHO; 2009.</w:t>
              </w:r>
            </w:hyperlink>
            <w:r>
              <w:rPr>
                <w:rFonts w:ascii="Arial" w:cs="Arial" w:eastAsia="Arial" w:hAnsi="Arial"/>
                <w:b/>
                <w:bCs/>
                <w:i w:val="false"/>
                <w:iCs w:val="false"/>
                <w:caps w:val="false"/>
                <w:color w:val="6b778c"/>
                <w:sz w:val="13"/>
                <w:szCs w:val="13"/>
              </w:rPr>
              <w:t xml:space="preserve">   2. </w:t>
            </w:r>
            <w:hyperlink w:history="1" r:id="rId_j7trpyt4ago9pcdfetgp">
              <w:r>
                <w:rPr>
                  <w:rFonts w:ascii="Arial" w:cs="Arial" w:eastAsia="Arial" w:hAnsi="Arial"/>
                  <w:b/>
                  <w:bCs/>
                  <w:color w:val="c9a227"/>
                  <w:sz w:val="13"/>
                  <w:szCs w:val="13"/>
                  <w:u w:val="single"/>
                </w:rPr>
                <w:t xml:space="preserve">Weiser TG, Haynes AB, Molina G, et al. Estimate of the global volume of surgery in 2012. Lancet. 2015;385(Suppl 2):S11.</w:t>
              </w:r>
            </w:hyperlink>
            <w:r>
              <w:rPr>
                <w:rFonts w:ascii="Arial" w:cs="Arial" w:eastAsia="Arial" w:hAnsi="Arial"/>
                <w:b/>
                <w:bCs/>
                <w:i w:val="false"/>
                <w:iCs w:val="false"/>
                <w:caps w:val="false"/>
                <w:color w:val="6b778c"/>
                <w:sz w:val="13"/>
                <w:szCs w:val="13"/>
              </w:rPr>
              <w:t xml:space="preserve">   3. </w:t>
            </w:r>
            <w:hyperlink w:history="1" r:id="rIdue9zvbz6rnayaastpgayq">
              <w:r>
                <w:rPr>
                  <w:rFonts w:ascii="Arial" w:cs="Arial" w:eastAsia="Arial" w:hAnsi="Arial"/>
                  <w:b/>
                  <w:bCs/>
                  <w:color w:val="c9a227"/>
                  <w:sz w:val="13"/>
                  <w:szCs w:val="13"/>
                  <w:u w:val="single"/>
                </w:rPr>
                <w:t xml:space="preserve">Birkmeyer JD, Dimick JB, Birkmeyer NJ. Measuring the quality of surgical care: structure, process, or outcomes? J Am Coll Surg. 2004;198(4):626-632.</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6.9</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6.9</w:t>
            </w:r>
            <w:r>
              <w:rPr>
                <w:rFonts w:ascii="Arial" w:cs="Arial" w:eastAsia="Arial" w:hAnsi="Arial"/>
                <w:b w:val="false"/>
                <w:bCs w:val="false"/>
                <w:i/>
                <w:iCs/>
                <w:caps w:val="false"/>
                <w:color w:val="8fa8c8"/>
                <w:sz w:val="10"/>
                <w:szCs w:val="10"/>
              </w:rPr>
              <w:t xml:space="preserve">  ·  Level 3  ·  Chapter 6: Surgical &amp; Procedural Safety</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20</w:t>
            </w:r>
          </w:p>
          <w:p>
            <w:pPr>
              <w:spacing w:after="36" w:before="0"/>
            </w:pPr>
            <w:r>
              <w:rPr>
                <w:rFonts w:ascii="Arial" w:cs="Arial" w:eastAsia="Arial" w:hAnsi="Arial"/>
                <w:b w:val="false"/>
                <w:bCs w:val="false"/>
                <w:i/>
                <w:iCs/>
                <w:caps w:val="false"/>
                <w:color w:val="8fa8c8"/>
                <w:sz w:val="9"/>
                <w:szCs w:val="9"/>
              </w:rPr>
              <w:t xml:space="preserve">ASF-CH6-SPS-v2.0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A hospital that does not systematically track its own surgical outcomes has no reliable way of knowing whether its surgical care is actually safe, beyond individual clinicians’ impressions — and impressions are notoriously poor at detecting a slow drift in performance or a specific procedure type quietly underperforming. Structured outcome tracking, reviewed regularly and risk-adjusted for meaningful comparison, is what allows a surgical department to see its own real performance clearly enough to improve it.</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Birkmeyer, Dimick &amp; Birkmeyer 2004 — outcome measurement, properly risk-adjusted, provides a more direct and actionable signal of surgical quality than structural or process measures alone, precisely because it reflects what actually happened to patients.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Surgical mortality, complication, and readmission rates are tracked systematically and continuously</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Outcome data is reviewed at a defined interval by surgical leadership</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Outcome comparisons are risk-adjusted or otherwise contextualised for case-mix differences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At least one concrete practice change can be traced to outcome data review</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Surgeon-level outcome data is available for internal quality purposes and appropriately protected</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Surgical outcomes are not tracked systematically, if at all</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Outcome data, if collected, is never formally reviewed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Outcomes are compared without any adjustment for case-mix or complexity</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practice change has ever resulted from outcome review</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individual-level outcome data exists to support internal quality improvement</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Outcomes are tracked but review happens irregularly.</w:t>
            </w:r>
          </w:p>
          <w:p>
            <w:pPr>
              <w:spacing w:after="20" w:before="0"/>
            </w:pPr>
            <w:r>
              <w:rPr>
                <w:rFonts w:ascii="Arial" w:cs="Arial" w:eastAsia="Arial" w:hAnsi="Arial"/>
                <w:b w:val="false"/>
                <w:bCs w:val="false"/>
                <w:i/>
                <w:iCs/>
                <w:caps w:val="false"/>
                <w:color w:val="4b5563"/>
                <w:sz w:val="15"/>
                <w:szCs w:val="15"/>
              </w:rPr>
              <w:t xml:space="preserve">Data collection is solid, but the review meeting meant to examine it is inconsistently held, undermining the timeliness of any response.</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Aggregate outcomes are reviewed but never broken down meaningfully.</w:t>
            </w:r>
          </w:p>
          <w:p>
            <w:pPr>
              <w:spacing w:after="20" w:before="0"/>
            </w:pPr>
            <w:r>
              <w:rPr>
                <w:rFonts w:ascii="Arial" w:cs="Arial" w:eastAsia="Arial" w:hAnsi="Arial"/>
                <w:b w:val="false"/>
                <w:bCs w:val="false"/>
                <w:i/>
                <w:iCs/>
                <w:caps w:val="false"/>
                <w:color w:val="4b5563"/>
                <w:sz w:val="15"/>
                <w:szCs w:val="15"/>
              </w:rPr>
              <w:t xml:space="preserve">Overall complication rates are tracked, but the data is not examined by procedure type or surgeon, limiting its usefulness for identifying specific improvement opportunities.</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Review happens and is documented but rarely produces a specific action.</w:t>
            </w:r>
          </w:p>
          <w:p>
            <w:pPr>
              <w:spacing w:after="36" w:before="0"/>
            </w:pPr>
            <w:r>
              <w:rPr>
                <w:rFonts w:ascii="Arial" w:cs="Arial" w:eastAsia="Arial" w:hAnsi="Arial"/>
                <w:b w:val="false"/>
                <w:bCs w:val="false"/>
                <w:i/>
                <w:iCs/>
                <w:caps w:val="false"/>
                <w:color w:val="4b5563"/>
                <w:sz w:val="15"/>
                <w:szCs w:val="15"/>
              </w:rPr>
              <w:t xml:space="preserve">Meetings to discuss outcome data occur on schedule, but minutes show discussion without a clear resulting practice change.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Confirm or establish systematic, ongoing tracking of surgical mortality, complication, and readmission rates.</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Establish a defined, regular schedule for surgical leadership to review outcome data.</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Introduce risk adjustment or case-mix contextualisation to outcome comparisons.</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Identify and implement at least one practice change based on outcome data findings; document it.</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Review outcome trends regularly; track surgeon-level data appropriately for internal quality purposes.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Ask for the review meeting minutes, not just the outcome data.  </w:t>
            </w:r>
            <w:r>
              <w:rPr>
                <w:rFonts w:ascii="Arial" w:cs="Arial" w:eastAsia="Arial" w:hAnsi="Arial"/>
                <w:b w:val="false"/>
                <w:bCs w:val="false"/>
                <w:i w:val="false"/>
                <w:iCs w:val="false"/>
                <w:caps w:val="false"/>
                <w:color w:val="374151"/>
                <w:sz w:val="16"/>
                <w:szCs w:val="16"/>
              </w:rPr>
              <w:t xml:space="preserve">Data collection without a documented, regular review process rarely translates into actual quality improvement.</w:t>
            </w:r>
          </w:p>
          <w:p>
            <w:pPr>
              <w:spacing w:after="16" w:before="0"/>
            </w:pPr>
            <w:r>
              <w:rPr>
                <w:rFonts w:ascii="Arial" w:cs="Arial" w:eastAsia="Arial" w:hAnsi="Arial"/>
                <w:b/>
                <w:bCs/>
                <w:i w:val="false"/>
                <w:iCs w:val="false"/>
                <w:caps w:val="false"/>
                <w:color w:val="b91c1c"/>
                <w:sz w:val="15"/>
                <w:szCs w:val="15"/>
              </w:rPr>
              <w:t xml:space="preserve">Ask specifically how case-mix is accounted for.  </w:t>
            </w:r>
            <w:r>
              <w:rPr>
                <w:rFonts w:ascii="Arial" w:cs="Arial" w:eastAsia="Arial" w:hAnsi="Arial"/>
                <w:b w:val="false"/>
                <w:bCs w:val="false"/>
                <w:i w:val="false"/>
                <w:iCs w:val="false"/>
                <w:caps w:val="false"/>
                <w:color w:val="374151"/>
                <w:sz w:val="16"/>
                <w:szCs w:val="16"/>
              </w:rPr>
              <w:t xml:space="preserve">A hospital comparing raw, unadjusted outcome rates across very different patient populations risks drawing misleading conclusions.</w:t>
            </w:r>
          </w:p>
          <w:p>
            <w:pPr>
              <w:spacing w:after="36" w:before="0"/>
            </w:pPr>
            <w:r>
              <w:rPr>
                <w:rFonts w:ascii="Arial" w:cs="Arial" w:eastAsia="Arial" w:hAnsi="Arial"/>
                <w:b/>
                <w:bCs/>
                <w:i w:val="false"/>
                <w:iCs w:val="false"/>
                <w:caps w:val="false"/>
                <w:color w:val="b91c1c"/>
                <w:sz w:val="15"/>
                <w:szCs w:val="15"/>
              </w:rPr>
              <w:t xml:space="preserve">Trace one practice change back to a specific outcome finding.  </w:t>
            </w:r>
            <w:r>
              <w:rPr>
                <w:rFonts w:ascii="Arial" w:cs="Arial" w:eastAsia="Arial" w:hAnsi="Arial"/>
                <w:b w:val="false"/>
                <w:bCs w:val="false"/>
                <w:i w:val="false"/>
                <w:iCs w:val="false"/>
                <w:caps w:val="false"/>
                <w:color w:val="374151"/>
                <w:sz w:val="16"/>
                <w:szCs w:val="16"/>
              </w:rPr>
              <w:t xml:space="preserve">This is the clearest evidence that outcome monitoring is a functioning quality loop, not just a data collection exercise.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0zlyvy5pueblbkdofquuu">
              <w:r>
                <w:rPr>
                  <w:rFonts w:ascii="Arial" w:cs="Arial" w:eastAsia="Arial" w:hAnsi="Arial"/>
                  <w:b/>
                  <w:bCs/>
                  <w:color w:val="c9a227"/>
                  <w:sz w:val="13"/>
                  <w:szCs w:val="13"/>
                  <w:u w:val="single"/>
                </w:rPr>
                <w:t xml:space="preserve">academy.gmj.ge/ch6-9-surgical-outcome-monitoring</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6.10</w:t>
            </w:r>
            <w:r>
              <w:rPr>
                <w:rFonts w:ascii="Arial" w:cs="Arial" w:eastAsia="Arial" w:hAnsi="Arial"/>
                <w:b w:val="false"/>
                <w:bCs w:val="false"/>
                <w:i/>
                <w:iCs/>
                <w:caps w:val="false"/>
                <w:color w:val="8fa8c8"/>
                <w:sz w:val="10"/>
                <w:szCs w:val="10"/>
              </w:rPr>
              <w:t xml:space="preserve">  ·  Level 3  ·  Chapter 6: Surgical &amp; Procedural Safety</w:t>
            </w:r>
          </w:p>
          <w:p>
            <w:pPr>
              <w:spacing w:after="36" w:before="0"/>
            </w:pPr>
            <w:r>
              <w:rPr>
                <w:rFonts w:ascii="Arial" w:cs="Arial" w:eastAsia="Arial" w:hAnsi="Arial"/>
                <w:b/>
                <w:bCs/>
                <w:i w:val="false"/>
                <w:iCs w:val="false"/>
                <w:caps w:val="false"/>
                <w:color w:val="dce8f5"/>
                <w:sz w:val="12"/>
                <w:szCs w:val="12"/>
              </w:rPr>
              <w:t xml:space="preserve">Minimally Invasive Procedure Safety</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21</w:t>
            </w:r>
          </w:p>
          <w:p>
            <w:pPr>
              <w:spacing w:after="36" w:before="0"/>
            </w:pPr>
            <w:r>
              <w:rPr>
                <w:rFonts w:ascii="Arial" w:cs="Arial" w:eastAsia="Arial" w:hAnsi="Arial"/>
                <w:b w:val="false"/>
                <w:bCs w:val="false"/>
                <w:i/>
                <w:iCs/>
                <w:caps w:val="false"/>
                <w:color w:val="8fa8c8"/>
                <w:sz w:val="9"/>
                <w:szCs w:val="9"/>
              </w:rPr>
              <w:t xml:space="preserve">ASF-CH6-SPS-v2.0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6.10</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L3</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Minimally Invasive Procedure Safety</w:t>
            </w:r>
          </w:p>
          <w:p>
            <w:pPr>
              <w:spacing w:after="36" w:before="0"/>
            </w:pPr>
            <w:r>
              <w:rPr>
                <w:rFonts w:ascii="Arial" w:cs="Arial" w:eastAsia="Arial" w:hAnsi="Arial"/>
                <w:b w:val="false"/>
                <w:bCs w:val="false"/>
                <w:i w:val="false"/>
                <w:iCs w:val="false"/>
                <w:caps w:val="false"/>
                <w:color w:val="4b5563"/>
                <w:sz w:val="15"/>
                <w:szCs w:val="15"/>
              </w:rPr>
              <w:t xml:space="preserve">The hospital has defined competency verification, equipment maintenance, and outcome monitoring specific to minimally invasive and laparoscopic procedures, recognising their distinct risk profile.</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specific competency verification process for minimally invasive or laparoscopic procedures, distinct from general surgical credentialing?</w:t>
            </w:r>
          </w:p>
          <w:p>
            <w:pPr>
              <w:spacing w:after="7" w:before="0"/>
            </w:pPr>
            <w:r>
              <w:rPr>
                <w:rFonts w:ascii="Arial" w:cs="Arial" w:eastAsia="Arial" w:hAnsi="Arial"/>
                <w:b w:val="false"/>
                <w:bCs w:val="false"/>
                <w:i/>
                <w:iCs/>
                <w:caps w:val="false"/>
                <w:color w:val="4b5563"/>
                <w:sz w:val="15"/>
                <w:szCs w:val="15"/>
              </w:rPr>
              <w:t xml:space="preserve">Check for procedure-specific competency assessment, not only general surgical qualification.</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Competency verification records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minimally invasive equipment, including scopes and energy devices, on a defined maintenance and testing schedule?</w:t>
            </w:r>
          </w:p>
          <w:p>
            <w:pPr>
              <w:spacing w:after="7" w:before="0"/>
            </w:pPr>
            <w:r>
              <w:rPr>
                <w:rFonts w:ascii="Arial" w:cs="Arial" w:eastAsia="Arial" w:hAnsi="Arial"/>
                <w:b w:val="false"/>
                <w:bCs w:val="false"/>
                <w:i/>
                <w:iCs/>
                <w:caps w:val="false"/>
                <w:color w:val="4b5563"/>
                <w:sz w:val="15"/>
                <w:szCs w:val="15"/>
              </w:rPr>
              <w:t xml:space="preserve">Check the schedule against actual maintenance records for this specific equipment.</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Equipment maintenance records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defined process for managing conversion from a minimally invasive to an open procedure?</w:t>
            </w:r>
          </w:p>
          <w:p>
            <w:pPr>
              <w:spacing w:after="7" w:before="0"/>
            </w:pPr>
            <w:r>
              <w:rPr>
                <w:rFonts w:ascii="Arial" w:cs="Arial" w:eastAsia="Arial" w:hAnsi="Arial"/>
                <w:b w:val="false"/>
                <w:bCs w:val="false"/>
                <w:i/>
                <w:iCs/>
                <w:caps w:val="false"/>
                <w:color w:val="4b5563"/>
                <w:sz w:val="15"/>
                <w:szCs w:val="15"/>
              </w:rPr>
              <w:t xml:space="preserve">Ask what triggers a conversion decision and how it is documented.</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Conversion protocol</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outcomes specific to minimally invasive procedures tracked separately from general surgical outcomes?</w:t>
            </w:r>
          </w:p>
          <w:p>
            <w:pPr>
              <w:spacing w:after="7" w:before="0"/>
            </w:pPr>
            <w:r>
              <w:rPr>
                <w:rFonts w:ascii="Arial" w:cs="Arial" w:eastAsia="Arial" w:hAnsi="Arial"/>
                <w:b w:val="false"/>
                <w:bCs w:val="false"/>
                <w:i/>
                <w:iCs/>
                <w:caps w:val="false"/>
                <w:color w:val="4b5563"/>
                <w:sz w:val="15"/>
                <w:szCs w:val="15"/>
              </w:rPr>
              <w:t xml:space="preserve">Check for procedure-specific outcome data, not only aggregate surgical outcomes.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MIS-specific outcome data</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structured process for surgeons to gain and maintain competency in new minimally invasive techniques?</w:t>
            </w:r>
          </w:p>
          <w:p>
            <w:pPr>
              <w:spacing w:after="36" w:before="0"/>
            </w:pPr>
            <w:r>
              <w:rPr>
                <w:rFonts w:ascii="Arial" w:cs="Arial" w:eastAsia="Arial" w:hAnsi="Arial"/>
                <w:b w:val="false"/>
                <w:bCs w:val="false"/>
                <w:i/>
                <w:iCs/>
                <w:caps w:val="false"/>
                <w:color w:val="4b5563"/>
                <w:sz w:val="15"/>
                <w:szCs w:val="15"/>
              </w:rPr>
              <w:t xml:space="preserve">Ask how a surgeon adopts a new minimally invasive technique safely.</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Competency verification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evidence of procedure-specific competency verification for minimally invasive and laparoscopic surgery.</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Equipment maintenance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maintenance and testing records specific to scopes and energy devices.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Conversion protocol question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a surgeon what triggers a decision to convert from minimally invasive to open surgery and how it is documented.</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MIS outcome data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outcome data tracked specifically for minimally invasive procedures.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8xhvwjtmm1cqlpz6radtl">
              <w:r>
                <w:rPr>
                  <w:rFonts w:ascii="Arial" w:cs="Arial" w:eastAsia="Arial" w:hAnsi="Arial"/>
                  <w:b/>
                  <w:bCs/>
                  <w:color w:val="c9a227"/>
                  <w:sz w:val="13"/>
                  <w:szCs w:val="13"/>
                  <w:u w:val="single"/>
                </w:rPr>
                <w:t xml:space="preserve">World Health Organization. WHO Guidelines for Safe Surgery 2009: Safe Surgery Saves Lives (technology-specific risk provisions). Geneva: WHO; 2009.</w:t>
              </w:r>
            </w:hyperlink>
            <w:r>
              <w:rPr>
                <w:rFonts w:ascii="Arial" w:cs="Arial" w:eastAsia="Arial" w:hAnsi="Arial"/>
                <w:b/>
                <w:bCs/>
                <w:i w:val="false"/>
                <w:iCs w:val="false"/>
                <w:caps w:val="false"/>
                <w:color w:val="6b778c"/>
                <w:sz w:val="13"/>
                <w:szCs w:val="13"/>
              </w:rPr>
              <w:t xml:space="preserve">   2. </w:t>
            </w:r>
            <w:hyperlink w:history="1" r:id="rIdly4frd1sil0vako-p9d-l">
              <w:r>
                <w:rPr>
                  <w:rFonts w:ascii="Arial" w:cs="Arial" w:eastAsia="Arial" w:hAnsi="Arial"/>
                  <w:b/>
                  <w:bCs/>
                  <w:color w:val="c9a227"/>
                  <w:sz w:val="13"/>
                  <w:szCs w:val="13"/>
                  <w:u w:val="single"/>
                </w:rPr>
                <w:t xml:space="preserve">Society of American Gastrointestinal and Endoscopic Surgeons. Guidelines for institutions granting privileges for laparoscopic and endoscopic surgery. Los Angeles: SAGES; 2019.</w:t>
              </w:r>
            </w:hyperlink>
            <w:r>
              <w:rPr>
                <w:rFonts w:ascii="Arial" w:cs="Arial" w:eastAsia="Arial" w:hAnsi="Arial"/>
                <w:b/>
                <w:bCs/>
                <w:i w:val="false"/>
                <w:iCs w:val="false"/>
                <w:caps w:val="false"/>
                <w:color w:val="6b778c"/>
                <w:sz w:val="13"/>
                <w:szCs w:val="13"/>
              </w:rPr>
              <w:t xml:space="preserve">   3. </w:t>
            </w:r>
            <w:hyperlink w:history="1" r:id="rIdwtoprf1ba9cb1yxqlqleo">
              <w:r>
                <w:rPr>
                  <w:rFonts w:ascii="Arial" w:cs="Arial" w:eastAsia="Arial" w:hAnsi="Arial"/>
                  <w:b/>
                  <w:bCs/>
                  <w:color w:val="c9a227"/>
                  <w:sz w:val="13"/>
                  <w:szCs w:val="13"/>
                  <w:u w:val="single"/>
                </w:rPr>
                <w:t xml:space="preserve">Birkmeyer JD, Finks JF, O’Reilly A, et al. Surgical skill and complication rates after bariatric surgery. N Engl J Med. 2013;369(15):1434-1442.</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6.10</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6.10</w:t>
            </w:r>
            <w:r>
              <w:rPr>
                <w:rFonts w:ascii="Arial" w:cs="Arial" w:eastAsia="Arial" w:hAnsi="Arial"/>
                <w:b w:val="false"/>
                <w:bCs w:val="false"/>
                <w:i/>
                <w:iCs/>
                <w:caps w:val="false"/>
                <w:color w:val="8fa8c8"/>
                <w:sz w:val="10"/>
                <w:szCs w:val="10"/>
              </w:rPr>
              <w:t xml:space="preserve">  ·  Level 3  ·  Chapter 6: Surgical &amp; Procedural Safety</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22</w:t>
            </w:r>
          </w:p>
          <w:p>
            <w:pPr>
              <w:spacing w:after="36" w:before="0"/>
            </w:pPr>
            <w:r>
              <w:rPr>
                <w:rFonts w:ascii="Arial" w:cs="Arial" w:eastAsia="Arial" w:hAnsi="Arial"/>
                <w:b w:val="false"/>
                <w:bCs w:val="false"/>
                <w:i/>
                <w:iCs/>
                <w:caps w:val="false"/>
                <w:color w:val="8fa8c8"/>
                <w:sz w:val="9"/>
                <w:szCs w:val="9"/>
              </w:rPr>
              <w:t xml:space="preserve">ASF-CH6-SPS-v2.0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Minimally invasive surgery carries a distinct risk profile from open surgery — a different learning curve, different equipment failure modes, and complications that can be harder to recognise early through a smaller access point — and treating it as simply "surgery" under general credentialing and maintenance standards misses risks specific to the technique itself. Procedure-specific competency verification and equipment care, plus a clear conversion protocol, treat minimally invasive surgery’s risks as what they are: real, distinct, and manageable with the right specific safeguards.</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Birkmeyer et al. 2013 — directly observed surgical skill in minimally invasive technique was strongly associated with complication rates, independent of surgeon experience measured by volume alone, underscoring the need for technique-specific competency assessment.</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Competency for minimally invasive procedures is verified specifically, not assumed from general surgical qualification</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Scopes and energy devices follow a defined, actually kept maintenance and testing schedule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clear protocol defines when and how conversion to open surgery is decided and documented</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Outcomes specific to minimally invasive procedures are tracked separately from general surgical outcomes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structured pathway exists for surgeons to safely gain and maintain competency in new techniques</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Minimally invasive competency is assumed from general surgical credentialing with no specific verification</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Scope and energy device maintenance follows no defined, distinct schedule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clear protocol exists for conversion decisions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Outcomes are only tracked in aggregate, obscuring minimally invasive-specific patterns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New techniques are adopted without a structured competency-building process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Competency verification exists for established procedures but not for newly adopted techniques.</w:t>
            </w:r>
          </w:p>
          <w:p>
            <w:pPr>
              <w:spacing w:after="20" w:before="0"/>
            </w:pPr>
            <w:r>
              <w:rPr>
                <w:rFonts w:ascii="Arial" w:cs="Arial" w:eastAsia="Arial" w:hAnsi="Arial"/>
                <w:b w:val="false"/>
                <w:bCs w:val="false"/>
                <w:i/>
                <w:iCs/>
                <w:caps w:val="false"/>
                <w:color w:val="4b5563"/>
                <w:sz w:val="15"/>
                <w:szCs w:val="15"/>
              </w:rPr>
              <w:t xml:space="preserve">A surgeon’s existing minimally invasive competency is well-documented, but the process for verifying competency in a newly introduced technique is less rigorous.</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Equipment maintenance is defined but actual servicing lags for less frequently used devices.</w:t>
            </w:r>
          </w:p>
          <w:p>
            <w:pPr>
              <w:spacing w:after="20" w:before="0"/>
            </w:pPr>
            <w:r>
              <w:rPr>
                <w:rFonts w:ascii="Arial" w:cs="Arial" w:eastAsia="Arial" w:hAnsi="Arial"/>
                <w:b w:val="false"/>
                <w:bCs w:val="false"/>
                <w:i/>
                <w:iCs/>
                <w:caps w:val="false"/>
                <w:color w:val="4b5563"/>
                <w:sz w:val="15"/>
                <w:szCs w:val="15"/>
              </w:rPr>
              <w:t xml:space="preserve">High-use scopes are well maintained; less frequently used specialised equipment sometimes falls behind the schedule.</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Conversion happens appropriately in practice but is inconsistently documented.</w:t>
            </w:r>
          </w:p>
          <w:p>
            <w:pPr>
              <w:spacing w:after="36" w:before="0"/>
            </w:pPr>
            <w:r>
              <w:rPr>
                <w:rFonts w:ascii="Arial" w:cs="Arial" w:eastAsia="Arial" w:hAnsi="Arial"/>
                <w:b w:val="false"/>
                <w:bCs w:val="false"/>
                <w:i/>
                <w:iCs/>
                <w:caps w:val="false"/>
                <w:color w:val="4b5563"/>
                <w:sz w:val="15"/>
                <w:szCs w:val="15"/>
              </w:rPr>
              <w:t xml:space="preserve">Surgeons make sound clinical conversion decisions, but the record does not always clearly capture what triggered the decision.</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Confirm or establish procedure-specific competency verification for minimally invasive surgery.</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Audit maintenance records for scopes and energy devices against the defined schedule.</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Confirm or strengthen the conversion protocol and its documentation requirement.</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Establish or strengthen outcome tracking specific to minimally invasive procedures.</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Review minimally invasive-specific outcomes and competency records regularly; support structured adoption of new techniques.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Ask specifically about competency for a newly adopted technique.  </w:t>
            </w:r>
            <w:r>
              <w:rPr>
                <w:rFonts w:ascii="Arial" w:cs="Arial" w:eastAsia="Arial" w:hAnsi="Arial"/>
                <w:b w:val="false"/>
                <w:bCs w:val="false"/>
                <w:i w:val="false"/>
                <w:iCs w:val="false"/>
                <w:caps w:val="false"/>
                <w:color w:val="374151"/>
                <w:sz w:val="16"/>
                <w:szCs w:val="16"/>
              </w:rPr>
              <w:t xml:space="preserve">Verification is often strong for long-established procedures but weaker for recently introduced ones — this is where the real gap often lies.</w:t>
            </w:r>
          </w:p>
          <w:p>
            <w:pPr>
              <w:spacing w:after="16" w:before="0"/>
            </w:pPr>
            <w:r>
              <w:rPr>
                <w:rFonts w:ascii="Arial" w:cs="Arial" w:eastAsia="Arial" w:hAnsi="Arial"/>
                <w:b/>
                <w:bCs/>
                <w:i w:val="false"/>
                <w:iCs w:val="false"/>
                <w:caps w:val="false"/>
                <w:color w:val="b91c1c"/>
                <w:sz w:val="15"/>
                <w:szCs w:val="15"/>
              </w:rPr>
              <w:t xml:space="preserve">Check maintenance records for less frequently used equipment, not just high-volume devices.  </w:t>
            </w:r>
            <w:r>
              <w:rPr>
                <w:rFonts w:ascii="Arial" w:cs="Arial" w:eastAsia="Arial" w:hAnsi="Arial"/>
                <w:b w:val="false"/>
                <w:bCs w:val="false"/>
                <w:i w:val="false"/>
                <w:iCs w:val="false"/>
                <w:caps w:val="false"/>
                <w:color w:val="374151"/>
                <w:sz w:val="16"/>
                <w:szCs w:val="16"/>
              </w:rPr>
              <w:t xml:space="preserve">Equipment used less often is more likely to fall behind a maintenance schedule unnoticed.</w:t>
            </w:r>
          </w:p>
          <w:p>
            <w:pPr>
              <w:spacing w:after="36" w:before="0"/>
            </w:pPr>
            <w:r>
              <w:rPr>
                <w:rFonts w:ascii="Arial" w:cs="Arial" w:eastAsia="Arial" w:hAnsi="Arial"/>
                <w:b/>
                <w:bCs/>
                <w:i w:val="false"/>
                <w:iCs w:val="false"/>
                <w:caps w:val="false"/>
                <w:color w:val="b91c1c"/>
                <w:sz w:val="15"/>
                <w:szCs w:val="15"/>
              </w:rPr>
              <w:t xml:space="preserve">Ask a surgeon to walk through a real or recent conversion decision.  </w:t>
            </w:r>
            <w:r>
              <w:rPr>
                <w:rFonts w:ascii="Arial" w:cs="Arial" w:eastAsia="Arial" w:hAnsi="Arial"/>
                <w:b w:val="false"/>
                <w:bCs w:val="false"/>
                <w:i w:val="false"/>
                <w:iCs w:val="false"/>
                <w:caps w:val="false"/>
                <w:color w:val="374151"/>
                <w:sz w:val="16"/>
                <w:szCs w:val="16"/>
              </w:rPr>
              <w:t xml:space="preserve">A specific, well-documented example demonstrates the protocol functions in practice, not only on paper.</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sfnfgugeqzyl0_zutdudq">
              <w:r>
                <w:rPr>
                  <w:rFonts w:ascii="Arial" w:cs="Arial" w:eastAsia="Arial" w:hAnsi="Arial"/>
                  <w:b/>
                  <w:bCs/>
                  <w:color w:val="c9a227"/>
                  <w:sz w:val="13"/>
                  <w:szCs w:val="13"/>
                  <w:u w:val="single"/>
                </w:rPr>
                <w:t xml:space="preserve">academy.gmj.ge/ch6-10-minimally-invasive-procedure-safety</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7700"/>
        <w:gridCol w:w="1660"/>
      </w:tblGrid>
      <w:tr>
        <w:tc>
          <w:tcPr>
            <w:tcW w:type="dxa" w:w="7700"/>
            <w:shd w:fill="0e2647" w:color="auto" w:val="clear"/>
            <w:tcMar>
              <w:top w:type="dxa" w:w="60"/>
              <w:left w:type="dxa" w:w="150"/>
              <w:bottom w:type="dxa" w:w="60"/>
              <w:right w:type="dxa" w:w="75"/>
            </w:tcMar>
            <w:vAlign w:val="top"/>
          </w:tcPr>
          <w:p>
            <w:pPr>
              <w:spacing w:after="36" w:before="0"/>
            </w:pPr>
            <w:r>
              <w:rPr>
                <w:rFonts w:ascii="Helvetica" w:cs="Helvetica" w:eastAsia="Helvetica" w:hAnsi="Helvetica"/>
                <w:b/>
                <w:bCs/>
                <w:i w:val="false"/>
                <w:iCs w:val="false"/>
                <w:caps/>
                <w:color w:val="c9a227"/>
                <w:spacing w:val="30"/>
                <w:sz w:val="13"/>
                <w:szCs w:val="13"/>
              </w:rPr>
              <w:t xml:space="preserve">CHAPTER 6: SPS  —  COMBINED REFERENCES</w:t>
            </w:r>
          </w:p>
        </w:tc>
        <w:tc>
          <w:tcPr>
            <w:tcW w:type="dxa" w:w="1660"/>
            <w:shd w:fill="0e2647" w:color="auto" w:val="clear"/>
            <w:tcMar>
              <w:top w:type="dxa" w:w="50"/>
              <w:left w:type="dxa" w:w="70"/>
              <w:bottom w:type="dxa" w:w="50"/>
              <w:right w:type="dxa" w:w="75"/>
            </w:tcMar>
            <w:vAlign w:val="top"/>
          </w:tcPr>
          <w:p>
            <w:pPr>
              <w:spacing w:after="3" w:before="0"/>
            </w:pPr>
            <w:r>
              <w:rPr>
                <w:rFonts w:ascii="Arial" w:cs="Arial" w:eastAsia="Arial" w:hAnsi="Arial"/>
                <w:b w:val="false"/>
                <w:bCs w:val="false"/>
                <w:i/>
                <w:iCs/>
                <w:caps w:val="false"/>
                <w:color w:val="6b778c"/>
                <w:sz w:val="11"/>
                <w:szCs w:val="11"/>
              </w:rPr>
              <w:t xml:space="preserve">Vancouver Style  |  30</w:t>
            </w:r>
          </w:p>
          <w:p>
            <w:pPr>
              <w:spacing w:after="36" w:before="0"/>
            </w:pPr>
            <w:r>
              <w:rPr>
                <w:rFonts w:ascii="Arial" w:cs="Arial" w:eastAsia="Arial" w:hAnsi="Arial"/>
                <w:b w:val="false"/>
                <w:bCs w:val="false"/>
                <w:i/>
                <w:iCs/>
                <w:caps w:val="false"/>
                <w:color w:val="6b778c"/>
                <w:sz w:val="11"/>
                <w:szCs w:val="11"/>
              </w:rPr>
              <w:t xml:space="preserve">citations  |  Version 2.0</w:t>
            </w:r>
          </w:p>
        </w:tc>
      </w:tr>
    </w:tbl>
    <w:p>
      <w:pPr>
        <w:spacing w:after="36" w:before="30"/>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REFERENCES</w:t>
            </w:r>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6.1 — WHO Surgical Safety Checklist</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WHO Guidelines for Safe Surgery 2009: Safe Surgery Saves Lives. Geneva: WHO; 2009.</w:t>
            </w:r>
          </w:p>
          <w:p>
            <w:pPr>
              <w:spacing w:after="36" w:before="0"/>
            </w:pPr>
            <w:r>
              <w:rPr>
                <w:rFonts w:ascii="Arial" w:cs="Arial" w:eastAsia="Arial" w:hAnsi="Arial"/>
                <w:b/>
                <w:bCs/>
                <w:i w:val="false"/>
                <w:iCs w:val="false"/>
                <w:caps w:val="false"/>
                <w:color w:val="6b778c"/>
                <w:sz w:val="12"/>
                <w:szCs w:val="12"/>
              </w:rPr>
              <w:t xml:space="preserve">URL: </w:t>
            </w:r>
            <w:hyperlink w:history="1" r:id="rIdvdyf0fuvnaoesgu4t2ipj">
              <w:r>
                <w:rPr>
                  <w:rFonts w:ascii="Arial" w:cs="Arial" w:eastAsia="Arial" w:hAnsi="Arial"/>
                  <w:b/>
                  <w:bCs/>
                  <w:color w:val="c9a227"/>
                  <w:sz w:val="12"/>
                  <w:szCs w:val="12"/>
                  <w:u w:val="single"/>
                </w:rPr>
                <w:t xml:space="preserve">https://www.who.int/publications/i/item/9789241598552</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Haynes AB, Weiser TG, Berry WR, et al. A surgical safety checklist to reduce morbidity and mortality in a global population. N Engl J Med. 2009;360(5):491-499.</w:t>
            </w:r>
          </w:p>
          <w:p>
            <w:pPr>
              <w:spacing w:after="36" w:before="0"/>
            </w:pPr>
            <w:r>
              <w:rPr>
                <w:rFonts w:ascii="Arial" w:cs="Arial" w:eastAsia="Arial" w:hAnsi="Arial"/>
                <w:b/>
                <w:bCs/>
                <w:i w:val="false"/>
                <w:iCs w:val="false"/>
                <w:caps w:val="false"/>
                <w:color w:val="6b778c"/>
                <w:sz w:val="12"/>
                <w:szCs w:val="12"/>
              </w:rPr>
              <w:t xml:space="preserve">URL: </w:t>
            </w:r>
            <w:hyperlink w:history="1" r:id="rIdelfdzyba9qheyqg85spq9">
              <w:r>
                <w:rPr>
                  <w:rFonts w:ascii="Arial" w:cs="Arial" w:eastAsia="Arial" w:hAnsi="Arial"/>
                  <w:b/>
                  <w:bCs/>
                  <w:color w:val="c9a227"/>
                  <w:sz w:val="12"/>
                  <w:szCs w:val="12"/>
                  <w:u w:val="single"/>
                </w:rPr>
                <w:t xml:space="preserve">https://doi.org/10.1056/NEJMsa0810119</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3.</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Implementation manual: WHO Surgical Safety Checklist. Geneva: WHO; 2008.</w:t>
            </w:r>
          </w:p>
          <w:p>
            <w:pPr>
              <w:spacing w:after="36" w:before="0"/>
            </w:pPr>
            <w:r>
              <w:rPr>
                <w:rFonts w:ascii="Arial" w:cs="Arial" w:eastAsia="Arial" w:hAnsi="Arial"/>
                <w:b/>
                <w:bCs/>
                <w:i w:val="false"/>
                <w:iCs w:val="false"/>
                <w:caps w:val="false"/>
                <w:color w:val="6b778c"/>
                <w:sz w:val="12"/>
                <w:szCs w:val="12"/>
              </w:rPr>
              <w:t xml:space="preserve">URL: </w:t>
            </w:r>
            <w:hyperlink w:history="1" r:id="rIdpybqec72k6w9qc8vfwu0x">
              <w:r>
                <w:rPr>
                  <w:rFonts w:ascii="Arial" w:cs="Arial" w:eastAsia="Arial" w:hAnsi="Arial"/>
                  <w:b/>
                  <w:bCs/>
                  <w:color w:val="c9a227"/>
                  <w:sz w:val="12"/>
                  <w:szCs w:val="12"/>
                  <w:u w:val="single"/>
                </w:rPr>
                <w:t xml:space="preserve">https://www.who.int/publications/i/item/9789241598590</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6.2 — Anaesthesia Safety Standards</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4.</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WHO Guidelines for Safe Surgery 2009: Safe Surgery Saves Lives (anaesthesia safety provisions). Geneva: WHO; 2009.</w:t>
            </w:r>
          </w:p>
          <w:p>
            <w:pPr>
              <w:spacing w:after="36" w:before="0"/>
            </w:pPr>
            <w:r>
              <w:rPr>
                <w:rFonts w:ascii="Arial" w:cs="Arial" w:eastAsia="Arial" w:hAnsi="Arial"/>
                <w:b/>
                <w:bCs/>
                <w:i w:val="false"/>
                <w:iCs w:val="false"/>
                <w:caps w:val="false"/>
                <w:color w:val="6b778c"/>
                <w:sz w:val="12"/>
                <w:szCs w:val="12"/>
              </w:rPr>
              <w:t xml:space="preserve">URL: </w:t>
            </w:r>
            <w:hyperlink w:history="1" r:id="rIdnk5zltulvqb8zoxpkv-ho">
              <w:r>
                <w:rPr>
                  <w:rFonts w:ascii="Arial" w:cs="Arial" w:eastAsia="Arial" w:hAnsi="Arial"/>
                  <w:b/>
                  <w:bCs/>
                  <w:color w:val="c9a227"/>
                  <w:sz w:val="12"/>
                  <w:szCs w:val="12"/>
                  <w:u w:val="single"/>
                </w:rPr>
                <w:t xml:space="preserve">https://www.who.int/publications/i/item/9789241598552</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5.</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Federation of Societies of Anaesthesiologists. International Standards for a Safe Practice of Anaesthesia. Helsinki: WFSA; 2018.</w:t>
            </w:r>
          </w:p>
          <w:p>
            <w:pPr>
              <w:spacing w:after="36" w:before="0"/>
            </w:pPr>
            <w:r>
              <w:rPr>
                <w:rFonts w:ascii="Arial" w:cs="Arial" w:eastAsia="Arial" w:hAnsi="Arial"/>
                <w:b/>
                <w:bCs/>
                <w:i w:val="false"/>
                <w:iCs w:val="false"/>
                <w:caps w:val="false"/>
                <w:color w:val="6b778c"/>
                <w:sz w:val="12"/>
                <w:szCs w:val="12"/>
              </w:rPr>
              <w:t xml:space="preserve">URL: </w:t>
            </w:r>
            <w:hyperlink w:history="1" r:id="rIdyxzvonxsyibo_hyh_g6zw">
              <w:r>
                <w:rPr>
                  <w:rFonts w:ascii="Arial" w:cs="Arial" w:eastAsia="Arial" w:hAnsi="Arial"/>
                  <w:b/>
                  <w:bCs/>
                  <w:color w:val="c9a227"/>
                  <w:sz w:val="12"/>
                  <w:szCs w:val="12"/>
                  <w:u w:val="single"/>
                </w:rPr>
                <w:t xml:space="preserve">https://wfsahq.org/our-work/safety-quality/international-standards-for-a-safe-practice-of-anaesthesia-2/</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6.</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Merry AF, Cooper JB, Soyannwo O, Wilson IH, Eichhorn JH. International standards for a safe practice of anaesthesia. Can J Anaesth. 2010;57(11):1027-1034.</w:t>
            </w:r>
          </w:p>
          <w:p>
            <w:pPr>
              <w:spacing w:after="36" w:before="0"/>
            </w:pPr>
            <w:r>
              <w:rPr>
                <w:rFonts w:ascii="Arial" w:cs="Arial" w:eastAsia="Arial" w:hAnsi="Arial"/>
                <w:b/>
                <w:bCs/>
                <w:i w:val="false"/>
                <w:iCs w:val="false"/>
                <w:caps w:val="false"/>
                <w:color w:val="6b778c"/>
                <w:sz w:val="12"/>
                <w:szCs w:val="12"/>
              </w:rPr>
              <w:t xml:space="preserve">URL: </w:t>
            </w:r>
            <w:hyperlink w:history="1" r:id="rIdjbrrozdv7ei-3ceythkvs">
              <w:r>
                <w:rPr>
                  <w:rFonts w:ascii="Arial" w:cs="Arial" w:eastAsia="Arial" w:hAnsi="Arial"/>
                  <w:b/>
                  <w:bCs/>
                  <w:color w:val="c9a227"/>
                  <w:sz w:val="12"/>
                  <w:szCs w:val="12"/>
                  <w:u w:val="single"/>
                </w:rPr>
                <w:t xml:space="preserve">https://doi.org/10.1007/s12630-010-9381-6</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6.3 — Surgical Site Infection Prevention</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7.</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Global guidelines for the prevention of surgical site infection. 2nd ed. Geneva: WHO; 2018.</w:t>
            </w:r>
          </w:p>
          <w:p>
            <w:pPr>
              <w:spacing w:after="36" w:before="0"/>
            </w:pPr>
            <w:r>
              <w:rPr>
                <w:rFonts w:ascii="Arial" w:cs="Arial" w:eastAsia="Arial" w:hAnsi="Arial"/>
                <w:b/>
                <w:bCs/>
                <w:i w:val="false"/>
                <w:iCs w:val="false"/>
                <w:caps w:val="false"/>
                <w:color w:val="6b778c"/>
                <w:sz w:val="12"/>
                <w:szCs w:val="12"/>
              </w:rPr>
              <w:t xml:space="preserve">URL: </w:t>
            </w:r>
            <w:hyperlink w:history="1" r:id="rIdjuo48lfzadumjbqcartl3">
              <w:r>
                <w:rPr>
                  <w:rFonts w:ascii="Arial" w:cs="Arial" w:eastAsia="Arial" w:hAnsi="Arial"/>
                  <w:b/>
                  <w:bCs/>
                  <w:color w:val="c9a227"/>
                  <w:sz w:val="12"/>
                  <w:szCs w:val="12"/>
                  <w:u w:val="single"/>
                </w:rPr>
                <w:t xml:space="preserve">https://www.who.int/publications/i/item/9789241550475</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8.</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Berrios-Torres SI, Umscheid CA, Bratzler DW, et al. Centers for Disease Control and Prevention guideline for the prevention of surgical site infection. JAMA Surg. 2017;152(8):784-791.</w:t>
            </w:r>
          </w:p>
          <w:p>
            <w:pPr>
              <w:spacing w:after="36" w:before="0"/>
            </w:pPr>
            <w:r>
              <w:rPr>
                <w:rFonts w:ascii="Arial" w:cs="Arial" w:eastAsia="Arial" w:hAnsi="Arial"/>
                <w:b/>
                <w:bCs/>
                <w:i w:val="false"/>
                <w:iCs w:val="false"/>
                <w:caps w:val="false"/>
                <w:color w:val="6b778c"/>
                <w:sz w:val="12"/>
                <w:szCs w:val="12"/>
              </w:rPr>
              <w:t xml:space="preserve">URL: </w:t>
            </w:r>
            <w:hyperlink w:history="1" r:id="rIdbt2hn3hpb1aqvklwep4bu">
              <w:r>
                <w:rPr>
                  <w:rFonts w:ascii="Arial" w:cs="Arial" w:eastAsia="Arial" w:hAnsi="Arial"/>
                  <w:b/>
                  <w:bCs/>
                  <w:color w:val="c9a227"/>
                  <w:sz w:val="12"/>
                  <w:szCs w:val="12"/>
                  <w:u w:val="single"/>
                </w:rPr>
                <w:t xml:space="preserve">https://doi.org/10.1001/jamasurg.2017.0904</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9.</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National Institute for Health and Care Excellence. Surgical site infections: prevention and treatment. London: NICE; 2020.</w:t>
            </w:r>
          </w:p>
          <w:p>
            <w:pPr>
              <w:spacing w:after="36" w:before="0"/>
            </w:pPr>
            <w:r>
              <w:rPr>
                <w:rFonts w:ascii="Arial" w:cs="Arial" w:eastAsia="Arial" w:hAnsi="Arial"/>
                <w:b/>
                <w:bCs/>
                <w:i w:val="false"/>
                <w:iCs w:val="false"/>
                <w:caps w:val="false"/>
                <w:color w:val="6b778c"/>
                <w:sz w:val="12"/>
                <w:szCs w:val="12"/>
              </w:rPr>
              <w:t xml:space="preserve">URL: </w:t>
            </w:r>
            <w:hyperlink w:history="1" r:id="rIdbdzyyomyzmmwsxdxmalap">
              <w:r>
                <w:rPr>
                  <w:rFonts w:ascii="Arial" w:cs="Arial" w:eastAsia="Arial" w:hAnsi="Arial"/>
                  <w:b/>
                  <w:bCs/>
                  <w:color w:val="c9a227"/>
                  <w:sz w:val="12"/>
                  <w:szCs w:val="12"/>
                  <w:u w:val="single"/>
                </w:rPr>
                <w:t xml:space="preserve">https://www.nice.org.uk/guidance/ng125</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6.4 — Informed Consent for Surgical Procedures</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10.</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WHO Guidelines for Safe Surgery 2009: Safe Surgery Saves Lives. Geneva: WHO; 2009.</w:t>
            </w:r>
          </w:p>
          <w:p>
            <w:pPr>
              <w:spacing w:after="36" w:before="0"/>
            </w:pPr>
            <w:r>
              <w:rPr>
                <w:rFonts w:ascii="Arial" w:cs="Arial" w:eastAsia="Arial" w:hAnsi="Arial"/>
                <w:b/>
                <w:bCs/>
                <w:i w:val="false"/>
                <w:iCs w:val="false"/>
                <w:caps w:val="false"/>
                <w:color w:val="6b778c"/>
                <w:sz w:val="12"/>
                <w:szCs w:val="12"/>
              </w:rPr>
              <w:t xml:space="preserve">URL: </w:t>
            </w:r>
            <w:hyperlink w:history="1" r:id="rIdptbjfvseakkynygpmblgm">
              <w:r>
                <w:rPr>
                  <w:rFonts w:ascii="Arial" w:cs="Arial" w:eastAsia="Arial" w:hAnsi="Arial"/>
                  <w:b/>
                  <w:bCs/>
                  <w:color w:val="c9a227"/>
                  <w:sz w:val="12"/>
                  <w:szCs w:val="12"/>
                  <w:u w:val="single"/>
                </w:rPr>
                <w:t xml:space="preserve">https://www.who.int/publications/i/item/9789241598552</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11.</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Council of Europe. Convention on Human Rights and Biomedicine (Oviedo Convention), Article 5. Strasbourg: Council of Europe; 1997.</w:t>
            </w:r>
          </w:p>
          <w:p>
            <w:pPr>
              <w:spacing w:after="36" w:before="0"/>
            </w:pPr>
            <w:r>
              <w:rPr>
                <w:rFonts w:ascii="Arial" w:cs="Arial" w:eastAsia="Arial" w:hAnsi="Arial"/>
                <w:b/>
                <w:bCs/>
                <w:i w:val="false"/>
                <w:iCs w:val="false"/>
                <w:caps w:val="false"/>
                <w:color w:val="6b778c"/>
                <w:sz w:val="12"/>
                <w:szCs w:val="12"/>
              </w:rPr>
              <w:t xml:space="preserve">URL: </w:t>
            </w:r>
            <w:hyperlink w:history="1" r:id="rIdbrbknp7r6-d0zz69mkqq1">
              <w:r>
                <w:rPr>
                  <w:rFonts w:ascii="Arial" w:cs="Arial" w:eastAsia="Arial" w:hAnsi="Arial"/>
                  <w:b/>
                  <w:bCs/>
                  <w:color w:val="c9a227"/>
                  <w:sz w:val="12"/>
                  <w:szCs w:val="12"/>
                  <w:u w:val="single"/>
                </w:rPr>
                <w:t xml:space="preserve">https://www.coe.int/en/web/bioethics/oviedo-convention</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12.</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American College of Surgeons. Statements on Principles: Informed Consent. Chicago: ACS; 2016.</w:t>
            </w:r>
          </w:p>
          <w:p>
            <w:pPr>
              <w:spacing w:after="36" w:before="0"/>
            </w:pPr>
            <w:r>
              <w:rPr>
                <w:rFonts w:ascii="Arial" w:cs="Arial" w:eastAsia="Arial" w:hAnsi="Arial"/>
                <w:b/>
                <w:bCs/>
                <w:i w:val="false"/>
                <w:iCs w:val="false"/>
                <w:caps w:val="false"/>
                <w:color w:val="6b778c"/>
                <w:sz w:val="12"/>
                <w:szCs w:val="12"/>
              </w:rPr>
              <w:t xml:space="preserve">URL: </w:t>
            </w:r>
            <w:hyperlink w:history="1" r:id="rIdlji1ec_b73zca2efnzfr6">
              <w:r>
                <w:rPr>
                  <w:rFonts w:ascii="Arial" w:cs="Arial" w:eastAsia="Arial" w:hAnsi="Arial"/>
                  <w:b/>
                  <w:bCs/>
                  <w:color w:val="c9a227"/>
                  <w:sz w:val="12"/>
                  <w:szCs w:val="12"/>
                  <w:u w:val="single"/>
                </w:rPr>
                <w:t xml:space="preserve">https://www.facs.org/about-acs/statements/statements-on-principles</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6.5 — Instrument Counts and Retained Items Prevention</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13.</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WHO Guidelines for Safe Surgery 2009: Safe Surgery Saves Lives (retained item prevention). Geneva: WHO; 2009.</w:t>
            </w:r>
          </w:p>
          <w:p>
            <w:pPr>
              <w:spacing w:after="36" w:before="0"/>
            </w:pPr>
            <w:r>
              <w:rPr>
                <w:rFonts w:ascii="Arial" w:cs="Arial" w:eastAsia="Arial" w:hAnsi="Arial"/>
                <w:b/>
                <w:bCs/>
                <w:i w:val="false"/>
                <w:iCs w:val="false"/>
                <w:caps w:val="false"/>
                <w:color w:val="6b778c"/>
                <w:sz w:val="12"/>
                <w:szCs w:val="12"/>
              </w:rPr>
              <w:t xml:space="preserve">URL: </w:t>
            </w:r>
            <w:hyperlink w:history="1" r:id="rIdjqnvhdqiz1xunma5roiiw">
              <w:r>
                <w:rPr>
                  <w:rFonts w:ascii="Arial" w:cs="Arial" w:eastAsia="Arial" w:hAnsi="Arial"/>
                  <w:b/>
                  <w:bCs/>
                  <w:color w:val="c9a227"/>
                  <w:sz w:val="12"/>
                  <w:szCs w:val="12"/>
                  <w:u w:val="single"/>
                </w:rPr>
                <w:t xml:space="preserve">https://www.who.int/publications/i/item/9789241598552</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14.</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Association of periOperative Registered Nurses. Guideline for Prevention of Retained Surgical Items. Denver: AORN; 2022.</w:t>
            </w:r>
          </w:p>
          <w:p>
            <w:pPr>
              <w:spacing w:after="36" w:before="0"/>
            </w:pPr>
            <w:r>
              <w:rPr>
                <w:rFonts w:ascii="Arial" w:cs="Arial" w:eastAsia="Arial" w:hAnsi="Arial"/>
                <w:b/>
                <w:bCs/>
                <w:i w:val="false"/>
                <w:iCs w:val="false"/>
                <w:caps w:val="false"/>
                <w:color w:val="6b778c"/>
                <w:sz w:val="12"/>
                <w:szCs w:val="12"/>
              </w:rPr>
              <w:t xml:space="preserve">URL: </w:t>
            </w:r>
            <w:hyperlink w:history="1" r:id="rId50oprhbs_u5f0_niuyasi">
              <w:r>
                <w:rPr>
                  <w:rFonts w:ascii="Arial" w:cs="Arial" w:eastAsia="Arial" w:hAnsi="Arial"/>
                  <w:b/>
                  <w:bCs/>
                  <w:color w:val="c9a227"/>
                  <w:sz w:val="12"/>
                  <w:szCs w:val="12"/>
                  <w:u w:val="single"/>
                </w:rPr>
                <w:t xml:space="preserve">https://www.aorn.org/guidelines</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15.</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Gawande AA, Studdert DM, Orav EJ, Brennan TA, Zinner MJ. Risk factors for retained instruments and sponges after surgery. N Engl J Med. 2003;348(3):229-235.</w:t>
            </w:r>
          </w:p>
          <w:p>
            <w:pPr>
              <w:spacing w:after="36" w:before="0"/>
            </w:pPr>
            <w:r>
              <w:rPr>
                <w:rFonts w:ascii="Arial" w:cs="Arial" w:eastAsia="Arial" w:hAnsi="Arial"/>
                <w:b/>
                <w:bCs/>
                <w:i w:val="false"/>
                <w:iCs w:val="false"/>
                <w:caps w:val="false"/>
                <w:color w:val="6b778c"/>
                <w:sz w:val="12"/>
                <w:szCs w:val="12"/>
              </w:rPr>
              <w:t xml:space="preserve">URL: </w:t>
            </w:r>
            <w:hyperlink w:history="1" r:id="rIdpvecfnskeyidte55glujw">
              <w:r>
                <w:rPr>
                  <w:rFonts w:ascii="Arial" w:cs="Arial" w:eastAsia="Arial" w:hAnsi="Arial"/>
                  <w:b/>
                  <w:bCs/>
                  <w:color w:val="c9a227"/>
                  <w:sz w:val="12"/>
                  <w:szCs w:val="12"/>
                  <w:u w:val="single"/>
                </w:rPr>
                <w:t xml:space="preserve">https://doi.org/10.1056/NEJMsa021721</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6.6 — Theatre Environment and Equipment Safety</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16.</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WHO Guidelines for Safe Surgery 2009: Safe Surgery Saves Lives (theatre environment provisions). Geneva: WHO; 2009.</w:t>
            </w:r>
          </w:p>
          <w:p>
            <w:pPr>
              <w:spacing w:after="36" w:before="0"/>
            </w:pPr>
            <w:r>
              <w:rPr>
                <w:rFonts w:ascii="Arial" w:cs="Arial" w:eastAsia="Arial" w:hAnsi="Arial"/>
                <w:b/>
                <w:bCs/>
                <w:i w:val="false"/>
                <w:iCs w:val="false"/>
                <w:caps w:val="false"/>
                <w:color w:val="6b778c"/>
                <w:sz w:val="12"/>
                <w:szCs w:val="12"/>
              </w:rPr>
              <w:t xml:space="preserve">URL: </w:t>
            </w:r>
            <w:hyperlink w:history="1" r:id="rIdzp8bclpfv17te--fryrsr">
              <w:r>
                <w:rPr>
                  <w:rFonts w:ascii="Arial" w:cs="Arial" w:eastAsia="Arial" w:hAnsi="Arial"/>
                  <w:b/>
                  <w:bCs/>
                  <w:color w:val="c9a227"/>
                  <w:sz w:val="12"/>
                  <w:szCs w:val="12"/>
                  <w:u w:val="single"/>
                </w:rPr>
                <w:t xml:space="preserve">https://www.who.int/publications/i/item/9789241598552</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17.</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International Federation of Hospital Engineering. Guidelines for operating theatre ventilation. London: IFHE; 2018.</w:t>
            </w:r>
          </w:p>
          <w:p>
            <w:pPr>
              <w:spacing w:after="36" w:before="0"/>
            </w:pPr>
            <w:r>
              <w:rPr>
                <w:rFonts w:ascii="Arial" w:cs="Arial" w:eastAsia="Arial" w:hAnsi="Arial"/>
                <w:b/>
                <w:bCs/>
                <w:i w:val="false"/>
                <w:iCs w:val="false"/>
                <w:caps w:val="false"/>
                <w:color w:val="6b778c"/>
                <w:sz w:val="12"/>
                <w:szCs w:val="12"/>
              </w:rPr>
              <w:t xml:space="preserve">URL: </w:t>
            </w:r>
            <w:hyperlink w:history="1" r:id="rIdogh4dxowf9rsxiz_ftsmb">
              <w:r>
                <w:rPr>
                  <w:rFonts w:ascii="Arial" w:cs="Arial" w:eastAsia="Arial" w:hAnsi="Arial"/>
                  <w:b/>
                  <w:bCs/>
                  <w:color w:val="c9a227"/>
                  <w:sz w:val="12"/>
                  <w:szCs w:val="12"/>
                  <w:u w:val="single"/>
                </w:rPr>
                <w:t xml:space="preserve">https://www.ifhe.org</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18.</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Medical equipment maintenance programme overview. Geneva: WHO; 2011.</w:t>
            </w:r>
          </w:p>
          <w:p>
            <w:pPr>
              <w:spacing w:after="36" w:before="0"/>
            </w:pPr>
            <w:r>
              <w:rPr>
                <w:rFonts w:ascii="Arial" w:cs="Arial" w:eastAsia="Arial" w:hAnsi="Arial"/>
                <w:b/>
                <w:bCs/>
                <w:i w:val="false"/>
                <w:iCs w:val="false"/>
                <w:caps w:val="false"/>
                <w:color w:val="6b778c"/>
                <w:sz w:val="12"/>
                <w:szCs w:val="12"/>
              </w:rPr>
              <w:t xml:space="preserve">URL: </w:t>
            </w:r>
            <w:hyperlink w:history="1" r:id="rIdfi7myz7wtq5sb9yqtxidp">
              <w:r>
                <w:rPr>
                  <w:rFonts w:ascii="Arial" w:cs="Arial" w:eastAsia="Arial" w:hAnsi="Arial"/>
                  <w:b/>
                  <w:bCs/>
                  <w:color w:val="c9a227"/>
                  <w:sz w:val="12"/>
                  <w:szCs w:val="12"/>
                  <w:u w:val="single"/>
                </w:rPr>
                <w:t xml:space="preserve">https://www.who.int/publications/i/item/9789241501538</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6.7 — Blood and Blood Products Management</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19.</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WHO Blood Transfusion Safety: Clinical Transfusion Practice Guidelines. Geneva: WHO; 2010.</w:t>
            </w:r>
          </w:p>
          <w:p>
            <w:pPr>
              <w:spacing w:after="36" w:before="0"/>
            </w:pPr>
            <w:r>
              <w:rPr>
                <w:rFonts w:ascii="Arial" w:cs="Arial" w:eastAsia="Arial" w:hAnsi="Arial"/>
                <w:b/>
                <w:bCs/>
                <w:i w:val="false"/>
                <w:iCs w:val="false"/>
                <w:caps w:val="false"/>
                <w:color w:val="6b778c"/>
                <w:sz w:val="12"/>
                <w:szCs w:val="12"/>
              </w:rPr>
              <w:t xml:space="preserve">URL: </w:t>
            </w:r>
            <w:hyperlink w:history="1" r:id="rIdgonl3zsnyczqw86osbrt9">
              <w:r>
                <w:rPr>
                  <w:rFonts w:ascii="Arial" w:cs="Arial" w:eastAsia="Arial" w:hAnsi="Arial"/>
                  <w:b/>
                  <w:bCs/>
                  <w:color w:val="c9a227"/>
                  <w:sz w:val="12"/>
                  <w:szCs w:val="12"/>
                  <w:u w:val="single"/>
                </w:rPr>
                <w:t xml:space="preserve">https://www.who.int/publications/i/item/clinical-transfusion-practice-guidelines-for-medical-interns</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20.</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International Society of Blood Transfusion. Guidelines for pre-transfusion compatibility testing. Amsterdam: ISBT; 2019.</w:t>
            </w:r>
          </w:p>
          <w:p>
            <w:pPr>
              <w:spacing w:after="36" w:before="0"/>
            </w:pPr>
            <w:r>
              <w:rPr>
                <w:rFonts w:ascii="Arial" w:cs="Arial" w:eastAsia="Arial" w:hAnsi="Arial"/>
                <w:b/>
                <w:bCs/>
                <w:i w:val="false"/>
                <w:iCs w:val="false"/>
                <w:caps w:val="false"/>
                <w:color w:val="6b778c"/>
                <w:sz w:val="12"/>
                <w:szCs w:val="12"/>
              </w:rPr>
              <w:t xml:space="preserve">URL: </w:t>
            </w:r>
            <w:hyperlink w:history="1" r:id="rIdtkwwjliaka7tj3mt49wp1">
              <w:r>
                <w:rPr>
                  <w:rFonts w:ascii="Arial" w:cs="Arial" w:eastAsia="Arial" w:hAnsi="Arial"/>
                  <w:b/>
                  <w:bCs/>
                  <w:color w:val="c9a227"/>
                  <w:sz w:val="12"/>
                  <w:szCs w:val="12"/>
                  <w:u w:val="single"/>
                </w:rPr>
                <w:t xml:space="preserve">https://www.isbtweb.org</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21.</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Global status report on blood safety and availability. Geneva: WHO; 2021.</w:t>
            </w:r>
          </w:p>
          <w:p>
            <w:pPr>
              <w:spacing w:after="36" w:before="0"/>
            </w:pPr>
            <w:r>
              <w:rPr>
                <w:rFonts w:ascii="Arial" w:cs="Arial" w:eastAsia="Arial" w:hAnsi="Arial"/>
                <w:b/>
                <w:bCs/>
                <w:i w:val="false"/>
                <w:iCs w:val="false"/>
                <w:caps w:val="false"/>
                <w:color w:val="6b778c"/>
                <w:sz w:val="12"/>
                <w:szCs w:val="12"/>
              </w:rPr>
              <w:t xml:space="preserve">URL: </w:t>
            </w:r>
            <w:hyperlink w:history="1" r:id="rIdcg5w7kmqxkeim01vzqnso">
              <w:r>
                <w:rPr>
                  <w:rFonts w:ascii="Arial" w:cs="Arial" w:eastAsia="Arial" w:hAnsi="Arial"/>
                  <w:b/>
                  <w:bCs/>
                  <w:color w:val="c9a227"/>
                  <w:sz w:val="12"/>
                  <w:szCs w:val="12"/>
                  <w:u w:val="single"/>
                </w:rPr>
                <w:t xml:space="preserve">https://www.who.int/publications/i/item/9789240035744</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6.8 — Post-Operative Care and Monitoring</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22.</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WHO Guidelines for Safe Surgery 2009: Safe Surgery Saves Lives (post-operative care provisions). Geneva: WHO; 2009.</w:t>
            </w:r>
          </w:p>
          <w:p>
            <w:pPr>
              <w:spacing w:after="36" w:before="0"/>
            </w:pPr>
            <w:r>
              <w:rPr>
                <w:rFonts w:ascii="Arial" w:cs="Arial" w:eastAsia="Arial" w:hAnsi="Arial"/>
                <w:b/>
                <w:bCs/>
                <w:i w:val="false"/>
                <w:iCs w:val="false"/>
                <w:caps w:val="false"/>
                <w:color w:val="6b778c"/>
                <w:sz w:val="12"/>
                <w:szCs w:val="12"/>
              </w:rPr>
              <w:t xml:space="preserve">URL: </w:t>
            </w:r>
            <w:hyperlink w:history="1" r:id="rIdqb3jy61gwj2bu9cccgg1x">
              <w:r>
                <w:rPr>
                  <w:rFonts w:ascii="Arial" w:cs="Arial" w:eastAsia="Arial" w:hAnsi="Arial"/>
                  <w:b/>
                  <w:bCs/>
                  <w:color w:val="c9a227"/>
                  <w:sz w:val="12"/>
                  <w:szCs w:val="12"/>
                  <w:u w:val="single"/>
                </w:rPr>
                <w:t xml:space="preserve">https://www.who.int/publications/i/item/9789241598552</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23.</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Royal College of Physicians. National Early Warning Score (NEWS2). London: RCP; 2017.</w:t>
            </w:r>
          </w:p>
          <w:p>
            <w:pPr>
              <w:spacing w:after="36" w:before="0"/>
            </w:pPr>
            <w:r>
              <w:rPr>
                <w:rFonts w:ascii="Arial" w:cs="Arial" w:eastAsia="Arial" w:hAnsi="Arial"/>
                <w:b/>
                <w:bCs/>
                <w:i w:val="false"/>
                <w:iCs w:val="false"/>
                <w:caps w:val="false"/>
                <w:color w:val="6b778c"/>
                <w:sz w:val="12"/>
                <w:szCs w:val="12"/>
              </w:rPr>
              <w:t xml:space="preserve">URL: </w:t>
            </w:r>
            <w:hyperlink w:history="1" r:id="rId6ctizgh1zzahurfplfdg5">
              <w:r>
                <w:rPr>
                  <w:rFonts w:ascii="Arial" w:cs="Arial" w:eastAsia="Arial" w:hAnsi="Arial"/>
                  <w:b/>
                  <w:bCs/>
                  <w:color w:val="c9a227"/>
                  <w:sz w:val="12"/>
                  <w:szCs w:val="12"/>
                  <w:u w:val="single"/>
                </w:rPr>
                <w:t xml:space="preserve">https://www.rcplondon.ac.uk/projects/outputs/national-early-warning-score-news-2</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24.</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Ghaferi AA, Birkmeyer JD, Dimick JB. Variation in hospital mortality associated with inpatient surgery. N Engl J Med. 2009;361(14):1368-1375.</w:t>
            </w:r>
          </w:p>
          <w:p>
            <w:pPr>
              <w:spacing w:after="36" w:before="0"/>
            </w:pPr>
            <w:r>
              <w:rPr>
                <w:rFonts w:ascii="Arial" w:cs="Arial" w:eastAsia="Arial" w:hAnsi="Arial"/>
                <w:b/>
                <w:bCs/>
                <w:i w:val="false"/>
                <w:iCs w:val="false"/>
                <w:caps w:val="false"/>
                <w:color w:val="6b778c"/>
                <w:sz w:val="12"/>
                <w:szCs w:val="12"/>
              </w:rPr>
              <w:t xml:space="preserve">URL: </w:t>
            </w:r>
            <w:hyperlink w:history="1" r:id="rIdb4ztpkrlss2vrnfwtbjlk">
              <w:r>
                <w:rPr>
                  <w:rFonts w:ascii="Arial" w:cs="Arial" w:eastAsia="Arial" w:hAnsi="Arial"/>
                  <w:b/>
                  <w:bCs/>
                  <w:color w:val="c9a227"/>
                  <w:sz w:val="12"/>
                  <w:szCs w:val="12"/>
                  <w:u w:val="single"/>
                </w:rPr>
                <w:t xml:space="preserve">https://doi.org/10.1056/NEJMsa0903048</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6.9 — Surgical Outcome Monitoring and Reporting</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25.</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WHO Guidelines for Safe Surgery 2009: Safe Surgery Saves Lives (outcome measurement provisions). Geneva: WHO; 2009.</w:t>
            </w:r>
          </w:p>
          <w:p>
            <w:pPr>
              <w:spacing w:after="36" w:before="0"/>
            </w:pPr>
            <w:r>
              <w:rPr>
                <w:rFonts w:ascii="Arial" w:cs="Arial" w:eastAsia="Arial" w:hAnsi="Arial"/>
                <w:b/>
                <w:bCs/>
                <w:i w:val="false"/>
                <w:iCs w:val="false"/>
                <w:caps w:val="false"/>
                <w:color w:val="6b778c"/>
                <w:sz w:val="12"/>
                <w:szCs w:val="12"/>
              </w:rPr>
              <w:t xml:space="preserve">URL: </w:t>
            </w:r>
            <w:hyperlink w:history="1" r:id="rIdxg3knh0mjdxl9kzs-xzxj">
              <w:r>
                <w:rPr>
                  <w:rFonts w:ascii="Arial" w:cs="Arial" w:eastAsia="Arial" w:hAnsi="Arial"/>
                  <w:b/>
                  <w:bCs/>
                  <w:color w:val="c9a227"/>
                  <w:sz w:val="12"/>
                  <w:szCs w:val="12"/>
                  <w:u w:val="single"/>
                </w:rPr>
                <w:t xml:space="preserve">https://www.who.int/publications/i/item/9789241598552</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26.</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Weiser TG, Haynes AB, Molina G, et al. Estimate of the global volume of surgery in 2012. Lancet. 2015;385(Suppl 2):S11.</w:t>
            </w:r>
          </w:p>
          <w:p>
            <w:pPr>
              <w:spacing w:after="36" w:before="0"/>
            </w:pPr>
            <w:r>
              <w:rPr>
                <w:rFonts w:ascii="Arial" w:cs="Arial" w:eastAsia="Arial" w:hAnsi="Arial"/>
                <w:b/>
                <w:bCs/>
                <w:i w:val="false"/>
                <w:iCs w:val="false"/>
                <w:caps w:val="false"/>
                <w:color w:val="6b778c"/>
                <w:sz w:val="12"/>
                <w:szCs w:val="12"/>
              </w:rPr>
              <w:t xml:space="preserve">URL: </w:t>
            </w:r>
            <w:hyperlink w:history="1" r:id="rId2nu_spwq52tngtbpe8vs0">
              <w:r>
                <w:rPr>
                  <w:rFonts w:ascii="Arial" w:cs="Arial" w:eastAsia="Arial" w:hAnsi="Arial"/>
                  <w:b/>
                  <w:bCs/>
                  <w:color w:val="c9a227"/>
                  <w:sz w:val="12"/>
                  <w:szCs w:val="12"/>
                  <w:u w:val="single"/>
                </w:rPr>
                <w:t xml:space="preserve">https://doi.org/10.1016/S0140-6736(15)60806-6</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27.</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Birkmeyer JD, Dimick JB, Birkmeyer NJ. Measuring the quality of surgical care: structure, process, or outcomes? J Am Coll Surg. 2004;198(4):626-632.</w:t>
            </w:r>
          </w:p>
          <w:p>
            <w:pPr>
              <w:spacing w:after="36" w:before="0"/>
            </w:pPr>
            <w:r>
              <w:rPr>
                <w:rFonts w:ascii="Arial" w:cs="Arial" w:eastAsia="Arial" w:hAnsi="Arial"/>
                <w:b/>
                <w:bCs/>
                <w:i w:val="false"/>
                <w:iCs w:val="false"/>
                <w:caps w:val="false"/>
                <w:color w:val="6b778c"/>
                <w:sz w:val="12"/>
                <w:szCs w:val="12"/>
              </w:rPr>
              <w:t xml:space="preserve">URL: </w:t>
            </w:r>
            <w:hyperlink w:history="1" r:id="rIdcilrnuagche5z86u6fh_7">
              <w:r>
                <w:rPr>
                  <w:rFonts w:ascii="Arial" w:cs="Arial" w:eastAsia="Arial" w:hAnsi="Arial"/>
                  <w:b/>
                  <w:bCs/>
                  <w:color w:val="c9a227"/>
                  <w:sz w:val="12"/>
                  <w:szCs w:val="12"/>
                  <w:u w:val="single"/>
                </w:rPr>
                <w:t xml:space="preserve">https://doi.org/10.1016/j.jamcollsurg.2003.11.017</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6.10 — Minimally Invasive Procedure Safety</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28.</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WHO Guidelines for Safe Surgery 2009: Safe Surgery Saves Lives (technology-specific risk provisions). Geneva: WHO; 2009.</w:t>
            </w:r>
          </w:p>
          <w:p>
            <w:pPr>
              <w:spacing w:after="36" w:before="0"/>
            </w:pPr>
            <w:r>
              <w:rPr>
                <w:rFonts w:ascii="Arial" w:cs="Arial" w:eastAsia="Arial" w:hAnsi="Arial"/>
                <w:b/>
                <w:bCs/>
                <w:i w:val="false"/>
                <w:iCs w:val="false"/>
                <w:caps w:val="false"/>
                <w:color w:val="6b778c"/>
                <w:sz w:val="12"/>
                <w:szCs w:val="12"/>
              </w:rPr>
              <w:t xml:space="preserve">URL: </w:t>
            </w:r>
            <w:hyperlink w:history="1" r:id="rIdnne1zqxd6tn7r2ahmjcab">
              <w:r>
                <w:rPr>
                  <w:rFonts w:ascii="Arial" w:cs="Arial" w:eastAsia="Arial" w:hAnsi="Arial"/>
                  <w:b/>
                  <w:bCs/>
                  <w:color w:val="c9a227"/>
                  <w:sz w:val="12"/>
                  <w:szCs w:val="12"/>
                  <w:u w:val="single"/>
                </w:rPr>
                <w:t xml:space="preserve">https://www.who.int/publications/i/item/9789241598552</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29.</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Society of American Gastrointestinal and Endoscopic Surgeons. Guidelines for institutions granting privileges for laparoscopic and endoscopic surgery. Los Angeles: SAGES; 2019.</w:t>
            </w:r>
          </w:p>
          <w:p>
            <w:pPr>
              <w:spacing w:after="36" w:before="0"/>
            </w:pPr>
            <w:r>
              <w:rPr>
                <w:rFonts w:ascii="Arial" w:cs="Arial" w:eastAsia="Arial" w:hAnsi="Arial"/>
                <w:b/>
                <w:bCs/>
                <w:i w:val="false"/>
                <w:iCs w:val="false"/>
                <w:caps w:val="false"/>
                <w:color w:val="6b778c"/>
                <w:sz w:val="12"/>
                <w:szCs w:val="12"/>
              </w:rPr>
              <w:t xml:space="preserve">URL: </w:t>
            </w:r>
            <w:hyperlink w:history="1" r:id="rIdlbp6y464yi1kt-ofdvcja">
              <w:r>
                <w:rPr>
                  <w:rFonts w:ascii="Arial" w:cs="Arial" w:eastAsia="Arial" w:hAnsi="Arial"/>
                  <w:b/>
                  <w:bCs/>
                  <w:color w:val="c9a227"/>
                  <w:sz w:val="12"/>
                  <w:szCs w:val="12"/>
                  <w:u w:val="single"/>
                </w:rPr>
                <w:t xml:space="preserve">https://www.sages.org/publications/guidelines/</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30.</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Birkmeyer JD, Finks JF, O’Reilly A, et al. Surgical skill and complication rates after bariatric surgery. N Engl J Med. 2013;369(15):1434-1442.</w:t>
            </w:r>
          </w:p>
          <w:p>
            <w:pPr>
              <w:spacing w:after="36" w:before="0"/>
            </w:pPr>
            <w:r>
              <w:rPr>
                <w:rFonts w:ascii="Arial" w:cs="Arial" w:eastAsia="Arial" w:hAnsi="Arial"/>
                <w:b/>
                <w:bCs/>
                <w:i w:val="false"/>
                <w:iCs w:val="false"/>
                <w:caps w:val="false"/>
                <w:color w:val="6b778c"/>
                <w:sz w:val="12"/>
                <w:szCs w:val="12"/>
              </w:rPr>
              <w:t xml:space="preserve">URL: </w:t>
            </w:r>
            <w:hyperlink w:history="1" r:id="rIdhnvkayw41ob1bh7rh3e4g">
              <w:r>
                <w:rPr>
                  <w:rFonts w:ascii="Arial" w:cs="Arial" w:eastAsia="Arial" w:hAnsi="Arial"/>
                  <w:b/>
                  <w:bCs/>
                  <w:color w:val="c9a227"/>
                  <w:sz w:val="12"/>
                  <w:szCs w:val="12"/>
                  <w:u w:val="single"/>
                </w:rPr>
                <w:t xml:space="preserve">https://doi.org/10.1056/NEJMsa1300625</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7700"/>
        <w:gridCol w:w="1660"/>
      </w:tblGrid>
      <w:tr>
        <w:tc>
          <w:tcPr>
            <w:tcW w:type="dxa" w:w="7700"/>
            <w:shd w:fill="0e2647" w:color="auto" w:val="clear"/>
            <w:tcMar>
              <w:top w:type="dxa" w:w="60"/>
              <w:left w:type="dxa" w:w="150"/>
              <w:bottom w:type="dxa" w:w="60"/>
              <w:right w:type="dxa" w:w="75"/>
            </w:tcMar>
            <w:vAlign w:val="top"/>
          </w:tcPr>
          <w:p>
            <w:pPr>
              <w:spacing w:after="36" w:before="0"/>
            </w:pPr>
            <w:r>
              <w:rPr>
                <w:rFonts w:ascii="Helvetica" w:cs="Helvetica" w:eastAsia="Helvetica" w:hAnsi="Helvetica"/>
                <w:b/>
                <w:bCs/>
                <w:i w:val="false"/>
                <w:iCs w:val="false"/>
                <w:caps/>
                <w:color w:val="c9a227"/>
                <w:spacing w:val="30"/>
                <w:sz w:val="13"/>
                <w:szCs w:val="13"/>
              </w:rPr>
              <w:t xml:space="preserve">CHAPTER 6: SPS  —  KEYWORD INDEX</w:t>
            </w:r>
          </w:p>
        </w:tc>
        <w:tc>
          <w:tcPr>
            <w:tcW w:type="dxa" w:w="1660"/>
            <w:shd w:fill="0e2647" w:color="auto" w:val="clear"/>
            <w:tcMar>
              <w:top w:type="dxa" w:w="50"/>
              <w:left w:type="dxa" w:w="70"/>
              <w:bottom w:type="dxa" w:w="50"/>
              <w:right w:type="dxa" w:w="75"/>
            </w:tcMar>
            <w:vAlign w:val="top"/>
          </w:tcPr>
          <w:p>
            <w:pPr>
              <w:spacing w:after="3" w:before="0"/>
            </w:pPr>
            <w:r>
              <w:rPr>
                <w:rFonts w:ascii="Arial" w:cs="Arial" w:eastAsia="Arial" w:hAnsi="Arial"/>
                <w:b w:val="false"/>
                <w:bCs w:val="false"/>
                <w:i/>
                <w:iCs/>
                <w:caps w:val="false"/>
                <w:color w:val="6b778c"/>
                <w:sz w:val="11"/>
                <w:szCs w:val="11"/>
              </w:rPr>
              <w:t xml:space="preserve">Alphabetical  |  33</w:t>
            </w:r>
          </w:p>
          <w:p>
            <w:pPr>
              <w:spacing w:after="36" w:before="0"/>
            </w:pPr>
            <w:r>
              <w:rPr>
                <w:rFonts w:ascii="Arial" w:cs="Arial" w:eastAsia="Arial" w:hAnsi="Arial"/>
                <w:b w:val="false"/>
                <w:bCs w:val="false"/>
                <w:i/>
                <w:iCs/>
                <w:caps w:val="false"/>
                <w:color w:val="6b778c"/>
                <w:sz w:val="11"/>
                <w:szCs w:val="11"/>
              </w:rPr>
              <w:t xml:space="preserve">terms  |  with page numbers</w:t>
            </w:r>
          </w:p>
        </w:tc>
      </w:tr>
    </w:tbl>
    <w:p>
      <w:pPr>
        <w:spacing w:after="36" w:before="30"/>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KEYWORD INDEX — STANDARD NUMBER AND PAGE NUMBER SHOWN FOR EACH TERM</w:t>
            </w:r>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single" w:color="dce3ee" w:sz="4"/>
          <w:bottom w:val="none"/>
          <w:right w:val="single" w:color="dce3ee" w:sz="4"/>
          <w:insideH w:val="single" w:color="auto" w:sz="4"/>
          <w:insideV w:val="single" w:color="auto" w:sz="4"/>
        </w:tblBorders>
      </w:tblPr>
      <w:tblGrid>
        <w:gridCol w:w="4680"/>
        <w:gridCol w:w="4680"/>
      </w:tblGrid>
      <w:tr>
        <w:tc>
          <w:tcPr>
            <w:tcW w:type="dxa" w:w="4680"/>
            <w:tcMar>
              <w:top w:type="dxa" w:w="40"/>
              <w:left w:type="dxa" w:w="60"/>
              <w:bottom w:type="dxa" w:w="40"/>
              <w:right w:type="dxa" w:w="40"/>
            </w:tcMar>
            <w:vAlign w:val="top"/>
          </w:tcPr>
          <w:p>
            <w:pPr>
              <w:spacing w:after="10" w:before="0"/>
            </w:pPr>
            <w:r>
              <w:rPr>
                <w:rFonts w:ascii="Arial" w:cs="Arial" w:eastAsia="Arial" w:hAnsi="Arial"/>
                <w:b/>
                <w:bCs/>
                <w:i w:val="false"/>
                <w:iCs w:val="false"/>
                <w:caps w:val="false"/>
                <w:color w:val="14335c"/>
                <w:sz w:val="13"/>
                <w:szCs w:val="13"/>
              </w:rPr>
              <w:t xml:space="preserve">Advisory support  </w:t>
            </w:r>
            <w:r>
              <w:rPr>
                <w:rFonts w:ascii="Arial" w:cs="Arial" w:eastAsia="Arial" w:hAnsi="Arial"/>
                <w:b w:val="false"/>
                <w:bCs w:val="false"/>
                <w:i w:val="false"/>
                <w:iCs w:val="false"/>
                <w:caps w:val="false"/>
                <w:color w:val="6b778c"/>
                <w:sz w:val="12"/>
                <w:szCs w:val="12"/>
              </w:rPr>
              <w:t xml:space="preserve">Cover (p.1)</w:t>
            </w:r>
          </w:p>
          <w:p>
            <w:pPr>
              <w:spacing w:after="10" w:before="0"/>
            </w:pPr>
            <w:r>
              <w:rPr>
                <w:rFonts w:ascii="Arial" w:cs="Arial" w:eastAsia="Arial" w:hAnsi="Arial"/>
                <w:b/>
                <w:bCs/>
                <w:i w:val="false"/>
                <w:iCs w:val="false"/>
                <w:caps w:val="false"/>
                <w:color w:val="14335c"/>
                <w:sz w:val="13"/>
                <w:szCs w:val="13"/>
              </w:rPr>
              <w:t xml:space="preserve">Air quality — theatre  </w:t>
            </w:r>
            <w:r>
              <w:rPr>
                <w:rFonts w:ascii="Arial" w:cs="Arial" w:eastAsia="Arial" w:hAnsi="Arial"/>
                <w:b w:val="false"/>
                <w:bCs w:val="false"/>
                <w:i w:val="false"/>
                <w:iCs w:val="false"/>
                <w:caps w:val="false"/>
                <w:color w:val="6b778c"/>
                <w:sz w:val="12"/>
                <w:szCs w:val="12"/>
              </w:rPr>
              <w:t xml:space="preserve">6.6 (p.13)</w:t>
            </w:r>
          </w:p>
          <w:p>
            <w:pPr>
              <w:spacing w:after="10" w:before="0"/>
            </w:pPr>
            <w:r>
              <w:rPr>
                <w:rFonts w:ascii="Arial" w:cs="Arial" w:eastAsia="Arial" w:hAnsi="Arial"/>
                <w:b/>
                <w:bCs/>
                <w:i w:val="false"/>
                <w:iCs w:val="false"/>
                <w:caps w:val="false"/>
                <w:color w:val="14335c"/>
                <w:sz w:val="13"/>
                <w:szCs w:val="13"/>
              </w:rPr>
              <w:t xml:space="preserve">Anaesthesia provider — continuous presence  </w:t>
            </w:r>
            <w:r>
              <w:rPr>
                <w:rFonts w:ascii="Arial" w:cs="Arial" w:eastAsia="Arial" w:hAnsi="Arial"/>
                <w:b w:val="false"/>
                <w:bCs w:val="false"/>
                <w:i w:val="false"/>
                <w:iCs w:val="false"/>
                <w:caps w:val="false"/>
                <w:color w:val="6b778c"/>
                <w:sz w:val="12"/>
                <w:szCs w:val="12"/>
              </w:rPr>
              <w:t xml:space="preserve">6.2 (p.5)</w:t>
            </w:r>
          </w:p>
          <w:p>
            <w:pPr>
              <w:spacing w:after="10" w:before="0"/>
            </w:pPr>
            <w:r>
              <w:rPr>
                <w:rFonts w:ascii="Arial" w:cs="Arial" w:eastAsia="Arial" w:hAnsi="Arial"/>
                <w:b/>
                <w:bCs/>
                <w:i w:val="false"/>
                <w:iCs w:val="false"/>
                <w:caps w:val="false"/>
                <w:color w:val="14335c"/>
                <w:sz w:val="13"/>
                <w:szCs w:val="13"/>
              </w:rPr>
              <w:t xml:space="preserve">Antibiotic prophylaxis timing  </w:t>
            </w:r>
            <w:r>
              <w:rPr>
                <w:rFonts w:ascii="Arial" w:cs="Arial" w:eastAsia="Arial" w:hAnsi="Arial"/>
                <w:b w:val="false"/>
                <w:bCs w:val="false"/>
                <w:i w:val="false"/>
                <w:iCs w:val="false"/>
                <w:caps w:val="false"/>
                <w:color w:val="6b778c"/>
                <w:sz w:val="12"/>
                <w:szCs w:val="12"/>
              </w:rPr>
              <w:t xml:space="preserve">6.3 (p.7)</w:t>
            </w:r>
          </w:p>
          <w:p>
            <w:pPr>
              <w:spacing w:after="10" w:before="0"/>
            </w:pPr>
            <w:r>
              <w:rPr>
                <w:rFonts w:ascii="Arial" w:cs="Arial" w:eastAsia="Arial" w:hAnsi="Arial"/>
                <w:b/>
                <w:bCs/>
                <w:i w:val="false"/>
                <w:iCs w:val="false"/>
                <w:caps w:val="false"/>
                <w:color w:val="14335c"/>
                <w:sz w:val="13"/>
                <w:szCs w:val="13"/>
              </w:rPr>
              <w:t xml:space="preserve">Backup power / gas systems  </w:t>
            </w:r>
            <w:r>
              <w:rPr>
                <w:rFonts w:ascii="Arial" w:cs="Arial" w:eastAsia="Arial" w:hAnsi="Arial"/>
                <w:b w:val="false"/>
                <w:bCs w:val="false"/>
                <w:i w:val="false"/>
                <w:iCs w:val="false"/>
                <w:caps w:val="false"/>
                <w:color w:val="6b778c"/>
                <w:sz w:val="12"/>
                <w:szCs w:val="12"/>
              </w:rPr>
              <w:t xml:space="preserve">6.6 (p.13)</w:t>
            </w:r>
          </w:p>
          <w:p>
            <w:pPr>
              <w:spacing w:after="10" w:before="0"/>
            </w:pPr>
            <w:r>
              <w:rPr>
                <w:rFonts w:ascii="Arial" w:cs="Arial" w:eastAsia="Arial" w:hAnsi="Arial"/>
                <w:b/>
                <w:bCs/>
                <w:i w:val="false"/>
                <w:iCs w:val="false"/>
                <w:caps w:val="false"/>
                <w:color w:val="14335c"/>
                <w:sz w:val="13"/>
                <w:szCs w:val="13"/>
              </w:rPr>
              <w:t xml:space="preserve">Blood compatibility testing  </w:t>
            </w:r>
            <w:r>
              <w:rPr>
                <w:rFonts w:ascii="Arial" w:cs="Arial" w:eastAsia="Arial" w:hAnsi="Arial"/>
                <w:b w:val="false"/>
                <w:bCs w:val="false"/>
                <w:i w:val="false"/>
                <w:iCs w:val="false"/>
                <w:caps w:val="false"/>
                <w:color w:val="6b778c"/>
                <w:sz w:val="12"/>
                <w:szCs w:val="12"/>
              </w:rPr>
              <w:t xml:space="preserve">6.7 (p.15)</w:t>
            </w:r>
          </w:p>
          <w:p>
            <w:pPr>
              <w:spacing w:after="10" w:before="0"/>
            </w:pPr>
            <w:r>
              <w:rPr>
                <w:rFonts w:ascii="Arial" w:cs="Arial" w:eastAsia="Arial" w:hAnsi="Arial"/>
                <w:b/>
                <w:bCs/>
                <w:i w:val="false"/>
                <w:iCs w:val="false"/>
                <w:caps w:val="false"/>
                <w:color w:val="14335c"/>
                <w:sz w:val="13"/>
                <w:szCs w:val="13"/>
              </w:rPr>
              <w:t xml:space="preserve">Bedside verification — transfusion  </w:t>
            </w:r>
            <w:r>
              <w:rPr>
                <w:rFonts w:ascii="Arial" w:cs="Arial" w:eastAsia="Arial" w:hAnsi="Arial"/>
                <w:b w:val="false"/>
                <w:bCs w:val="false"/>
                <w:i w:val="false"/>
                <w:iCs w:val="false"/>
                <w:caps w:val="false"/>
                <w:color w:val="6b778c"/>
                <w:sz w:val="12"/>
                <w:szCs w:val="12"/>
              </w:rPr>
              <w:t xml:space="preserve">6.7 (p.15)</w:t>
            </w:r>
          </w:p>
          <w:p>
            <w:pPr>
              <w:spacing w:after="10" w:before="0"/>
            </w:pPr>
            <w:r>
              <w:rPr>
                <w:rFonts w:ascii="Arial" w:cs="Arial" w:eastAsia="Arial" w:hAnsi="Arial"/>
                <w:b/>
                <w:bCs/>
                <w:i w:val="false"/>
                <w:iCs w:val="false"/>
                <w:caps w:val="false"/>
                <w:color w:val="14335c"/>
                <w:sz w:val="13"/>
                <w:szCs w:val="13"/>
              </w:rPr>
              <w:t xml:space="preserve">Competency verification — MIS  </w:t>
            </w:r>
            <w:r>
              <w:rPr>
                <w:rFonts w:ascii="Arial" w:cs="Arial" w:eastAsia="Arial" w:hAnsi="Arial"/>
                <w:b w:val="false"/>
                <w:bCs w:val="false"/>
                <w:i w:val="false"/>
                <w:iCs w:val="false"/>
                <w:caps w:val="false"/>
                <w:color w:val="6b778c"/>
                <w:sz w:val="12"/>
                <w:szCs w:val="12"/>
              </w:rPr>
              <w:t xml:space="preserve">6.10 (p.21)</w:t>
            </w:r>
          </w:p>
          <w:p>
            <w:pPr>
              <w:spacing w:after="10" w:before="0"/>
            </w:pPr>
            <w:r>
              <w:rPr>
                <w:rFonts w:ascii="Arial" w:cs="Arial" w:eastAsia="Arial" w:hAnsi="Arial"/>
                <w:b/>
                <w:bCs/>
                <w:i w:val="false"/>
                <w:iCs w:val="false"/>
                <w:caps w:val="false"/>
                <w:color w:val="14335c"/>
                <w:sz w:val="13"/>
                <w:szCs w:val="13"/>
              </w:rPr>
              <w:t xml:space="preserve">Consent — surgical, procedure-specific  </w:t>
            </w:r>
            <w:r>
              <w:rPr>
                <w:rFonts w:ascii="Arial" w:cs="Arial" w:eastAsia="Arial" w:hAnsi="Arial"/>
                <w:b w:val="false"/>
                <w:bCs w:val="false"/>
                <w:i w:val="false"/>
                <w:iCs w:val="false"/>
                <w:caps w:val="false"/>
                <w:color w:val="6b778c"/>
                <w:sz w:val="12"/>
                <w:szCs w:val="12"/>
              </w:rPr>
              <w:t xml:space="preserve">6.4 (p.9)</w:t>
            </w:r>
          </w:p>
          <w:p>
            <w:pPr>
              <w:spacing w:after="10" w:before="0"/>
            </w:pPr>
            <w:r>
              <w:rPr>
                <w:rFonts w:ascii="Arial" w:cs="Arial" w:eastAsia="Arial" w:hAnsi="Arial"/>
                <w:b/>
                <w:bCs/>
                <w:i w:val="false"/>
                <w:iCs w:val="false"/>
                <w:caps w:val="false"/>
                <w:color w:val="14335c"/>
                <w:sz w:val="13"/>
                <w:szCs w:val="13"/>
              </w:rPr>
              <w:t xml:space="preserve">CORE standard (definition)  </w:t>
            </w:r>
            <w:r>
              <w:rPr>
                <w:rFonts w:ascii="Arial" w:cs="Arial" w:eastAsia="Arial" w:hAnsi="Arial"/>
                <w:b w:val="false"/>
                <w:bCs w:val="false"/>
                <w:i w:val="false"/>
                <w:iCs w:val="false"/>
                <w:caps w:val="false"/>
                <w:color w:val="6b778c"/>
                <w:sz w:val="12"/>
                <w:szCs w:val="12"/>
              </w:rPr>
              <w:t xml:space="preserve">Introduction (p.1)</w:t>
            </w:r>
          </w:p>
          <w:p>
            <w:pPr>
              <w:spacing w:after="10" w:before="0"/>
            </w:pPr>
            <w:r>
              <w:rPr>
                <w:rFonts w:ascii="Arial" w:cs="Arial" w:eastAsia="Arial" w:hAnsi="Arial"/>
                <w:b/>
                <w:bCs/>
                <w:i w:val="false"/>
                <w:iCs w:val="false"/>
                <w:caps w:val="false"/>
                <w:color w:val="14335c"/>
                <w:sz w:val="13"/>
                <w:szCs w:val="13"/>
              </w:rPr>
              <w:t xml:space="preserve">Conversion protocol — MIS to open  </w:t>
            </w:r>
            <w:r>
              <w:rPr>
                <w:rFonts w:ascii="Arial" w:cs="Arial" w:eastAsia="Arial" w:hAnsi="Arial"/>
                <w:b w:val="false"/>
                <w:bCs w:val="false"/>
                <w:i w:val="false"/>
                <w:iCs w:val="false"/>
                <w:caps w:val="false"/>
                <w:color w:val="6b778c"/>
                <w:sz w:val="12"/>
                <w:szCs w:val="12"/>
              </w:rPr>
              <w:t xml:space="preserve">6.10 (p.21)</w:t>
            </w:r>
          </w:p>
          <w:p>
            <w:pPr>
              <w:spacing w:after="10" w:before="0"/>
            </w:pPr>
            <w:r>
              <w:rPr>
                <w:rFonts w:ascii="Arial" w:cs="Arial" w:eastAsia="Arial" w:hAnsi="Arial"/>
                <w:b/>
                <w:bCs/>
                <w:i w:val="false"/>
                <w:iCs w:val="false"/>
                <w:caps w:val="false"/>
                <w:color w:val="14335c"/>
                <w:sz w:val="13"/>
                <w:szCs w:val="13"/>
              </w:rPr>
              <w:t xml:space="preserve">Count — instruments, sponges, sharps  </w:t>
            </w:r>
            <w:r>
              <w:rPr>
                <w:rFonts w:ascii="Arial" w:cs="Arial" w:eastAsia="Arial" w:hAnsi="Arial"/>
                <w:b w:val="false"/>
                <w:bCs w:val="false"/>
                <w:i w:val="false"/>
                <w:iCs w:val="false"/>
                <w:caps w:val="false"/>
                <w:color w:val="6b778c"/>
                <w:sz w:val="12"/>
                <w:szCs w:val="12"/>
              </w:rPr>
              <w:t xml:space="preserve">6.5 (p.11)</w:t>
            </w:r>
          </w:p>
          <w:p>
            <w:pPr>
              <w:spacing w:after="10" w:before="0"/>
            </w:pPr>
            <w:r>
              <w:rPr>
                <w:rFonts w:ascii="Arial" w:cs="Arial" w:eastAsia="Arial" w:hAnsi="Arial"/>
                <w:b/>
                <w:bCs/>
                <w:i w:val="false"/>
                <w:iCs w:val="false"/>
                <w:caps w:val="false"/>
                <w:color w:val="14335c"/>
                <w:sz w:val="13"/>
                <w:szCs w:val="13"/>
              </w:rPr>
              <w:t xml:space="preserve">Discrepancy resolution — count  </w:t>
            </w:r>
            <w:r>
              <w:rPr>
                <w:rFonts w:ascii="Arial" w:cs="Arial" w:eastAsia="Arial" w:hAnsi="Arial"/>
                <w:b w:val="false"/>
                <w:bCs w:val="false"/>
                <w:i w:val="false"/>
                <w:iCs w:val="false"/>
                <w:caps w:val="false"/>
                <w:color w:val="6b778c"/>
                <w:sz w:val="12"/>
                <w:szCs w:val="12"/>
              </w:rPr>
              <w:t xml:space="preserve">6.5 (p.11)</w:t>
            </w:r>
          </w:p>
          <w:p>
            <w:pPr>
              <w:spacing w:after="10" w:before="0"/>
            </w:pPr>
            <w:r>
              <w:rPr>
                <w:rFonts w:ascii="Arial" w:cs="Arial" w:eastAsia="Arial" w:hAnsi="Arial"/>
                <w:b/>
                <w:bCs/>
                <w:i w:val="false"/>
                <w:iCs w:val="false"/>
                <w:caps w:val="false"/>
                <w:color w:val="14335c"/>
                <w:sz w:val="13"/>
                <w:szCs w:val="13"/>
              </w:rPr>
              <w:t xml:space="preserve">Escalation — post-operative deterioration  </w:t>
            </w:r>
            <w:r>
              <w:rPr>
                <w:rFonts w:ascii="Arial" w:cs="Arial" w:eastAsia="Arial" w:hAnsi="Arial"/>
                <w:b w:val="false"/>
                <w:bCs w:val="false"/>
                <w:i w:val="false"/>
                <w:iCs w:val="false"/>
                <w:caps w:val="false"/>
                <w:color w:val="6b778c"/>
                <w:sz w:val="12"/>
                <w:szCs w:val="12"/>
              </w:rPr>
              <w:t xml:space="preserve">6.8 (p.17)</w:t>
            </w:r>
          </w:p>
          <w:p>
            <w:pPr>
              <w:spacing w:after="10" w:before="0"/>
            </w:pPr>
            <w:r>
              <w:rPr>
                <w:rFonts w:ascii="Arial" w:cs="Arial" w:eastAsia="Arial" w:hAnsi="Arial"/>
                <w:b/>
                <w:bCs/>
                <w:i w:val="false"/>
                <w:iCs w:val="false"/>
                <w:caps w:val="false"/>
                <w:color w:val="14335c"/>
                <w:sz w:val="13"/>
                <w:szCs w:val="13"/>
              </w:rPr>
              <w:t xml:space="preserve">Level 1 — Foundation  </w:t>
            </w:r>
            <w:r>
              <w:rPr>
                <w:rFonts w:ascii="Arial" w:cs="Arial" w:eastAsia="Arial" w:hAnsi="Arial"/>
                <w:b w:val="false"/>
                <w:bCs w:val="false"/>
                <w:i w:val="false"/>
                <w:iCs w:val="false"/>
                <w:caps w:val="false"/>
                <w:color w:val="6b778c"/>
                <w:sz w:val="12"/>
                <w:szCs w:val="12"/>
              </w:rPr>
              <w:t xml:space="preserve">6.1–6.5 (p.3–12)</w:t>
            </w:r>
          </w:p>
          <w:p>
            <w:pPr>
              <w:spacing w:after="10" w:before="0"/>
            </w:pPr>
            <w:r>
              <w:rPr>
                <w:rFonts w:ascii="Arial" w:cs="Arial" w:eastAsia="Arial" w:hAnsi="Arial"/>
                <w:b/>
                <w:bCs/>
                <w:i w:val="false"/>
                <w:iCs w:val="false"/>
                <w:caps w:val="false"/>
                <w:color w:val="14335c"/>
                <w:sz w:val="13"/>
                <w:szCs w:val="13"/>
              </w:rPr>
              <w:t xml:space="preserve">Level 2 — Accredited  </w:t>
            </w:r>
            <w:r>
              <w:rPr>
                <w:rFonts w:ascii="Arial" w:cs="Arial" w:eastAsia="Arial" w:hAnsi="Arial"/>
                <w:b w:val="false"/>
                <w:bCs w:val="false"/>
                <w:i w:val="false"/>
                <w:iCs w:val="false"/>
                <w:caps w:val="false"/>
                <w:color w:val="6b778c"/>
                <w:sz w:val="12"/>
                <w:szCs w:val="12"/>
              </w:rPr>
              <w:t xml:space="preserve">6.6–6.8 (p.13–18)</w:t>
            </w:r>
          </w:p>
          <w:p>
            <w:pPr>
              <w:spacing w:after="10" w:before="0"/>
            </w:pPr>
            <w:r>
              <w:rPr>
                <w:rFonts w:ascii="Arial" w:cs="Arial" w:eastAsia="Arial" w:hAnsi="Arial"/>
                <w:b/>
                <w:bCs/>
                <w:i w:val="false"/>
                <w:iCs w:val="false"/>
                <w:caps w:val="false"/>
                <w:color w:val="14335c"/>
                <w:sz w:val="13"/>
                <w:szCs w:val="13"/>
              </w:rPr>
              <w:t xml:space="preserve">Level 3 — Advanced  </w:t>
            </w:r>
            <w:r>
              <w:rPr>
                <w:rFonts w:ascii="Arial" w:cs="Arial" w:eastAsia="Arial" w:hAnsi="Arial"/>
                <w:b w:val="false"/>
                <w:bCs w:val="false"/>
                <w:i w:val="false"/>
                <w:iCs w:val="false"/>
                <w:caps w:val="false"/>
                <w:color w:val="6b778c"/>
                <w:sz w:val="12"/>
                <w:szCs w:val="12"/>
              </w:rPr>
              <w:t xml:space="preserve">6.9–6.10 (p.19–22)</w:t>
            </w:r>
          </w:p>
        </w:tc>
        <w:tc>
          <w:tcPr>
            <w:tcW w:type="dxa" w:w="4680"/>
            <w:tcMar>
              <w:top w:type="dxa" w:w="40"/>
              <w:left w:type="dxa" w:w="60"/>
              <w:bottom w:type="dxa" w:w="40"/>
              <w:right w:type="dxa" w:w="40"/>
            </w:tcMar>
            <w:vAlign w:val="top"/>
          </w:tcPr>
          <w:p>
            <w:pPr>
              <w:spacing w:after="10" w:before="0"/>
            </w:pPr>
            <w:r>
              <w:rPr>
                <w:rFonts w:ascii="Arial" w:cs="Arial" w:eastAsia="Arial" w:hAnsi="Arial"/>
                <w:b/>
                <w:bCs/>
                <w:i w:val="false"/>
                <w:iCs w:val="false"/>
                <w:caps w:val="false"/>
                <w:color w:val="14335c"/>
                <w:sz w:val="13"/>
                <w:szCs w:val="13"/>
              </w:rPr>
              <w:t xml:space="preserve">NO status (RED) — definition  </w:t>
            </w:r>
            <w:r>
              <w:rPr>
                <w:rFonts w:ascii="Arial" w:cs="Arial" w:eastAsia="Arial" w:hAnsi="Arial"/>
                <w:b w:val="false"/>
                <w:bCs w:val="false"/>
                <w:i w:val="false"/>
                <w:iCs w:val="false"/>
                <w:caps w:val="false"/>
                <w:color w:val="6b778c"/>
                <w:sz w:val="12"/>
                <w:szCs w:val="12"/>
              </w:rPr>
              <w:t xml:space="preserve">Introduction (p.1)</w:t>
            </w:r>
          </w:p>
          <w:p>
            <w:pPr>
              <w:spacing w:after="10" w:before="0"/>
            </w:pPr>
            <w:r>
              <w:rPr>
                <w:rFonts w:ascii="Arial" w:cs="Arial" w:eastAsia="Arial" w:hAnsi="Arial"/>
                <w:b/>
                <w:bCs/>
                <w:i w:val="false"/>
                <w:iCs w:val="false"/>
                <w:caps w:val="false"/>
                <w:color w:val="14335c"/>
                <w:sz w:val="13"/>
                <w:szCs w:val="13"/>
              </w:rPr>
              <w:t xml:space="preserve">Normothermia — intraoperative  </w:t>
            </w:r>
            <w:r>
              <w:rPr>
                <w:rFonts w:ascii="Arial" w:cs="Arial" w:eastAsia="Arial" w:hAnsi="Arial"/>
                <w:b w:val="false"/>
                <w:bCs w:val="false"/>
                <w:i w:val="false"/>
                <w:iCs w:val="false"/>
                <w:caps w:val="false"/>
                <w:color w:val="6b778c"/>
                <w:sz w:val="12"/>
                <w:szCs w:val="12"/>
              </w:rPr>
              <w:t xml:space="preserve">6.3 (p.7)</w:t>
            </w:r>
          </w:p>
          <w:p>
            <w:pPr>
              <w:spacing w:after="10" w:before="0"/>
            </w:pPr>
            <w:r>
              <w:rPr>
                <w:rFonts w:ascii="Arial" w:cs="Arial" w:eastAsia="Arial" w:hAnsi="Arial"/>
                <w:b/>
                <w:bCs/>
                <w:i w:val="false"/>
                <w:iCs w:val="false"/>
                <w:caps w:val="false"/>
                <w:color w:val="14335c"/>
                <w:sz w:val="13"/>
                <w:szCs w:val="13"/>
              </w:rPr>
              <w:t xml:space="preserve">Outcome monitoring — surgical  </w:t>
            </w:r>
            <w:r>
              <w:rPr>
                <w:rFonts w:ascii="Arial" w:cs="Arial" w:eastAsia="Arial" w:hAnsi="Arial"/>
                <w:b w:val="false"/>
                <w:bCs w:val="false"/>
                <w:i w:val="false"/>
                <w:iCs w:val="false"/>
                <w:caps w:val="false"/>
                <w:color w:val="6b778c"/>
                <w:sz w:val="12"/>
                <w:szCs w:val="12"/>
              </w:rPr>
              <w:t xml:space="preserve">6.9 (p.19)</w:t>
            </w:r>
          </w:p>
          <w:p>
            <w:pPr>
              <w:spacing w:after="10" w:before="0"/>
            </w:pPr>
            <w:r>
              <w:rPr>
                <w:rFonts w:ascii="Arial" w:cs="Arial" w:eastAsia="Arial" w:hAnsi="Arial"/>
                <w:b/>
                <w:bCs/>
                <w:i w:val="false"/>
                <w:iCs w:val="false"/>
                <w:caps w:val="false"/>
                <w:color w:val="14335c"/>
                <w:sz w:val="13"/>
                <w:szCs w:val="13"/>
              </w:rPr>
              <w:t xml:space="preserve">PARTIAL status (AMBER) — definition  </w:t>
            </w:r>
            <w:r>
              <w:rPr>
                <w:rFonts w:ascii="Arial" w:cs="Arial" w:eastAsia="Arial" w:hAnsi="Arial"/>
                <w:b w:val="false"/>
                <w:bCs w:val="false"/>
                <w:i w:val="false"/>
                <w:iCs w:val="false"/>
                <w:caps w:val="false"/>
                <w:color w:val="6b778c"/>
                <w:sz w:val="12"/>
                <w:szCs w:val="12"/>
              </w:rPr>
              <w:t xml:space="preserve">Introduction (p.1)</w:t>
            </w:r>
          </w:p>
          <w:p>
            <w:pPr>
              <w:spacing w:after="10" w:before="0"/>
            </w:pPr>
            <w:r>
              <w:rPr>
                <w:rFonts w:ascii="Arial" w:cs="Arial" w:eastAsia="Arial" w:hAnsi="Arial"/>
                <w:b/>
                <w:bCs/>
                <w:i w:val="false"/>
                <w:iCs w:val="false"/>
                <w:caps w:val="false"/>
                <w:color w:val="14335c"/>
                <w:sz w:val="13"/>
                <w:szCs w:val="13"/>
              </w:rPr>
              <w:t xml:space="preserve">Pre-anaesthetic assessment  </w:t>
            </w:r>
            <w:r>
              <w:rPr>
                <w:rFonts w:ascii="Arial" w:cs="Arial" w:eastAsia="Arial" w:hAnsi="Arial"/>
                <w:b w:val="false"/>
                <w:bCs w:val="false"/>
                <w:i w:val="false"/>
                <w:iCs w:val="false"/>
                <w:caps w:val="false"/>
                <w:color w:val="6b778c"/>
                <w:sz w:val="12"/>
                <w:szCs w:val="12"/>
              </w:rPr>
              <w:t xml:space="preserve">6.2 (p.5)</w:t>
            </w:r>
          </w:p>
          <w:p>
            <w:pPr>
              <w:spacing w:after="10" w:before="0"/>
            </w:pPr>
            <w:r>
              <w:rPr>
                <w:rFonts w:ascii="Arial" w:cs="Arial" w:eastAsia="Arial" w:hAnsi="Arial"/>
                <w:b/>
                <w:bCs/>
                <w:i w:val="false"/>
                <w:iCs w:val="false"/>
                <w:caps w:val="false"/>
                <w:color w:val="14335c"/>
                <w:sz w:val="13"/>
                <w:szCs w:val="13"/>
              </w:rPr>
              <w:t xml:space="preserve">Recovery discharge criteria  </w:t>
            </w:r>
            <w:r>
              <w:rPr>
                <w:rFonts w:ascii="Arial" w:cs="Arial" w:eastAsia="Arial" w:hAnsi="Arial"/>
                <w:b w:val="false"/>
                <w:bCs w:val="false"/>
                <w:i w:val="false"/>
                <w:iCs w:val="false"/>
                <w:caps w:val="false"/>
                <w:color w:val="6b778c"/>
                <w:sz w:val="12"/>
                <w:szCs w:val="12"/>
              </w:rPr>
              <w:t xml:space="preserve">6.2 (p.5)</w:t>
            </w:r>
          </w:p>
          <w:p>
            <w:pPr>
              <w:spacing w:after="10" w:before="0"/>
            </w:pPr>
            <w:r>
              <w:rPr>
                <w:rFonts w:ascii="Arial" w:cs="Arial" w:eastAsia="Arial" w:hAnsi="Arial"/>
                <w:b/>
                <w:bCs/>
                <w:i w:val="false"/>
                <w:iCs w:val="false"/>
                <w:caps w:val="false"/>
                <w:color w:val="14335c"/>
                <w:sz w:val="13"/>
                <w:szCs w:val="13"/>
              </w:rPr>
              <w:t xml:space="preserve">Risk adjustment — outcome data  </w:t>
            </w:r>
            <w:r>
              <w:rPr>
                <w:rFonts w:ascii="Arial" w:cs="Arial" w:eastAsia="Arial" w:hAnsi="Arial"/>
                <w:b w:val="false"/>
                <w:bCs w:val="false"/>
                <w:i w:val="false"/>
                <w:iCs w:val="false"/>
                <w:caps w:val="false"/>
                <w:color w:val="6b778c"/>
                <w:sz w:val="12"/>
                <w:szCs w:val="12"/>
              </w:rPr>
              <w:t xml:space="preserve">6.9 (p.19)</w:t>
            </w:r>
          </w:p>
          <w:p>
            <w:pPr>
              <w:spacing w:after="10" w:before="0"/>
            </w:pPr>
            <w:r>
              <w:rPr>
                <w:rFonts w:ascii="Arial" w:cs="Arial" w:eastAsia="Arial" w:hAnsi="Arial"/>
                <w:b/>
                <w:bCs/>
                <w:i w:val="false"/>
                <w:iCs w:val="false"/>
                <w:caps w:val="false"/>
                <w:color w:val="14335c"/>
                <w:sz w:val="13"/>
                <w:szCs w:val="13"/>
              </w:rPr>
              <w:t xml:space="preserve">Site marking  </w:t>
            </w:r>
            <w:r>
              <w:rPr>
                <w:rFonts w:ascii="Arial" w:cs="Arial" w:eastAsia="Arial" w:hAnsi="Arial"/>
                <w:b w:val="false"/>
                <w:bCs w:val="false"/>
                <w:i w:val="false"/>
                <w:iCs w:val="false"/>
                <w:caps w:val="false"/>
                <w:color w:val="6b778c"/>
                <w:sz w:val="12"/>
                <w:szCs w:val="12"/>
              </w:rPr>
              <w:t xml:space="preserve">6.4 (p.9)</w:t>
            </w:r>
          </w:p>
          <w:p>
            <w:pPr>
              <w:spacing w:after="10" w:before="0"/>
            </w:pPr>
            <w:r>
              <w:rPr>
                <w:rFonts w:ascii="Arial" w:cs="Arial" w:eastAsia="Arial" w:hAnsi="Arial"/>
                <w:b/>
                <w:bCs/>
                <w:i w:val="false"/>
                <w:iCs w:val="false"/>
                <w:caps w:val="false"/>
                <w:color w:val="14335c"/>
                <w:sz w:val="13"/>
                <w:szCs w:val="13"/>
              </w:rPr>
              <w:t xml:space="preserve">Skin antisepsis protocol  </w:t>
            </w:r>
            <w:r>
              <w:rPr>
                <w:rFonts w:ascii="Arial" w:cs="Arial" w:eastAsia="Arial" w:hAnsi="Arial"/>
                <w:b w:val="false"/>
                <w:bCs w:val="false"/>
                <w:i w:val="false"/>
                <w:iCs w:val="false"/>
                <w:caps w:val="false"/>
                <w:color w:val="6b778c"/>
                <w:sz w:val="12"/>
                <w:szCs w:val="12"/>
              </w:rPr>
              <w:t xml:space="preserve">6.3 (p.7)</w:t>
            </w:r>
          </w:p>
          <w:p>
            <w:pPr>
              <w:spacing w:after="10" w:before="0"/>
            </w:pPr>
            <w:r>
              <w:rPr>
                <w:rFonts w:ascii="Arial" w:cs="Arial" w:eastAsia="Arial" w:hAnsi="Arial"/>
                <w:b/>
                <w:bCs/>
                <w:i w:val="false"/>
                <w:iCs w:val="false"/>
                <w:caps w:val="false"/>
                <w:color w:val="14335c"/>
                <w:sz w:val="13"/>
                <w:szCs w:val="13"/>
              </w:rPr>
              <w:t xml:space="preserve">Surgical site infection (SSI) surveillance  </w:t>
            </w:r>
            <w:r>
              <w:rPr>
                <w:rFonts w:ascii="Arial" w:cs="Arial" w:eastAsia="Arial" w:hAnsi="Arial"/>
                <w:b w:val="false"/>
                <w:bCs w:val="false"/>
                <w:i w:val="false"/>
                <w:iCs w:val="false"/>
                <w:caps w:val="false"/>
                <w:color w:val="6b778c"/>
                <w:sz w:val="12"/>
                <w:szCs w:val="12"/>
              </w:rPr>
              <w:t xml:space="preserve">6.3 (p.7)</w:t>
            </w:r>
          </w:p>
          <w:p>
            <w:pPr>
              <w:spacing w:after="10" w:before="0"/>
            </w:pPr>
            <w:r>
              <w:rPr>
                <w:rFonts w:ascii="Arial" w:cs="Arial" w:eastAsia="Arial" w:hAnsi="Arial"/>
                <w:b/>
                <w:bCs/>
                <w:i w:val="false"/>
                <w:iCs w:val="false"/>
                <w:caps w:val="false"/>
                <w:color w:val="14335c"/>
                <w:sz w:val="13"/>
                <w:szCs w:val="13"/>
              </w:rPr>
              <w:t xml:space="preserve">Surveyor methods: OBSERVE/DOCUMENT/ASK  </w:t>
            </w:r>
            <w:r>
              <w:rPr>
                <w:rFonts w:ascii="Arial" w:cs="Arial" w:eastAsia="Arial" w:hAnsi="Arial"/>
                <w:b w:val="false"/>
                <w:bCs w:val="false"/>
                <w:i w:val="false"/>
                <w:iCs w:val="false"/>
                <w:caps w:val="false"/>
                <w:color w:val="6b778c"/>
                <w:sz w:val="12"/>
                <w:szCs w:val="12"/>
              </w:rPr>
              <w:t xml:space="preserve">All standards (p.3–22)</w:t>
            </w:r>
          </w:p>
          <w:p>
            <w:pPr>
              <w:spacing w:after="10" w:before="0"/>
            </w:pPr>
            <w:r>
              <w:rPr>
                <w:rFonts w:ascii="Arial" w:cs="Arial" w:eastAsia="Arial" w:hAnsi="Arial"/>
                <w:b/>
                <w:bCs/>
                <w:i w:val="false"/>
                <w:iCs w:val="false"/>
                <w:caps w:val="false"/>
                <w:color w:val="14335c"/>
                <w:sz w:val="13"/>
                <w:szCs w:val="13"/>
              </w:rPr>
              <w:t xml:space="preserve">Time out  </w:t>
            </w:r>
            <w:r>
              <w:rPr>
                <w:rFonts w:ascii="Arial" w:cs="Arial" w:eastAsia="Arial" w:hAnsi="Arial"/>
                <w:b w:val="false"/>
                <w:bCs w:val="false"/>
                <w:i w:val="false"/>
                <w:iCs w:val="false"/>
                <w:caps w:val="false"/>
                <w:color w:val="6b778c"/>
                <w:sz w:val="12"/>
                <w:szCs w:val="12"/>
              </w:rPr>
              <w:t xml:space="preserve">6.1 (p.3)</w:t>
            </w:r>
          </w:p>
          <w:p>
            <w:pPr>
              <w:spacing w:after="10" w:before="0"/>
            </w:pPr>
            <w:r>
              <w:rPr>
                <w:rFonts w:ascii="Arial" w:cs="Arial" w:eastAsia="Arial" w:hAnsi="Arial"/>
                <w:b/>
                <w:bCs/>
                <w:i w:val="false"/>
                <w:iCs w:val="false"/>
                <w:caps w:val="false"/>
                <w:color w:val="14335c"/>
                <w:sz w:val="13"/>
                <w:szCs w:val="13"/>
              </w:rPr>
              <w:t xml:space="preserve">Transfusion reaction protocol  </w:t>
            </w:r>
            <w:r>
              <w:rPr>
                <w:rFonts w:ascii="Arial" w:cs="Arial" w:eastAsia="Arial" w:hAnsi="Arial"/>
                <w:b w:val="false"/>
                <w:bCs w:val="false"/>
                <w:i w:val="false"/>
                <w:iCs w:val="false"/>
                <w:caps w:val="false"/>
                <w:color w:val="6b778c"/>
                <w:sz w:val="12"/>
                <w:szCs w:val="12"/>
              </w:rPr>
              <w:t xml:space="preserve">6.7 (p.15)</w:t>
            </w:r>
          </w:p>
          <w:p>
            <w:pPr>
              <w:spacing w:after="10" w:before="0"/>
            </w:pPr>
            <w:r>
              <w:rPr>
                <w:rFonts w:ascii="Arial" w:cs="Arial" w:eastAsia="Arial" w:hAnsi="Arial"/>
                <w:b/>
                <w:bCs/>
                <w:i w:val="false"/>
                <w:iCs w:val="false"/>
                <w:caps w:val="false"/>
                <w:color w:val="14335c"/>
                <w:sz w:val="13"/>
                <w:szCs w:val="13"/>
              </w:rPr>
              <w:t xml:space="preserve">Vancouver reference style  </w:t>
            </w:r>
            <w:r>
              <w:rPr>
                <w:rFonts w:ascii="Arial" w:cs="Arial" w:eastAsia="Arial" w:hAnsi="Arial"/>
                <w:b w:val="false"/>
                <w:bCs w:val="false"/>
                <w:i w:val="false"/>
                <w:iCs w:val="false"/>
                <w:caps w:val="false"/>
                <w:color w:val="6b778c"/>
                <w:sz w:val="12"/>
                <w:szCs w:val="12"/>
              </w:rPr>
              <w:t xml:space="preserve">References (p.23)</w:t>
            </w:r>
          </w:p>
          <w:p>
            <w:pPr>
              <w:spacing w:after="10" w:before="0"/>
            </w:pPr>
            <w:r>
              <w:rPr>
                <w:rFonts w:ascii="Arial" w:cs="Arial" w:eastAsia="Arial" w:hAnsi="Arial"/>
                <w:b/>
                <w:bCs/>
                <w:i w:val="false"/>
                <w:iCs w:val="false"/>
                <w:caps w:val="false"/>
                <w:color w:val="14335c"/>
                <w:sz w:val="13"/>
                <w:szCs w:val="13"/>
              </w:rPr>
              <w:t xml:space="preserve">WHO Surgical Safety Checklist  </w:t>
            </w:r>
            <w:r>
              <w:rPr>
                <w:rFonts w:ascii="Arial" w:cs="Arial" w:eastAsia="Arial" w:hAnsi="Arial"/>
                <w:b w:val="false"/>
                <w:bCs w:val="false"/>
                <w:i w:val="false"/>
                <w:iCs w:val="false"/>
                <w:caps w:val="false"/>
                <w:color w:val="6b778c"/>
                <w:sz w:val="12"/>
                <w:szCs w:val="12"/>
              </w:rPr>
              <w:t xml:space="preserve">6.1 (p.3)</w:t>
            </w:r>
          </w:p>
          <w:p>
            <w:pPr>
              <w:spacing w:after="10" w:before="0"/>
            </w:pPr>
            <w:r>
              <w:rPr>
                <w:rFonts w:ascii="Arial" w:cs="Arial" w:eastAsia="Arial" w:hAnsi="Arial"/>
                <w:b/>
                <w:bCs/>
                <w:i w:val="false"/>
                <w:iCs w:val="false"/>
                <w:caps w:val="false"/>
                <w:color w:val="14335c"/>
                <w:sz w:val="13"/>
                <w:szCs w:val="13"/>
              </w:rPr>
              <w:t xml:space="preserve">YES status (GREEN) — definition  </w:t>
            </w:r>
            <w:r>
              <w:rPr>
                <w:rFonts w:ascii="Arial" w:cs="Arial" w:eastAsia="Arial" w:hAnsi="Arial"/>
                <w:b w:val="false"/>
                <w:bCs w:val="false"/>
                <w:i w:val="false"/>
                <w:iCs w:val="false"/>
                <w:caps w:val="false"/>
                <w:color w:val="6b778c"/>
                <w:sz w:val="12"/>
                <w:szCs w:val="12"/>
              </w:rPr>
              <w:t xml:space="preserve">Introduction (p.1)</w:t>
            </w:r>
          </w:p>
        </w:tc>
      </w:tr>
    </w:tbl>
    <w:sectPr>
      <w:footerReference w:type="default" r:id="rId7"/>
      <w:pgSz w:w="11908" w:h="16833" w:orient="portrait"/>
      <w:pgMar w:top="691" w:right="1036" w:bottom="1036" w:left="1036" w:header="708" w:footer="259"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3ee" w:sz="2"/>
      </w:pBdr>
      <w:spacing w:after="0" w:before="80"/>
    </w:pPr>
    <w:r>
      <w:rPr>
        <w:rFonts w:ascii="Arial" w:cs="Arial" w:eastAsia="Arial" w:hAnsi="Arial"/>
        <w:i/>
        <w:iCs/>
        <w:color w:val="aaaaaa"/>
        <w:sz w:val="16"/>
        <w:szCs w:val="16"/>
      </w:rPr>
      <w:t xml:space="preserve">© 2025 Accréditation Sans Frontières. Open standards licence. Free non-commercial reproduction with attribution. Commercial use requires written ASF permission.   </w:t>
    </w:r>
    <w:r>
      <w:rPr>
        <w:rFonts w:ascii="Arial" w:cs="Arial" w:eastAsia="Arial" w:hAnsi="Arial"/>
        <w:b/>
        <w:bCs/>
        <w:i/>
        <w:iCs/>
        <w:color w:val="aaaaaa"/>
        <w:sz w:val="16"/>
        <w:szCs w:val="16"/>
      </w:rPr>
      <w:t xml:space="preserve">Citation: </w:t>
    </w:r>
    <w:r>
      <w:rPr>
        <w:rFonts w:ascii="Arial" w:cs="Arial" w:eastAsia="Arial" w:hAnsi="Arial"/>
        <w:i/>
        <w:iCs/>
        <w:color w:val="aaaaaa"/>
        <w:sz w:val="16"/>
        <w:szCs w:val="16"/>
      </w:rPr>
      <w:t xml:space="preserve">Accreditation Sans Frontieres. ASF Hospital Standards: Chapter 6 — Surgical &amp; Procedural Safety. Version 2.0. Paris: ASF; 2025.   </w:t>
    </w:r>
    <w:r>
      <w:rPr>
        <w:rFonts w:ascii="Arial" w:cs="Arial" w:eastAsia="Arial" w:hAnsi="Arial"/>
        <w:i/>
        <w:iCs/>
        <w:color w:val="aaaaaa"/>
        <w:sz w:val="16"/>
        <w:szCs w:val="16"/>
      </w:rPr>
      <w:t xml:space="preserve">Ref: ASF-CH6-SPS-v2.0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v0tltbcrk5w-h8zbf5z-" Type="http://schemas.openxmlformats.org/officeDocument/2006/relationships/hyperlink" Target="https://france-asf.fr" TargetMode="External"/><Relationship Id="rIde0wkhvdneceptf-9p5kpz" Type="http://schemas.openxmlformats.org/officeDocument/2006/relationships/hyperlink" Target="mailto:info@france-asf.fr" TargetMode="External"/><Relationship Id="rIdqtvs-nb_vng8-wbhi37me" Type="http://schemas.openxmlformats.org/officeDocument/2006/relationships/hyperlink" Target="https://academy.gmj.ge" TargetMode="External"/><Relationship Id="rIdtfyoot8bimjkztddghget" Type="http://schemas.openxmlformats.org/officeDocument/2006/relationships/hyperlink" Target="mailto:info@france-asf.fr" TargetMode="External"/><Relationship Id="rIdnzf5fah8kifn_uvjbv7zm" Type="http://schemas.openxmlformats.org/officeDocument/2006/relationships/hyperlink" Target="https://france-asf.fr" TargetMode="External"/><Relationship Id="rId7lujcjahidjgmexkm7vql" Type="http://schemas.openxmlformats.org/officeDocument/2006/relationships/hyperlink" Target="https://academy.gmj.ge" TargetMode="External"/><Relationship Id="rIdxzrnmiupbnyic9wdhd9vf" Type="http://schemas.openxmlformats.org/officeDocument/2006/relationships/hyperlink" Target="mailto:info@france-asf.fr" TargetMode="External"/><Relationship Id="rIdf-pcopd72uj4heh-ijoy8" Type="http://schemas.openxmlformats.org/officeDocument/2006/relationships/hyperlink" Target="https://www.who.int/publications/i/item/9789241598552" TargetMode="External"/><Relationship Id="rIdq8yyudvz6poifnmffhxkm" Type="http://schemas.openxmlformats.org/officeDocument/2006/relationships/hyperlink" Target="https://doi.org/10.1056/NEJMsa0810119" TargetMode="External"/><Relationship Id="rIdn3vprmb1zy4mtl8uj4gdn" Type="http://schemas.openxmlformats.org/officeDocument/2006/relationships/hyperlink" Target="https://www.who.int/publications/i/item/9789241598590" TargetMode="External"/><Relationship Id="rIdkievuirxqizzmgilxxv4m" Type="http://schemas.openxmlformats.org/officeDocument/2006/relationships/hyperlink" Target="https://academy.gmj.ge/ch6-1-who-surgical-safety-checklist" TargetMode="External"/><Relationship Id="rIdxgqievmcjipemzcjjdj86" Type="http://schemas.openxmlformats.org/officeDocument/2006/relationships/hyperlink" Target="https://www.who.int/publications/i/item/9789241598552" TargetMode="External"/><Relationship Id="rIdoxz3jly-bekjrdsbdn0me" Type="http://schemas.openxmlformats.org/officeDocument/2006/relationships/hyperlink" Target="https://wfsahq.org/our-work/safety-quality/international-standards-for-a-safe-practice-of-anaesthesia-2/" TargetMode="External"/><Relationship Id="rIdq-thbithwx4zdikiolirw" Type="http://schemas.openxmlformats.org/officeDocument/2006/relationships/hyperlink" Target="https://doi.org/10.1007/s12630-010-9381-6" TargetMode="External"/><Relationship Id="rIdc1yntu8ctcs_sndvqv-_v" Type="http://schemas.openxmlformats.org/officeDocument/2006/relationships/hyperlink" Target="https://academy.gmj.ge/ch6-2-anaesthesia-safety-standards" TargetMode="External"/><Relationship Id="rIdsoagd_bpnz8woarttuqgu" Type="http://schemas.openxmlformats.org/officeDocument/2006/relationships/hyperlink" Target="https://www.who.int/publications/i/item/9789241550475" TargetMode="External"/><Relationship Id="rIdqoy0r9cqf5szoqkhcevt6" Type="http://schemas.openxmlformats.org/officeDocument/2006/relationships/hyperlink" Target="https://doi.org/10.1001/jamasurg.2017.0904" TargetMode="External"/><Relationship Id="rIdk03icbcv4vrgmrant_b4q" Type="http://schemas.openxmlformats.org/officeDocument/2006/relationships/hyperlink" Target="https://www.nice.org.uk/guidance/ng125" TargetMode="External"/><Relationship Id="rIdya8oe1lpiq0ezq4u7ewim" Type="http://schemas.openxmlformats.org/officeDocument/2006/relationships/hyperlink" Target="https://academy.gmj.ge/ch6-3-surgical-site-infection-prevention" TargetMode="External"/><Relationship Id="rIdlldys7ilmoz3frxcnrxiy" Type="http://schemas.openxmlformats.org/officeDocument/2006/relationships/hyperlink" Target="https://www.who.int/publications/i/item/9789241598552" TargetMode="External"/><Relationship Id="rIdhlfjlzlfbcyziwlvk_kbr" Type="http://schemas.openxmlformats.org/officeDocument/2006/relationships/hyperlink" Target="https://www.coe.int/en/web/bioethics/oviedo-convention" TargetMode="External"/><Relationship Id="rIde5o-gezlu3vkpoguoeodi" Type="http://schemas.openxmlformats.org/officeDocument/2006/relationships/hyperlink" Target="https://www.facs.org/about-acs/statements/statements-on-principles" TargetMode="External"/><Relationship Id="rId45qmru5k0rqvwrzdg32qi" Type="http://schemas.openxmlformats.org/officeDocument/2006/relationships/hyperlink" Target="https://academy.gmj.ge/ch6-4-informed-consent-surgical" TargetMode="External"/><Relationship Id="rIdnvllpi9_vzofxln5vfrph" Type="http://schemas.openxmlformats.org/officeDocument/2006/relationships/hyperlink" Target="https://www.who.int/publications/i/item/9789241598552" TargetMode="External"/><Relationship Id="rIdhbn4lk-34h0gzwttsqrib" Type="http://schemas.openxmlformats.org/officeDocument/2006/relationships/hyperlink" Target="https://www.aorn.org/guidelines" TargetMode="External"/><Relationship Id="rIdvzdba8w4ivfsbt10ijrmv" Type="http://schemas.openxmlformats.org/officeDocument/2006/relationships/hyperlink" Target="https://doi.org/10.1056/NEJMsa021721" TargetMode="External"/><Relationship Id="rIdrud7pkf_wy9qhbilsabuf" Type="http://schemas.openxmlformats.org/officeDocument/2006/relationships/hyperlink" Target="https://academy.gmj.ge/ch6-5-instrument-counts-retained-items" TargetMode="External"/><Relationship Id="rIdoftg5liayesvktprdku7-" Type="http://schemas.openxmlformats.org/officeDocument/2006/relationships/hyperlink" Target="https://www.who.int/publications/i/item/9789241598552" TargetMode="External"/><Relationship Id="rIdzgdvcgsv0fhqjt_9irjzv" Type="http://schemas.openxmlformats.org/officeDocument/2006/relationships/hyperlink" Target="https://www.ifhe.org" TargetMode="External"/><Relationship Id="rIdn-cp3gvy2kbqw16lkdlwv" Type="http://schemas.openxmlformats.org/officeDocument/2006/relationships/hyperlink" Target="https://www.who.int/publications/i/item/9789241501538" TargetMode="External"/><Relationship Id="rIddgowl29pcpymyesruyfcg" Type="http://schemas.openxmlformats.org/officeDocument/2006/relationships/hyperlink" Target="https://academy.gmj.ge/ch6-6-theatre-environment-equipment" TargetMode="External"/><Relationship Id="rIdrdzmbju4aouacxmttr1kn" Type="http://schemas.openxmlformats.org/officeDocument/2006/relationships/hyperlink" Target="https://www.who.int/publications/i/item/clinical-transfusion-practice-guidelines-for-medical-interns" TargetMode="External"/><Relationship Id="rIdrkstbxiaqfqh1yatfw4ej" Type="http://schemas.openxmlformats.org/officeDocument/2006/relationships/hyperlink" Target="https://www.isbtweb.org" TargetMode="External"/><Relationship Id="rIdg3jn8rjs6znvhosuznb1m" Type="http://schemas.openxmlformats.org/officeDocument/2006/relationships/hyperlink" Target="https://www.who.int/publications/i/item/9789240035744" TargetMode="External"/><Relationship Id="rId8vjhadjcqgcpg15rkkru_" Type="http://schemas.openxmlformats.org/officeDocument/2006/relationships/hyperlink" Target="https://academy.gmj.ge/ch6-7-blood-blood-products" TargetMode="External"/><Relationship Id="rIdpyfzkihnk-qja0u_rrf8g" Type="http://schemas.openxmlformats.org/officeDocument/2006/relationships/hyperlink" Target="https://www.who.int/publications/i/item/9789241598552" TargetMode="External"/><Relationship Id="rIdzsgpxujdvtfvw9idtgcrv" Type="http://schemas.openxmlformats.org/officeDocument/2006/relationships/hyperlink" Target="https://www.rcplondon.ac.uk/projects/outputs/national-early-warning-score-news-2" TargetMode="External"/><Relationship Id="rId8ma186-0eaughpjxcv2p2" Type="http://schemas.openxmlformats.org/officeDocument/2006/relationships/hyperlink" Target="https://doi.org/10.1056/NEJMsa0903048" TargetMode="External"/><Relationship Id="rIdie3_rsxxk1tc_yll9jecf" Type="http://schemas.openxmlformats.org/officeDocument/2006/relationships/hyperlink" Target="https://academy.gmj.ge/ch6-8-post-operative-care-monitoring" TargetMode="External"/><Relationship Id="rIdb4c_l-6en2ifx6nddycgu" Type="http://schemas.openxmlformats.org/officeDocument/2006/relationships/hyperlink" Target="https://www.who.int/publications/i/item/9789241598552" TargetMode="External"/><Relationship Id="rId_j7trpyt4ago9pcdfetgp" Type="http://schemas.openxmlformats.org/officeDocument/2006/relationships/hyperlink" Target="https://doi.org/10.1016/S0140-6736(15)60806-6" TargetMode="External"/><Relationship Id="rIdue9zvbz6rnayaastpgayq" Type="http://schemas.openxmlformats.org/officeDocument/2006/relationships/hyperlink" Target="https://doi.org/10.1016/j.jamcollsurg.2003.11.017" TargetMode="External"/><Relationship Id="rId0zlyvy5pueblbkdofquuu" Type="http://schemas.openxmlformats.org/officeDocument/2006/relationships/hyperlink" Target="https://academy.gmj.ge/ch6-9-surgical-outcome-monitoring" TargetMode="External"/><Relationship Id="rId8xhvwjtmm1cqlpz6radtl" Type="http://schemas.openxmlformats.org/officeDocument/2006/relationships/hyperlink" Target="https://www.who.int/publications/i/item/9789241598552" TargetMode="External"/><Relationship Id="rIdly4frd1sil0vako-p9d-l" Type="http://schemas.openxmlformats.org/officeDocument/2006/relationships/hyperlink" Target="https://www.sages.org/publications/guidelines/" TargetMode="External"/><Relationship Id="rIdwtoprf1ba9cb1yxqlqleo" Type="http://schemas.openxmlformats.org/officeDocument/2006/relationships/hyperlink" Target="https://doi.org/10.1056/NEJMsa1300625" TargetMode="External"/><Relationship Id="rIdsfnfgugeqzyl0_zutdudq" Type="http://schemas.openxmlformats.org/officeDocument/2006/relationships/hyperlink" Target="https://academy.gmj.ge/ch6-10-minimally-invasive-procedure-safety" TargetMode="External"/><Relationship Id="rIdvdyf0fuvnaoesgu4t2ipj" Type="http://schemas.openxmlformats.org/officeDocument/2006/relationships/hyperlink" Target="https://www.who.int/publications/i/item/9789241598552" TargetMode="External"/><Relationship Id="rIdelfdzyba9qheyqg85spq9" Type="http://schemas.openxmlformats.org/officeDocument/2006/relationships/hyperlink" Target="https://doi.org/10.1056/NEJMsa0810119" TargetMode="External"/><Relationship Id="rIdpybqec72k6w9qc8vfwu0x" Type="http://schemas.openxmlformats.org/officeDocument/2006/relationships/hyperlink" Target="https://www.who.int/publications/i/item/9789241598590" TargetMode="External"/><Relationship Id="rIdnk5zltulvqb8zoxpkv-ho" Type="http://schemas.openxmlformats.org/officeDocument/2006/relationships/hyperlink" Target="https://www.who.int/publications/i/item/9789241598552" TargetMode="External"/><Relationship Id="rIdyxzvonxsyibo_hyh_g6zw" Type="http://schemas.openxmlformats.org/officeDocument/2006/relationships/hyperlink" Target="https://wfsahq.org/our-work/safety-quality/international-standards-for-a-safe-practice-of-anaesthesia-2/" TargetMode="External"/><Relationship Id="rIdjbrrozdv7ei-3ceythkvs" Type="http://schemas.openxmlformats.org/officeDocument/2006/relationships/hyperlink" Target="https://doi.org/10.1007/s12630-010-9381-6" TargetMode="External"/><Relationship Id="rIdjuo48lfzadumjbqcartl3" Type="http://schemas.openxmlformats.org/officeDocument/2006/relationships/hyperlink" Target="https://www.who.int/publications/i/item/9789241550475" TargetMode="External"/><Relationship Id="rIdbt2hn3hpb1aqvklwep4bu" Type="http://schemas.openxmlformats.org/officeDocument/2006/relationships/hyperlink" Target="https://doi.org/10.1001/jamasurg.2017.0904" TargetMode="External"/><Relationship Id="rIdbdzyyomyzmmwsxdxmalap" Type="http://schemas.openxmlformats.org/officeDocument/2006/relationships/hyperlink" Target="https://www.nice.org.uk/guidance/ng125" TargetMode="External"/><Relationship Id="rIdptbjfvseakkynygpmblgm" Type="http://schemas.openxmlformats.org/officeDocument/2006/relationships/hyperlink" Target="https://www.who.int/publications/i/item/9789241598552" TargetMode="External"/><Relationship Id="rIdbrbknp7r6-d0zz69mkqq1" Type="http://schemas.openxmlformats.org/officeDocument/2006/relationships/hyperlink" Target="https://www.coe.int/en/web/bioethics/oviedo-convention" TargetMode="External"/><Relationship Id="rIdlji1ec_b73zca2efnzfr6" Type="http://schemas.openxmlformats.org/officeDocument/2006/relationships/hyperlink" Target="https://www.facs.org/about-acs/statements/statements-on-principles" TargetMode="External"/><Relationship Id="rIdjqnvhdqiz1xunma5roiiw" Type="http://schemas.openxmlformats.org/officeDocument/2006/relationships/hyperlink" Target="https://www.who.int/publications/i/item/9789241598552" TargetMode="External"/><Relationship Id="rId50oprhbs_u5f0_niuyasi" Type="http://schemas.openxmlformats.org/officeDocument/2006/relationships/hyperlink" Target="https://www.aorn.org/guidelines" TargetMode="External"/><Relationship Id="rIdpvecfnskeyidte55glujw" Type="http://schemas.openxmlformats.org/officeDocument/2006/relationships/hyperlink" Target="https://doi.org/10.1056/NEJMsa021721" TargetMode="External"/><Relationship Id="rIdzp8bclpfv17te--fryrsr" Type="http://schemas.openxmlformats.org/officeDocument/2006/relationships/hyperlink" Target="https://www.who.int/publications/i/item/9789241598552" TargetMode="External"/><Relationship Id="rIdogh4dxowf9rsxiz_ftsmb" Type="http://schemas.openxmlformats.org/officeDocument/2006/relationships/hyperlink" Target="https://www.ifhe.org" TargetMode="External"/><Relationship Id="rIdfi7myz7wtq5sb9yqtxidp" Type="http://schemas.openxmlformats.org/officeDocument/2006/relationships/hyperlink" Target="https://www.who.int/publications/i/item/9789241501538" TargetMode="External"/><Relationship Id="rIdgonl3zsnyczqw86osbrt9" Type="http://schemas.openxmlformats.org/officeDocument/2006/relationships/hyperlink" Target="https://www.who.int/publications/i/item/clinical-transfusion-practice-guidelines-for-medical-interns" TargetMode="External"/><Relationship Id="rIdtkwwjliaka7tj3mt49wp1" Type="http://schemas.openxmlformats.org/officeDocument/2006/relationships/hyperlink" Target="https://www.isbtweb.org" TargetMode="External"/><Relationship Id="rIdcg5w7kmqxkeim01vzqnso" Type="http://schemas.openxmlformats.org/officeDocument/2006/relationships/hyperlink" Target="https://www.who.int/publications/i/item/9789240035744" TargetMode="External"/><Relationship Id="rIdqb3jy61gwj2bu9cccgg1x" Type="http://schemas.openxmlformats.org/officeDocument/2006/relationships/hyperlink" Target="https://www.who.int/publications/i/item/9789241598552" TargetMode="External"/><Relationship Id="rId6ctizgh1zzahurfplfdg5" Type="http://schemas.openxmlformats.org/officeDocument/2006/relationships/hyperlink" Target="https://www.rcplondon.ac.uk/projects/outputs/national-early-warning-score-news-2" TargetMode="External"/><Relationship Id="rIdb4ztpkrlss2vrnfwtbjlk" Type="http://schemas.openxmlformats.org/officeDocument/2006/relationships/hyperlink" Target="https://doi.org/10.1056/NEJMsa0903048" TargetMode="External"/><Relationship Id="rIdxg3knh0mjdxl9kzs-xzxj" Type="http://schemas.openxmlformats.org/officeDocument/2006/relationships/hyperlink" Target="https://www.who.int/publications/i/item/9789241598552" TargetMode="External"/><Relationship Id="rId2nu_spwq52tngtbpe8vs0" Type="http://schemas.openxmlformats.org/officeDocument/2006/relationships/hyperlink" Target="https://doi.org/10.1016/S0140-6736(15)60806-6" TargetMode="External"/><Relationship Id="rIdcilrnuagche5z86u6fh_7" Type="http://schemas.openxmlformats.org/officeDocument/2006/relationships/hyperlink" Target="https://doi.org/10.1016/j.jamcollsurg.2003.11.017" TargetMode="External"/><Relationship Id="rIdnne1zqxd6tn7r2ahmjcab" Type="http://schemas.openxmlformats.org/officeDocument/2006/relationships/hyperlink" Target="https://www.who.int/publications/i/item/9789241598552" TargetMode="External"/><Relationship Id="rIdlbp6y464yi1kt-ofdvcja" Type="http://schemas.openxmlformats.org/officeDocument/2006/relationships/hyperlink" Target="https://www.sages.org/publications/guidelines/" TargetMode="External"/><Relationship Id="rIdhnvkayw41ob1bh7rh3e4g" Type="http://schemas.openxmlformats.org/officeDocument/2006/relationships/hyperlink" Target="https://doi.org/10.1056/NEJMsa1300625" TargetMode="External"/><Relationship Id="rId8" Type="http://schemas.openxmlformats.org/officeDocument/2006/relationships/image" Target="media/d139395916e07bb04734db2f45792b16c08ff223.png"/><Relationship Id="rId8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2026-08-29T19:44:53.805Z</dcterms:created>
  <dcterms:modified xsi:type="dcterms:W3CDTF">2026-08-29T19:44:53.816Z</dcterms:modified>
</cp:coreProperties>
</file>

<file path=docProps/custom.xml><?xml version="1.0" encoding="utf-8"?>
<Properties xmlns="http://schemas.openxmlformats.org/officeDocument/2006/custom-properties" xmlns:vt="http://schemas.openxmlformats.org/officeDocument/2006/docPropsVTypes"/>
</file>