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EMERGENCY &amp; CRITICAL CARE</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ASF-CH7-ECC-v2.0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ds3t57eav5wahwlek4dyb">
              <w:r>
                <w:rPr>
                  <w:rFonts w:ascii="Arial" w:cs="Arial" w:eastAsia="Arial" w:hAnsi="Arial"/>
                  <w:b/>
                  <w:bCs/>
                  <w:color w:val="c9a227"/>
                  <w:sz w:val="13"/>
                  <w:szCs w:val="13"/>
                  <w:u w:val="single"/>
                </w:rPr>
                <w:t xml:space="preserve">france-asf.fr</w:t>
              </w:r>
            </w:hyperlink>
          </w:p>
          <w:p>
            <w:pPr>
              <w:spacing w:after="36" w:before="0"/>
            </w:pPr>
            <w:hyperlink w:history="1" r:id="rIdwcku1ygptgouubf2ifwp8">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ASF-CH7-ECC-v2.0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o26bkwlaiej7tshbkidij">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7 — Emergency &amp; Critical Care.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emergency and critical care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connects directly to clinical and surgical safety elsewhere in the standards. Standard 7.6 (Deteriorating Patient Recognition) shares its early warning foundation with Standard 5.6 (Monitoring of High-Risk Patients). Standard 7.4 (Critical Care Admission) connects to Standard 6.8 (Post-Operative Care) for surgical patients requiring escalation. Standard 7.8 (Mental Health Emergency Response) connects to Standard 2.6 (Vulnerable Patient Protections).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osizua4tkqcsz2zp580ov">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7: EMERGENCY &amp; CRITICAL CARE</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7.1 to 7.5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with an emergency department must fully meet all five. Standards 7.1, 7.2, and 7.3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Emergency Triage System</w:t>
            </w:r>
          </w:p>
          <w:p>
            <w:pPr>
              <w:spacing w:after="36" w:before="0"/>
            </w:pPr>
            <w:r>
              <w:rPr>
                <w:rFonts w:ascii="Arial" w:cs="Arial" w:eastAsia="Arial" w:hAnsi="Arial"/>
                <w:b w:val="false"/>
                <w:bCs w:val="false"/>
                <w:i/>
                <w:iCs/>
                <w:caps w:val="false"/>
                <w:color w:val="4b5563"/>
                <w:sz w:val="12"/>
                <w:szCs w:val="12"/>
              </w:rPr>
              <w:t xml:space="preserve">The hospital uses a structured triage system to prioritise emergency patients by clinical urgency within a defined time of arrival, staffed by trained triage personnel at all times.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Resuscitation Equipment and Readiness</w:t>
            </w:r>
          </w:p>
          <w:p>
            <w:pPr>
              <w:spacing w:after="36" w:before="0"/>
            </w:pPr>
            <w:r>
              <w:rPr>
                <w:rFonts w:ascii="Arial" w:cs="Arial" w:eastAsia="Arial" w:hAnsi="Arial"/>
                <w:b w:val="false"/>
                <w:bCs w:val="false"/>
                <w:i/>
                <w:iCs/>
                <w:caps w:val="false"/>
                <w:color w:val="4b5563"/>
                <w:sz w:val="12"/>
                <w:szCs w:val="12"/>
              </w:rPr>
              <w:t xml:space="preserve">The hospital maintains resuscitation equipment and medications immediately available and checked at every location where a patient could deteriorate, with staff competent in their use.</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Mass Casualty and Disaster Response Plan</w:t>
            </w:r>
          </w:p>
          <w:p>
            <w:pPr>
              <w:spacing w:after="36" w:before="0"/>
            </w:pPr>
            <w:r>
              <w:rPr>
                <w:rFonts w:ascii="Arial" w:cs="Arial" w:eastAsia="Arial" w:hAnsi="Arial"/>
                <w:b w:val="false"/>
                <w:bCs w:val="false"/>
                <w:i/>
                <w:iCs/>
                <w:caps w:val="false"/>
                <w:color w:val="4b5563"/>
                <w:sz w:val="12"/>
                <w:szCs w:val="12"/>
              </w:rPr>
              <w:t xml:space="preserve">The hospital has a written mass casualty and disaster response plan, tested through regular drills, with defined roles, surge capacity, and external coordination arrangements.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Critical Care Admission and Discharge Criteria</w:t>
            </w:r>
          </w:p>
          <w:p>
            <w:pPr>
              <w:spacing w:after="36" w:before="0"/>
            </w:pPr>
            <w:r>
              <w:rPr>
                <w:rFonts w:ascii="Arial" w:cs="Arial" w:eastAsia="Arial" w:hAnsi="Arial"/>
                <w:b w:val="false"/>
                <w:bCs w:val="false"/>
                <w:i/>
                <w:iCs/>
                <w:caps w:val="false"/>
                <w:color w:val="4b5563"/>
                <w:sz w:val="12"/>
                <w:szCs w:val="12"/>
              </w:rPr>
              <w:t xml:space="preserve">The hospital has defined, objective criteria for admission to and discharge from critical care, applied consistently regardless of bed availability pressure.</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Sepsis Recognition and Management Protocol</w:t>
            </w:r>
          </w:p>
          <w:p>
            <w:pPr>
              <w:spacing w:after="36" w:before="0"/>
            </w:pPr>
            <w:r>
              <w:rPr>
                <w:rFonts w:ascii="Arial" w:cs="Arial" w:eastAsia="Arial" w:hAnsi="Arial"/>
                <w:b w:val="false"/>
                <w:bCs w:val="false"/>
                <w:i/>
                <w:iCs/>
                <w:caps w:val="false"/>
                <w:color w:val="4b5563"/>
                <w:sz w:val="12"/>
                <w:szCs w:val="12"/>
              </w:rPr>
              <w:t xml:space="preserve">The hospital uses a structured sepsis screening tool and time-bound management protocol (the sepsis bundle), applied consistently across emergency, ward, and critical care settings.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7.6 to 7.8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triages, resuscitates, and responds to disaster reliably. An Accredited facility actively recognises deterioration before crisis, manages trauma and mental health emergencies with structure, and applies objective criteria to critical care decisions even under pressure. These are the marks of a facility that treats emergency readiness as continuous vigilance, not episodic response.</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Deteriorating Patient Recognition (Early Warning)</w:t>
            </w:r>
          </w:p>
          <w:p>
            <w:pPr>
              <w:spacing w:after="36" w:before="0"/>
            </w:pPr>
            <w:r>
              <w:rPr>
                <w:rFonts w:ascii="Arial" w:cs="Arial" w:eastAsia="Arial" w:hAnsi="Arial"/>
                <w:b w:val="false"/>
                <w:bCs w:val="false"/>
                <w:i/>
                <w:iCs/>
                <w:caps w:val="false"/>
                <w:color w:val="4b5563"/>
                <w:sz w:val="12"/>
                <w:szCs w:val="12"/>
              </w:rPr>
              <w:t xml:space="preserve">The hospital operates a hospital-wide early warning system for recognising clinical deterioration, with a defined escalation pathway including a rapid response or medical emergency team.</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Trauma Management Protocols</w:t>
            </w:r>
          </w:p>
          <w:p>
            <w:pPr>
              <w:spacing w:after="36" w:before="0"/>
            </w:pPr>
            <w:r>
              <w:rPr>
                <w:rFonts w:ascii="Arial" w:cs="Arial" w:eastAsia="Arial" w:hAnsi="Arial"/>
                <w:b w:val="false"/>
                <w:bCs w:val="false"/>
                <w:i/>
                <w:iCs/>
                <w:caps w:val="false"/>
                <w:color w:val="4b5563"/>
                <w:sz w:val="12"/>
                <w:szCs w:val="12"/>
              </w:rPr>
              <w:t xml:space="preserve">The hospital has structured trauma assessment and management protocols, including a defined trauma team activation process for major trauma patients.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Mental Health Emergency Response</w:t>
            </w:r>
          </w:p>
          <w:p>
            <w:pPr>
              <w:spacing w:after="36" w:before="0"/>
            </w:pPr>
            <w:r>
              <w:rPr>
                <w:rFonts w:ascii="Arial" w:cs="Arial" w:eastAsia="Arial" w:hAnsi="Arial"/>
                <w:b w:val="false"/>
                <w:bCs w:val="false"/>
                <w:i/>
                <w:iCs/>
                <w:caps w:val="false"/>
                <w:color w:val="4b5563"/>
                <w:sz w:val="12"/>
                <w:szCs w:val="12"/>
              </w:rPr>
              <w:t xml:space="preserve">The hospital has a defined protocol for assessing and managing psychiatric emergencies, including risk assessment for self-harm or harm to others, with access to mental health specialist input.</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7.9 to 7.10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emergency care extends to the populations and moments most easily overlooked. It adapts protocols specifically for children, and it learns systematically from its own emergency events rather than moving on without reflection.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Paediatric Emergency Protocols</w:t>
            </w:r>
          </w:p>
          <w:p>
            <w:pPr>
              <w:spacing w:after="36" w:before="0"/>
            </w:pPr>
            <w:r>
              <w:rPr>
                <w:rFonts w:ascii="Arial" w:cs="Arial" w:eastAsia="Arial" w:hAnsi="Arial"/>
                <w:b w:val="false"/>
                <w:bCs w:val="false"/>
                <w:i/>
                <w:iCs/>
                <w:caps w:val="false"/>
                <w:color w:val="4b5563"/>
                <w:sz w:val="12"/>
                <w:szCs w:val="12"/>
              </w:rPr>
              <w:t xml:space="preserve">The hospital has emergency protocols and equipment specifically adapted for paediatric patients, including weight-based dosing tools and staff trained in paediatric emergency care.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7.10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Post-Emergency Debriefing and Review</w:t>
            </w:r>
          </w:p>
          <w:p>
            <w:pPr>
              <w:spacing w:after="36" w:before="0"/>
            </w:pPr>
            <w:r>
              <w:rPr>
                <w:rFonts w:ascii="Arial" w:cs="Arial" w:eastAsia="Arial" w:hAnsi="Arial"/>
                <w:b w:val="false"/>
                <w:bCs w:val="false"/>
                <w:i/>
                <w:iCs/>
                <w:caps w:val="false"/>
                <w:color w:val="4b5563"/>
                <w:sz w:val="12"/>
                <w:szCs w:val="12"/>
              </w:rPr>
              <w:t xml:space="preserve">The hospital conducts structured debriefing after significant emergency events, both to support staff wellbeing and to identify systemic learning, with findings feeding into practice improvement.</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oq7vfkjg_q8ybnxbqxam6">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e7z0lyr1tyxv6vfj1tt1r">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khpedyb79ekyekjrejt8k">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ASF-CH7-ECC-v2.0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Emergency Triage System</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Emergency Triage System</w:t>
            </w:r>
          </w:p>
          <w:p>
            <w:pPr>
              <w:spacing w:after="36" w:before="0"/>
            </w:pPr>
            <w:r>
              <w:rPr>
                <w:rFonts w:ascii="Arial" w:cs="Arial" w:eastAsia="Arial" w:hAnsi="Arial"/>
                <w:b w:val="false"/>
                <w:bCs w:val="false"/>
                <w:i w:val="false"/>
                <w:iCs w:val="false"/>
                <w:caps w:val="false"/>
                <w:color w:val="4b5563"/>
                <w:sz w:val="15"/>
                <w:szCs w:val="15"/>
              </w:rPr>
              <w:t xml:space="preserve">The hospital uses a structured triage system to prioritise emergency patients by clinical urgency within a defined time of arrival, staffed by trained triage personnel at all times.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structured triage system, such as a 4- or 5-level acuity scale, used for every emergency arrival?</w:t>
            </w:r>
          </w:p>
          <w:p>
            <w:pPr>
              <w:spacing w:after="7" w:before="0"/>
            </w:pPr>
            <w:r>
              <w:rPr>
                <w:rFonts w:ascii="Arial" w:cs="Arial" w:eastAsia="Arial" w:hAnsi="Arial"/>
                <w:b w:val="false"/>
                <w:bCs w:val="false"/>
                <w:i/>
                <w:iCs/>
                <w:caps w:val="false"/>
                <w:color w:val="4b5563"/>
                <w:sz w:val="15"/>
                <w:szCs w:val="15"/>
              </w:rPr>
              <w:t xml:space="preserve">Check the system is standardised, not left to informal judgement.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Triage system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triage performed within a defined maximum time of patient arrival?</w:t>
            </w:r>
          </w:p>
          <w:p>
            <w:pPr>
              <w:spacing w:after="7" w:before="0"/>
            </w:pPr>
            <w:r>
              <w:rPr>
                <w:rFonts w:ascii="Arial" w:cs="Arial" w:eastAsia="Arial" w:hAnsi="Arial"/>
                <w:b w:val="false"/>
                <w:bCs w:val="false"/>
                <w:i/>
                <w:iCs/>
                <w:caps w:val="false"/>
                <w:color w:val="4b5563"/>
                <w:sz w:val="15"/>
                <w:szCs w:val="15"/>
              </w:rPr>
              <w:t xml:space="preserve">Check arrival-to-triage time against the standard for a sample of cases.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Arrival-to-triage timestamp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triage performed by staff specifically trained in the triage system used?</w:t>
            </w:r>
          </w:p>
          <w:p>
            <w:pPr>
              <w:spacing w:after="7" w:before="0"/>
            </w:pPr>
            <w:r>
              <w:rPr>
                <w:rFonts w:ascii="Arial" w:cs="Arial" w:eastAsia="Arial" w:hAnsi="Arial"/>
                <w:b w:val="false"/>
                <w:bCs w:val="false"/>
                <w:i/>
                <w:iCs/>
                <w:caps w:val="false"/>
                <w:color w:val="4b5563"/>
                <w:sz w:val="15"/>
                <w:szCs w:val="15"/>
              </w:rPr>
              <w:t xml:space="preserve">Check training records for triage-specific competency.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Triage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triage acuity re-assessed if a waiting patient’s condition changes?</w:t>
            </w:r>
          </w:p>
          <w:p>
            <w:pPr>
              <w:spacing w:after="36" w:before="0"/>
            </w:pPr>
            <w:r>
              <w:rPr>
                <w:rFonts w:ascii="Arial" w:cs="Arial" w:eastAsia="Arial" w:hAnsi="Arial"/>
                <w:b w:val="false"/>
                <w:bCs w:val="false"/>
                <w:i/>
                <w:iCs/>
                <w:caps w:val="false"/>
                <w:color w:val="4b5563"/>
                <w:sz w:val="15"/>
                <w:szCs w:val="15"/>
              </w:rPr>
              <w:t xml:space="preserve">Ask how a deteriorating patient in the waiting area would be identified and re-triaged.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triage staffed at all times the emergency department is open, with no gaps?</w:t>
            </w:r>
          </w:p>
          <w:p>
            <w:pPr>
              <w:spacing w:after="7" w:before="0"/>
            </w:pPr>
            <w:r>
              <w:rPr>
                <w:rFonts w:ascii="Arial" w:cs="Arial" w:eastAsia="Arial" w:hAnsi="Arial"/>
                <w:b w:val="false"/>
                <w:bCs w:val="false"/>
                <w:i/>
                <w:iCs/>
                <w:caps w:val="false"/>
                <w:color w:val="4b5563"/>
                <w:sz w:val="15"/>
                <w:szCs w:val="15"/>
              </w:rPr>
              <w:t xml:space="preserve">Check the roster for continuous triage coverage.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Triage staffing roster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Triage system and timing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triage system documentation and arrival-to-triage timestamps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Triage training record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staff performing triage have completed specific training in the triage system used.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Waiting room re-assessment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 patient whose condition deteriorates while waiting would be identified and re-triaged.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Triage staffing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roster or observes triage coverage for continuity throughout operating hours.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fd3sqwy3_ikkt5m0bzrrz">
              <w:r>
                <w:rPr>
                  <w:rFonts w:ascii="Arial" w:cs="Arial" w:eastAsia="Arial" w:hAnsi="Arial"/>
                  <w:b/>
                  <w:bCs/>
                  <w:color w:val="c9a227"/>
                  <w:sz w:val="13"/>
                  <w:szCs w:val="13"/>
                  <w:u w:val="single"/>
                </w:rPr>
                <w:t xml:space="preserve">World Health Organization. Emergency triage assessment and treatment (ETAT) guidelines. Geneva: WHO; 2016.</w:t>
              </w:r>
            </w:hyperlink>
            <w:r>
              <w:rPr>
                <w:rFonts w:ascii="Arial" w:cs="Arial" w:eastAsia="Arial" w:hAnsi="Arial"/>
                <w:b/>
                <w:bCs/>
                <w:i w:val="false"/>
                <w:iCs w:val="false"/>
                <w:caps w:val="false"/>
                <w:color w:val="6b778c"/>
                <w:sz w:val="13"/>
                <w:szCs w:val="13"/>
              </w:rPr>
              <w:t xml:space="preserve">   2. </w:t>
            </w:r>
            <w:hyperlink w:history="1" r:id="rIdwvrr-42yvpng06puxzn-c">
              <w:r>
                <w:rPr>
                  <w:rFonts w:ascii="Arial" w:cs="Arial" w:eastAsia="Arial" w:hAnsi="Arial"/>
                  <w:b/>
                  <w:bCs/>
                  <w:color w:val="c9a227"/>
                  <w:sz w:val="13"/>
                  <w:szCs w:val="13"/>
                  <w:u w:val="single"/>
                </w:rPr>
                <w:t xml:space="preserve">Gilboy N, Tanabe P, Travers D, Rosenau AM. Emergency Severity Index (ESI): A Triage Tool for Emergency Department Care. Rockville: AHRQ; 2020.</w:t>
              </w:r>
            </w:hyperlink>
            <w:r>
              <w:rPr>
                <w:rFonts w:ascii="Arial" w:cs="Arial" w:eastAsia="Arial" w:hAnsi="Arial"/>
                <w:b/>
                <w:bCs/>
                <w:i w:val="false"/>
                <w:iCs w:val="false"/>
                <w:caps w:val="false"/>
                <w:color w:val="6b778c"/>
                <w:sz w:val="13"/>
                <w:szCs w:val="13"/>
              </w:rPr>
              <w:t xml:space="preserve">   3. </w:t>
            </w:r>
            <w:hyperlink w:history="1" r:id="rIdcnwpccbmn_j6re3b_d1g7">
              <w:r>
                <w:rPr>
                  <w:rFonts w:ascii="Arial" w:cs="Arial" w:eastAsia="Arial" w:hAnsi="Arial"/>
                  <w:b/>
                  <w:bCs/>
                  <w:color w:val="c9a227"/>
                  <w:sz w:val="13"/>
                  <w:szCs w:val="13"/>
                  <w:u w:val="single"/>
                </w:rPr>
                <w:t xml:space="preserve">World Health Organization. Integrated Management for Emergency and Essential Surgical Care toolkit. Geneva: WHO; 2011.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7.1</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emergency department without structured triage treats patients in order of arrival or visibility rather than clinical urgency, meaning a patient with a life-threatening condition can wait behind several less urgent cases simply because they arrived later or complained less. A standardised triage system, applied quickly and by trained staff, is what ensures the sickest patients are seen first regardless of who else is in the waiting room.</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ETAT guidelines — implementation of structured emergency triage is associated with significant reductions in mortality among critically ill patients by ensuring rapid identification and prioritisation.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standardised triage system is used for every emergency arrival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Triage is performed within a defined maximum time of arrival, consistently in practice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Triage is performed by staff specifically trained in the system used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Waiting patients are actively re-assessed if their condition changes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Triage coverage is continuous throughout all operating hours, with no gaps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Patients are seen in order of arrival rather than by structured clinical urgency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Triage timing routinely exceeds any defined standard, or none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Triage is performed by untrained or informally assigned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exists to catch a deteriorating patient in the waiting area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Triage coverage has gaps during some hours or shifts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triage system is used but timing targets are inconsistently met.</w:t>
            </w:r>
          </w:p>
          <w:p>
            <w:pPr>
              <w:spacing w:after="20" w:before="0"/>
            </w:pPr>
            <w:r>
              <w:rPr>
                <w:rFonts w:ascii="Arial" w:cs="Arial" w:eastAsia="Arial" w:hAnsi="Arial"/>
                <w:b w:val="false"/>
                <w:bCs w:val="false"/>
                <w:i/>
                <w:iCs/>
                <w:caps w:val="false"/>
                <w:color w:val="4b5563"/>
                <w:sz w:val="15"/>
                <w:szCs w:val="15"/>
              </w:rPr>
              <w:t xml:space="preserve">A structured scale is applied to every patient, but under high demand, the time from arrival to triage frequently exceeds the stated standard.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Triage happens once at arrival but re-assessment of waiting patients is inconsistent.</w:t>
            </w:r>
          </w:p>
          <w:p>
            <w:pPr>
              <w:spacing w:after="20" w:before="0"/>
            </w:pPr>
            <w:r>
              <w:rPr>
                <w:rFonts w:ascii="Arial" w:cs="Arial" w:eastAsia="Arial" w:hAnsi="Arial"/>
                <w:b w:val="false"/>
                <w:bCs w:val="false"/>
                <w:i/>
                <w:iCs/>
                <w:caps w:val="false"/>
                <w:color w:val="4b5563"/>
                <w:sz w:val="15"/>
                <w:szCs w:val="15"/>
              </w:rPr>
              <w:t xml:space="preserve">Initial triage is performed reliably, but there is no active process to notice and re-triage a patient whose condition worsens while waiting.</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Trained staff perform triage during peak hours but coverage thins overnight.</w:t>
            </w:r>
          </w:p>
          <w:p>
            <w:pPr>
              <w:spacing w:after="36" w:before="0"/>
            </w:pPr>
            <w:r>
              <w:rPr>
                <w:rFonts w:ascii="Arial" w:cs="Arial" w:eastAsia="Arial" w:hAnsi="Arial"/>
                <w:b w:val="false"/>
                <w:bCs w:val="false"/>
                <w:i/>
                <w:iCs/>
                <w:caps w:val="false"/>
                <w:color w:val="4b5563"/>
                <w:sz w:val="15"/>
                <w:szCs w:val="15"/>
              </w:rPr>
              <w:t xml:space="preserve">Daytime triage is staffed by fully trained personnel; overnight or low-volume periods sometimes rely on less experienced staff.</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adopt a structured, standardised triage system for all emergency arrivals.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arrival-to-triage timing for a sample of recent cases against the defined standard.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triage-specific training for all staff performing the role, including out-of-hours coverage.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process for re-assessing waiting patients whose condition may be changing.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Audit triage timing and staffing coverage regularly; retrain as needed.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arrival-to-triage timestamps directly, not just the policy target.  </w:t>
            </w:r>
            <w:r>
              <w:rPr>
                <w:rFonts w:ascii="Arial" w:cs="Arial" w:eastAsia="Arial" w:hAnsi="Arial"/>
                <w:b w:val="false"/>
                <w:bCs w:val="false"/>
                <w:i w:val="false"/>
                <w:iCs w:val="false"/>
                <w:caps w:val="false"/>
                <w:color w:val="374151"/>
                <w:sz w:val="16"/>
                <w:szCs w:val="16"/>
              </w:rPr>
              <w:t xml:space="preserve">This is the clearest way to know whether the standard is met in practice, especially during high-demand periods.</w:t>
            </w:r>
          </w:p>
          <w:p>
            <w:pPr>
              <w:spacing w:after="16" w:before="0"/>
            </w:pPr>
            <w:r>
              <w:rPr>
                <w:rFonts w:ascii="Arial" w:cs="Arial" w:eastAsia="Arial" w:hAnsi="Arial"/>
                <w:b/>
                <w:bCs/>
                <w:i w:val="false"/>
                <w:iCs w:val="false"/>
                <w:caps w:val="false"/>
                <w:color w:val="b91c1c"/>
                <w:sz w:val="15"/>
                <w:szCs w:val="15"/>
              </w:rPr>
              <w:t xml:space="preserve">Ask what happens to someone who has been waiting a while and looks worse.  </w:t>
            </w:r>
            <w:r>
              <w:rPr>
                <w:rFonts w:ascii="Arial" w:cs="Arial" w:eastAsia="Arial" w:hAnsi="Arial"/>
                <w:b w:val="false"/>
                <w:bCs w:val="false"/>
                <w:i w:val="false"/>
                <w:iCs w:val="false"/>
                <w:caps w:val="false"/>
                <w:color w:val="374151"/>
                <w:sz w:val="16"/>
                <w:szCs w:val="16"/>
              </w:rPr>
              <w:t xml:space="preserve">A specific, confident answer indicates an active re-assessment process; uncertainty suggests waiting room patients are not actively monitored.</w:t>
            </w:r>
          </w:p>
          <w:p>
            <w:pPr>
              <w:spacing w:after="36" w:before="0"/>
            </w:pPr>
            <w:r>
              <w:rPr>
                <w:rFonts w:ascii="Arial" w:cs="Arial" w:eastAsia="Arial" w:hAnsi="Arial"/>
                <w:b/>
                <w:bCs/>
                <w:i w:val="false"/>
                <w:iCs w:val="false"/>
                <w:caps w:val="false"/>
                <w:color w:val="b91c1c"/>
                <w:sz w:val="15"/>
                <w:szCs w:val="15"/>
              </w:rPr>
              <w:t xml:space="preserve">Check triage staffing overnight and during low-volume periods, not just peak hours.  </w:t>
            </w:r>
            <w:r>
              <w:rPr>
                <w:rFonts w:ascii="Arial" w:cs="Arial" w:eastAsia="Arial" w:hAnsi="Arial"/>
                <w:b w:val="false"/>
                <w:bCs w:val="false"/>
                <w:i w:val="false"/>
                <w:iCs w:val="false"/>
                <w:caps w:val="false"/>
                <w:color w:val="374151"/>
                <w:sz w:val="16"/>
                <w:szCs w:val="16"/>
              </w:rPr>
              <w:t xml:space="preserve">Coverage gaps often concentrate during quieter shifts when staffing is thinner.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wzsb9427treveheg2k1_1">
              <w:r>
                <w:rPr>
                  <w:rFonts w:ascii="Arial" w:cs="Arial" w:eastAsia="Arial" w:hAnsi="Arial"/>
                  <w:b/>
                  <w:bCs/>
                  <w:color w:val="c9a227"/>
                  <w:sz w:val="13"/>
                  <w:szCs w:val="13"/>
                  <w:u w:val="single"/>
                </w:rPr>
                <w:t xml:space="preserve">academy.gmj.ge/ch7-1-emergency-triage-system</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Resuscitation Equipment and Readiness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Resuscitation Equipment and Readiness</w:t>
            </w:r>
          </w:p>
          <w:p>
            <w:pPr>
              <w:spacing w:after="36" w:before="0"/>
            </w:pPr>
            <w:r>
              <w:rPr>
                <w:rFonts w:ascii="Arial" w:cs="Arial" w:eastAsia="Arial" w:hAnsi="Arial"/>
                <w:b w:val="false"/>
                <w:bCs w:val="false"/>
                <w:i w:val="false"/>
                <w:iCs w:val="false"/>
                <w:caps w:val="false"/>
                <w:color w:val="4b5563"/>
                <w:sz w:val="15"/>
                <w:szCs w:val="15"/>
              </w:rPr>
              <w:t xml:space="preserve">The hospital maintains resuscitation equipment and medications immediately available and checked at every location where a patient could deteriorate, with staff competent in their use.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resuscitation trolley or equivalent immediately available in every clinical area where a patient could deteriorate?</w:t>
            </w:r>
          </w:p>
          <w:p>
            <w:pPr>
              <w:spacing w:after="7" w:before="0"/>
            </w:pPr>
            <w:r>
              <w:rPr>
                <w:rFonts w:ascii="Arial" w:cs="Arial" w:eastAsia="Arial" w:hAnsi="Arial"/>
                <w:b w:val="false"/>
                <w:bCs w:val="false"/>
                <w:i/>
                <w:iCs/>
                <w:caps w:val="false"/>
                <w:color w:val="4b5563"/>
                <w:sz w:val="15"/>
                <w:szCs w:val="15"/>
              </w:rPr>
              <w:t xml:space="preserve">Check physical presence and accessibility, not just designated storage elsewhere.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Resuscitation equipment location map</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resuscitation equipment checked on a defined schedule, with a documented record?</w:t>
            </w:r>
          </w:p>
          <w:p>
            <w:pPr>
              <w:spacing w:after="7" w:before="0"/>
            </w:pPr>
            <w:r>
              <w:rPr>
                <w:rFonts w:ascii="Arial" w:cs="Arial" w:eastAsia="Arial" w:hAnsi="Arial"/>
                <w:b w:val="false"/>
                <w:bCs w:val="false"/>
                <w:i/>
                <w:iCs/>
                <w:caps w:val="false"/>
                <w:color w:val="4b5563"/>
                <w:sz w:val="15"/>
                <w:szCs w:val="15"/>
              </w:rPr>
              <w:t xml:space="preserve">Check the check log against the required frequency.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Equipment check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resuscitation medications within expiry and stocked to the required list?</w:t>
            </w:r>
          </w:p>
          <w:p>
            <w:pPr>
              <w:spacing w:after="36" w:before="0"/>
            </w:pPr>
            <w:r>
              <w:rPr>
                <w:rFonts w:ascii="Arial" w:cs="Arial" w:eastAsia="Arial" w:hAnsi="Arial"/>
                <w:b w:val="false"/>
                <w:bCs w:val="false"/>
                <w:i/>
                <w:iCs/>
                <w:caps w:val="false"/>
                <w:color w:val="4b5563"/>
                <w:sz w:val="15"/>
                <w:szCs w:val="15"/>
              </w:rPr>
              <w:t xml:space="preserve">Spot-check a trolley against the required medication list and expiry dates.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trained and competency-assessed in basic and advanced life support appropriate to their role?</w:t>
            </w:r>
          </w:p>
          <w:p>
            <w:pPr>
              <w:spacing w:after="7" w:before="0"/>
            </w:pPr>
            <w:r>
              <w:rPr>
                <w:rFonts w:ascii="Arial" w:cs="Arial" w:eastAsia="Arial" w:hAnsi="Arial"/>
                <w:b w:val="false"/>
                <w:bCs w:val="false"/>
                <w:i/>
                <w:iCs/>
                <w:caps w:val="false"/>
                <w:color w:val="4b5563"/>
                <w:sz w:val="15"/>
                <w:szCs w:val="15"/>
              </w:rPr>
              <w:t xml:space="preserve">Check training records for currency, not only completion at some point in the past.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Life support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immediately restocking equipment or medication used during a resuscitation event?</w:t>
            </w:r>
          </w:p>
          <w:p>
            <w:pPr>
              <w:spacing w:after="36" w:before="0"/>
            </w:pPr>
            <w:r>
              <w:rPr>
                <w:rFonts w:ascii="Arial" w:cs="Arial" w:eastAsia="Arial" w:hAnsi="Arial"/>
                <w:b w:val="false"/>
                <w:bCs w:val="false"/>
                <w:i/>
                <w:iCs/>
                <w:caps w:val="false"/>
                <w:color w:val="4b5563"/>
                <w:sz w:val="15"/>
                <w:szCs w:val="15"/>
              </w:rPr>
              <w:t xml:space="preserve">Ask how a trolley is restocked after use, and how quickly.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Trolley accessibility walkthrough</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physical presence and accessibility of resuscitation equipment in clinical areas.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Equipment check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equipment check log against the required checking frequency.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Trolley content spot-check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a trolley’s medication stock against the required list and expiry dates.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Life support training currency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staff have current, not lapsed, basic or advanced life support competency appropriate to their role.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ih5klqouyz-l_d60cedmj">
              <w:r>
                <w:rPr>
                  <w:rFonts w:ascii="Arial" w:cs="Arial" w:eastAsia="Arial" w:hAnsi="Arial"/>
                  <w:b/>
                  <w:bCs/>
                  <w:color w:val="c9a227"/>
                  <w:sz w:val="13"/>
                  <w:szCs w:val="13"/>
                  <w:u w:val="single"/>
                </w:rPr>
                <w:t xml:space="preserve">World Health Organization. Basic emergency care: approach to the acutely ill and injured. Geneva: WHO; 2018.</w:t>
              </w:r>
            </w:hyperlink>
            <w:r>
              <w:rPr>
                <w:rFonts w:ascii="Arial" w:cs="Arial" w:eastAsia="Arial" w:hAnsi="Arial"/>
                <w:b/>
                <w:bCs/>
                <w:i w:val="false"/>
                <w:iCs w:val="false"/>
                <w:caps w:val="false"/>
                <w:color w:val="6b778c"/>
                <w:sz w:val="13"/>
                <w:szCs w:val="13"/>
              </w:rPr>
              <w:t xml:space="preserve">   2. </w:t>
            </w:r>
            <w:hyperlink w:history="1" r:id="rIdffi76zmikjihyjnruqeke">
              <w:r>
                <w:rPr>
                  <w:rFonts w:ascii="Arial" w:cs="Arial" w:eastAsia="Arial" w:hAnsi="Arial"/>
                  <w:b/>
                  <w:bCs/>
                  <w:color w:val="c9a227"/>
                  <w:sz w:val="13"/>
                  <w:szCs w:val="13"/>
                  <w:u w:val="single"/>
                </w:rPr>
                <w:t xml:space="preserve">International Liaison Committee on Resuscitation. 2020 International Consensus on Cardiopulmonary Resuscitation Science with Treatment Recommendations. Brussels: ILCOR; 2020.</w:t>
              </w:r>
            </w:hyperlink>
            <w:r>
              <w:rPr>
                <w:rFonts w:ascii="Arial" w:cs="Arial" w:eastAsia="Arial" w:hAnsi="Arial"/>
                <w:b/>
                <w:bCs/>
                <w:i w:val="false"/>
                <w:iCs w:val="false"/>
                <w:caps w:val="false"/>
                <w:color w:val="6b778c"/>
                <w:sz w:val="13"/>
                <w:szCs w:val="13"/>
              </w:rPr>
              <w:t xml:space="preserve">   3. </w:t>
            </w:r>
            <w:hyperlink w:history="1" r:id="rIdybqydlgylniyhixyiizi_">
              <w:r>
                <w:rPr>
                  <w:rFonts w:ascii="Arial" w:cs="Arial" w:eastAsia="Arial" w:hAnsi="Arial"/>
                  <w:b/>
                  <w:bCs/>
                  <w:color w:val="c9a227"/>
                  <w:sz w:val="13"/>
                  <w:szCs w:val="13"/>
                  <w:u w:val="single"/>
                </w:rPr>
                <w:t xml:space="preserve">Resuscitation Council UK. Quality standards for cardiopulmonary resuscitation practice and training. London: RCUK;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7.2</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Cardiac and respiratory arrest can occur anywhere in a hospital, not only in areas designed for it, and the difference between survival and death is measured in minutes — sometimes seconds. A resuscitation trolley that is present but unchecked, understocked, or too far away, or staff who are technically trained but not currently competent, converts a survivable emergency into a preventable death purely through unreadiness.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ILCOR 2020 Consensus — every minute of delay in starting effective resuscitation reduces survival probability, making immediate equipment availability and staff readiness among the most time-critical safety factors in any hospital.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Resuscitation equipment is immediately available in every area where deterioration could occur</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Equipment is checked on a defined schedule, with a complete documented record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Medications are within expiry and match the required stock list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have current, competency-assessed life support training appropriate to their role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ensures rapid restocking after use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Resuscitation equipment is not present or not readily accessible in some clinical areas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checks are inconsistent or undocumented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Trolleys contain expired medications or are missing required items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Life support training has lapsed for a significant proportion of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restocking process exists after equipment is used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Equipment is present but checks are inconsistently documented.</w:t>
            </w:r>
          </w:p>
          <w:p>
            <w:pPr>
              <w:spacing w:after="20" w:before="0"/>
            </w:pPr>
            <w:r>
              <w:rPr>
                <w:rFonts w:ascii="Arial" w:cs="Arial" w:eastAsia="Arial" w:hAnsi="Arial"/>
                <w:b w:val="false"/>
                <w:bCs w:val="false"/>
                <w:i/>
                <w:iCs/>
                <w:caps w:val="false"/>
                <w:color w:val="4b5563"/>
                <w:sz w:val="15"/>
                <w:szCs w:val="15"/>
              </w:rPr>
              <w:t xml:space="preserve">A trolley exists in every required location, but the check log shows gaps, making it unclear whether checks are actually happening as scheduled.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Training was completed but has lapsed for some staff.</w:t>
            </w:r>
          </w:p>
          <w:p>
            <w:pPr>
              <w:spacing w:after="20" w:before="0"/>
            </w:pPr>
            <w:r>
              <w:rPr>
                <w:rFonts w:ascii="Arial" w:cs="Arial" w:eastAsia="Arial" w:hAnsi="Arial"/>
                <w:b w:val="false"/>
                <w:bCs w:val="false"/>
                <w:i/>
                <w:iCs/>
                <w:caps w:val="false"/>
                <w:color w:val="4b5563"/>
                <w:sz w:val="15"/>
                <w:szCs w:val="15"/>
              </w:rPr>
              <w:t xml:space="preserve">Most staff hold current life support certification, but a subset has let their competency assessment expire without being flagged.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Restocking happens but not always immediately after use.</w:t>
            </w:r>
          </w:p>
          <w:p>
            <w:pPr>
              <w:spacing w:after="36" w:before="0"/>
            </w:pPr>
            <w:r>
              <w:rPr>
                <w:rFonts w:ascii="Arial" w:cs="Arial" w:eastAsia="Arial" w:hAnsi="Arial"/>
                <w:b w:val="false"/>
                <w:bCs w:val="false"/>
                <w:i/>
                <w:iCs/>
                <w:caps w:val="false"/>
                <w:color w:val="4b5563"/>
                <w:sz w:val="15"/>
                <w:szCs w:val="15"/>
              </w:rPr>
              <w:t xml:space="preserve">A process exists to replace used equipment and medication, but in practice there can be a delay before a trolley is fully restocked and ready again.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Map every clinical area and confirm resuscitation equipment is immediately accessible in each.</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the equipment check log against the required schedule and close any documentation gaps.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Spot-check trolley contents against the required medication list and expiry dates.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life support training currency for all relevant staff and schedule refreshers where lapsed.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the equipment check schedule; ensure immediate restocking after every use.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Walk to the nearest trolley yourself and check it.  </w:t>
            </w:r>
            <w:r>
              <w:rPr>
                <w:rFonts w:ascii="Arial" w:cs="Arial" w:eastAsia="Arial" w:hAnsi="Arial"/>
                <w:b w:val="false"/>
                <w:bCs w:val="false"/>
                <w:i w:val="false"/>
                <w:iCs w:val="false"/>
                <w:caps w:val="false"/>
                <w:color w:val="374151"/>
                <w:sz w:val="16"/>
                <w:szCs w:val="16"/>
              </w:rPr>
              <w:t xml:space="preserve">Direct inspection of accessibility, stock, and expiry dates is far more reliable than reviewing a policy describing where equipment should be.</w:t>
            </w:r>
          </w:p>
          <w:p>
            <w:pPr>
              <w:spacing w:after="16" w:before="0"/>
            </w:pPr>
            <w:r>
              <w:rPr>
                <w:rFonts w:ascii="Arial" w:cs="Arial" w:eastAsia="Arial" w:hAnsi="Arial"/>
                <w:b/>
                <w:bCs/>
                <w:i w:val="false"/>
                <w:iCs w:val="false"/>
                <w:caps w:val="false"/>
                <w:color w:val="b91c1c"/>
                <w:sz w:val="15"/>
                <w:szCs w:val="15"/>
              </w:rPr>
              <w:t xml:space="preserve">Check the training record date, not just certification status.  </w:t>
            </w:r>
            <w:r>
              <w:rPr>
                <w:rFonts w:ascii="Arial" w:cs="Arial" w:eastAsia="Arial" w:hAnsi="Arial"/>
                <w:b w:val="false"/>
                <w:bCs w:val="false"/>
                <w:i w:val="false"/>
                <w:iCs w:val="false"/>
                <w:caps w:val="false"/>
                <w:color w:val="374151"/>
                <w:sz w:val="16"/>
                <w:szCs w:val="16"/>
              </w:rPr>
              <w:t xml:space="preserve">A staff member whose life support certification lapsed months ago may still describe themselves as trained.</w:t>
            </w:r>
          </w:p>
          <w:p>
            <w:pPr>
              <w:spacing w:after="36" w:before="0"/>
            </w:pPr>
            <w:r>
              <w:rPr>
                <w:rFonts w:ascii="Arial" w:cs="Arial" w:eastAsia="Arial" w:hAnsi="Arial"/>
                <w:b/>
                <w:bCs/>
                <w:i w:val="false"/>
                <w:iCs w:val="false"/>
                <w:caps w:val="false"/>
                <w:color w:val="b91c1c"/>
                <w:sz w:val="15"/>
                <w:szCs w:val="15"/>
              </w:rPr>
              <w:t xml:space="preserve">Ask how quickly a trolley was restocked after its last actual use.  </w:t>
            </w:r>
            <w:r>
              <w:rPr>
                <w:rFonts w:ascii="Arial" w:cs="Arial" w:eastAsia="Arial" w:hAnsi="Arial"/>
                <w:b w:val="false"/>
                <w:bCs w:val="false"/>
                <w:i w:val="false"/>
                <w:iCs w:val="false"/>
                <w:caps w:val="false"/>
                <w:color w:val="374151"/>
                <w:sz w:val="16"/>
                <w:szCs w:val="16"/>
              </w:rPr>
              <w:t xml:space="preserve">A specific, timely answer indicates a functioning process; vagueness suggests restocking is not consistently prompt.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785wmxxcoljw1glrlnqnf">
              <w:r>
                <w:rPr>
                  <w:rFonts w:ascii="Arial" w:cs="Arial" w:eastAsia="Arial" w:hAnsi="Arial"/>
                  <w:b/>
                  <w:bCs/>
                  <w:color w:val="c9a227"/>
                  <w:sz w:val="13"/>
                  <w:szCs w:val="13"/>
                  <w:u w:val="single"/>
                </w:rPr>
                <w:t xml:space="preserve">academy.gmj.ge/ch7-2-resuscitation-equipment-readiness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Mass Casualty and Disaster Response Plan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Mass Casualty and Disaster Response Plan</w:t>
            </w:r>
          </w:p>
          <w:p>
            <w:pPr>
              <w:spacing w:after="36" w:before="0"/>
            </w:pPr>
            <w:r>
              <w:rPr>
                <w:rFonts w:ascii="Arial" w:cs="Arial" w:eastAsia="Arial" w:hAnsi="Arial"/>
                <w:b w:val="false"/>
                <w:bCs w:val="false"/>
                <w:i w:val="false"/>
                <w:iCs w:val="false"/>
                <w:caps w:val="false"/>
                <w:color w:val="4b5563"/>
                <w:sz w:val="15"/>
                <w:szCs w:val="15"/>
              </w:rPr>
              <w:t xml:space="preserve">The hospital has a written mass casualty and disaster response plan, tested through regular drills, with defined roles, surge capacity, and external coordination arrangements.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written mass casualty and disaster response plan covering internal and external incidents?</w:t>
            </w:r>
          </w:p>
          <w:p>
            <w:pPr>
              <w:spacing w:after="7" w:before="0"/>
            </w:pPr>
            <w:r>
              <w:rPr>
                <w:rFonts w:ascii="Arial" w:cs="Arial" w:eastAsia="Arial" w:hAnsi="Arial"/>
                <w:b w:val="false"/>
                <w:bCs w:val="false"/>
                <w:i/>
                <w:iCs/>
                <w:caps w:val="false"/>
                <w:color w:val="4b5563"/>
                <w:sz w:val="15"/>
                <w:szCs w:val="15"/>
              </w:rPr>
              <w:t xml:space="preserve">Check the plan addresses both types, not only 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Mass casualty / disaster plan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plan define specific roles and responsibilities for a disaster response?</w:t>
            </w:r>
          </w:p>
          <w:p>
            <w:pPr>
              <w:spacing w:after="7" w:before="0"/>
            </w:pPr>
            <w:r>
              <w:rPr>
                <w:rFonts w:ascii="Arial" w:cs="Arial" w:eastAsia="Arial" w:hAnsi="Arial"/>
                <w:b w:val="false"/>
                <w:bCs w:val="false"/>
                <w:i/>
                <w:iCs/>
                <w:caps w:val="false"/>
                <w:color w:val="4b5563"/>
                <w:sz w:val="15"/>
                <w:szCs w:val="15"/>
              </w:rPr>
              <w:t xml:space="preserve">Check for named roles, not general expectations that "everyone will help".</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Role assignment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plan tested through a drill at least annually?</w:t>
            </w:r>
          </w:p>
          <w:p>
            <w:pPr>
              <w:spacing w:after="7" w:before="0"/>
            </w:pPr>
            <w:r>
              <w:rPr>
                <w:rFonts w:ascii="Arial" w:cs="Arial" w:eastAsia="Arial" w:hAnsi="Arial"/>
                <w:b w:val="false"/>
                <w:bCs w:val="false"/>
                <w:i/>
                <w:iCs/>
                <w:caps w:val="false"/>
                <w:color w:val="4b5563"/>
                <w:sz w:val="15"/>
                <w:szCs w:val="15"/>
              </w:rPr>
              <w:t xml:space="preserve">Check for a dated drill record and evidence of participation.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Drill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plan include defined surge capacity, such as additional bed and staff mobilisation?</w:t>
            </w:r>
          </w:p>
          <w:p>
            <w:pPr>
              <w:spacing w:after="36" w:before="0"/>
            </w:pPr>
            <w:r>
              <w:rPr>
                <w:rFonts w:ascii="Arial" w:cs="Arial" w:eastAsia="Arial" w:hAnsi="Arial"/>
                <w:b w:val="false"/>
                <w:bCs w:val="false"/>
                <w:i/>
                <w:iCs/>
                <w:caps w:val="false"/>
                <w:color w:val="4b5563"/>
                <w:sz w:val="15"/>
                <w:szCs w:val="15"/>
              </w:rPr>
              <w:t xml:space="preserve">Check the plan specifies how capacity would actually be increased.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coordination arrangement with external authorities, such as emergency services or the ministry of health?</w:t>
            </w:r>
          </w:p>
          <w:p>
            <w:pPr>
              <w:spacing w:after="7" w:before="0"/>
            </w:pPr>
            <w:r>
              <w:rPr>
                <w:rFonts w:ascii="Arial" w:cs="Arial" w:eastAsia="Arial" w:hAnsi="Arial"/>
                <w:b w:val="false"/>
                <w:bCs w:val="false"/>
                <w:i/>
                <w:iCs/>
                <w:caps w:val="false"/>
                <w:color w:val="4b5563"/>
                <w:sz w:val="15"/>
                <w:szCs w:val="15"/>
              </w:rPr>
              <w:t xml:space="preserve">Check for a named contact and communication protocol.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External coordination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Disaster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written plan for coverage of internal and external incident types, roles, and surge capacity.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Drill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drill records for at least annual testing and evidence of participation.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Role clarity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staff member what their specific role would be if the disaster plan were activated right now.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External coordination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coordination protocol with external authorities for named contacts and communication procedures.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zdocnteatyyek-as6xe6p">
              <w:r>
                <w:rPr>
                  <w:rFonts w:ascii="Arial" w:cs="Arial" w:eastAsia="Arial" w:hAnsi="Arial"/>
                  <w:b/>
                  <w:bCs/>
                  <w:color w:val="c9a227"/>
                  <w:sz w:val="13"/>
                  <w:szCs w:val="13"/>
                  <w:u w:val="single"/>
                </w:rPr>
                <w:t xml:space="preserve">World Health Organization. Hospital emergency response checklist. Geneva: WHO; 2011.</w:t>
              </w:r>
            </w:hyperlink>
            <w:r>
              <w:rPr>
                <w:rFonts w:ascii="Arial" w:cs="Arial" w:eastAsia="Arial" w:hAnsi="Arial"/>
                <w:b/>
                <w:bCs/>
                <w:i w:val="false"/>
                <w:iCs w:val="false"/>
                <w:caps w:val="false"/>
                <w:color w:val="6b778c"/>
                <w:sz w:val="13"/>
                <w:szCs w:val="13"/>
              </w:rPr>
              <w:t xml:space="preserve">   2. </w:t>
            </w:r>
            <w:hyperlink w:history="1" r:id="rId4ibxnug1zu4mfu8b3user">
              <w:r>
                <w:rPr>
                  <w:rFonts w:ascii="Arial" w:cs="Arial" w:eastAsia="Arial" w:hAnsi="Arial"/>
                  <w:b/>
                  <w:bCs/>
                  <w:color w:val="c9a227"/>
                  <w:sz w:val="13"/>
                  <w:szCs w:val="13"/>
                  <w:u w:val="single"/>
                </w:rPr>
                <w:t xml:space="preserve">World Health Organization. Hospital safety index: guide for evaluators. 2nd ed. Geneva: WHO; 2015.</w:t>
              </w:r>
            </w:hyperlink>
            <w:r>
              <w:rPr>
                <w:rFonts w:ascii="Arial" w:cs="Arial" w:eastAsia="Arial" w:hAnsi="Arial"/>
                <w:b/>
                <w:bCs/>
                <w:i w:val="false"/>
                <w:iCs w:val="false"/>
                <w:caps w:val="false"/>
                <w:color w:val="6b778c"/>
                <w:sz w:val="13"/>
                <w:szCs w:val="13"/>
              </w:rPr>
              <w:t xml:space="preserve">   3. </w:t>
            </w:r>
            <w:hyperlink w:history="1" r:id="rId-yc_xzrpptvdnf0hshaxp">
              <w:r>
                <w:rPr>
                  <w:rFonts w:ascii="Arial" w:cs="Arial" w:eastAsia="Arial" w:hAnsi="Arial"/>
                  <w:b/>
                  <w:bCs/>
                  <w:color w:val="c9a227"/>
                  <w:sz w:val="13"/>
                  <w:szCs w:val="13"/>
                  <w:u w:val="single"/>
                </w:rPr>
                <w:t xml:space="preserve">Pan American Health Organization. Hospitals safe from disasters. Washington DC: PAHO; 2008.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7.3</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disaster response plan that exists only as a document, never tested against the reality of an actual drill, tends to reveal its gaps for the first time during the real event it was meant to prepare for — an unclear role, a bottleneck no one anticipated, a communication channel that does not actually work. Regular drilling is what converts a plan on paper into a response the hospital can actually execute under pressure.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PAHO Hospitals Safe from Disasters — hospitals that regularly drill their disaster response plans demonstrate significantly better actual performance during real mass casualty events than those relying on an untested plan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written plan covers both internal and external mass casualty or disaster scenarios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Specific roles and responsibilities are clearly defined and known to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plan is tested through a drill at least annually, with participation evidence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Surge capacity for beds and staff mobilisation is specifically defined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external coordination arrangement exists with named contacts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written disaster response plan exists, or it addresses only one type of incident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Roles are vague, with an assumption that staff will improvise as needed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plan has never been tested through a drill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surge capacity plan exists beyond general intention to "manage"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coordination arrangement exists with external authorities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plan exists and is detailed, but drills are infrequent or poorly attended.</w:t>
            </w:r>
          </w:p>
          <w:p>
            <w:pPr>
              <w:spacing w:after="20" w:before="0"/>
            </w:pPr>
            <w:r>
              <w:rPr>
                <w:rFonts w:ascii="Arial" w:cs="Arial" w:eastAsia="Arial" w:hAnsi="Arial"/>
                <w:b w:val="false"/>
                <w:bCs w:val="false"/>
                <w:i/>
                <w:iCs/>
                <w:caps w:val="false"/>
                <w:color w:val="4b5563"/>
                <w:sz w:val="15"/>
                <w:szCs w:val="15"/>
              </w:rPr>
              <w:t xml:space="preserve">A comprehensive written plan has been developed, but the most recent drill was years ago, or participation was limited to a small group of staff.</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Roles are defined for clinical staff but not for support and administrative functions.</w:t>
            </w:r>
          </w:p>
          <w:p>
            <w:pPr>
              <w:spacing w:after="20" w:before="0"/>
            </w:pPr>
            <w:r>
              <w:rPr>
                <w:rFonts w:ascii="Arial" w:cs="Arial" w:eastAsia="Arial" w:hAnsi="Arial"/>
                <w:b w:val="false"/>
                <w:bCs w:val="false"/>
                <w:i/>
                <w:iCs/>
                <w:caps w:val="false"/>
                <w:color w:val="4b5563"/>
                <w:sz w:val="15"/>
                <w:szCs w:val="15"/>
              </w:rPr>
              <w:t xml:space="preserve">Doctors and nurses have clear disaster roles; the equally critical logistics, security, and communication functions are less well defined.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External coordination exists on paper but hasn’t been tested with the actual external partner.</w:t>
            </w:r>
          </w:p>
          <w:p>
            <w:pPr>
              <w:spacing w:after="36" w:before="0"/>
            </w:pPr>
            <w:r>
              <w:rPr>
                <w:rFonts w:ascii="Arial" w:cs="Arial" w:eastAsia="Arial" w:hAnsi="Arial"/>
                <w:b w:val="false"/>
                <w:bCs w:val="false"/>
                <w:i/>
                <w:iCs/>
                <w:caps w:val="false"/>
                <w:color w:val="4b5563"/>
                <w:sz w:val="15"/>
                <w:szCs w:val="15"/>
              </w:rPr>
              <w:t xml:space="preserve">A protocol names emergency services or ministry contacts, but the arrangement has never been exercised jointly to confirm it works in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or draft the disaster response plan for coverage of internal and external scenarios.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Define specific roles and responsibilities across all staff categories, not only clinical.</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Schedule and conduct a drill if none has occurred in the past year.</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Define specific surge capacity measures and confirm external coordination arrangements.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Conduct drills at least annually; review and update the plan based on drill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random staff member what their specific role would be.  </w:t>
            </w:r>
            <w:r>
              <w:rPr>
                <w:rFonts w:ascii="Arial" w:cs="Arial" w:eastAsia="Arial" w:hAnsi="Arial"/>
                <w:b w:val="false"/>
                <w:bCs w:val="false"/>
                <w:i w:val="false"/>
                <w:iCs w:val="false"/>
                <w:caps w:val="false"/>
                <w:color w:val="374151"/>
                <w:sz w:val="16"/>
                <w:szCs w:val="16"/>
              </w:rPr>
              <w:t xml:space="preserve">A confident, specific answer indicates the plan is genuinely known; hesitation reveals a plan that exists mainly on paper.</w:t>
            </w:r>
          </w:p>
          <w:p>
            <w:pPr>
              <w:spacing w:after="16" w:before="0"/>
            </w:pPr>
            <w:r>
              <w:rPr>
                <w:rFonts w:ascii="Arial" w:cs="Arial" w:eastAsia="Arial" w:hAnsi="Arial"/>
                <w:b/>
                <w:bCs/>
                <w:i w:val="false"/>
                <w:iCs w:val="false"/>
                <w:caps w:val="false"/>
                <w:color w:val="b91c1c"/>
                <w:sz w:val="15"/>
                <w:szCs w:val="15"/>
              </w:rPr>
              <w:t xml:space="preserve">Ask when the last drill actually happened, and who was involved.  </w:t>
            </w:r>
            <w:r>
              <w:rPr>
                <w:rFonts w:ascii="Arial" w:cs="Arial" w:eastAsia="Arial" w:hAnsi="Arial"/>
                <w:b w:val="false"/>
                <w:bCs w:val="false"/>
                <w:i w:val="false"/>
                <w:iCs w:val="false"/>
                <w:caps w:val="false"/>
                <w:color w:val="374151"/>
                <w:sz w:val="16"/>
                <w:szCs w:val="16"/>
              </w:rPr>
              <w:t xml:space="preserve">A recent, well-attended drill is a much stronger indicator of readiness than the plan document alone.</w:t>
            </w:r>
          </w:p>
          <w:p>
            <w:pPr>
              <w:spacing w:after="36" w:before="0"/>
            </w:pPr>
            <w:r>
              <w:rPr>
                <w:rFonts w:ascii="Arial" w:cs="Arial" w:eastAsia="Arial" w:hAnsi="Arial"/>
                <w:b/>
                <w:bCs/>
                <w:i w:val="false"/>
                <w:iCs w:val="false"/>
                <w:caps w:val="false"/>
                <w:color w:val="b91c1c"/>
                <w:sz w:val="15"/>
                <w:szCs w:val="15"/>
              </w:rPr>
              <w:t xml:space="preserve">Ask about a non-clinical role — logistics, security, or communications.  </w:t>
            </w:r>
            <w:r>
              <w:rPr>
                <w:rFonts w:ascii="Arial" w:cs="Arial" w:eastAsia="Arial" w:hAnsi="Arial"/>
                <w:b w:val="false"/>
                <w:bCs w:val="false"/>
                <w:i w:val="false"/>
                <w:iCs w:val="false"/>
                <w:caps w:val="false"/>
                <w:color w:val="374151"/>
                <w:sz w:val="16"/>
                <w:szCs w:val="16"/>
              </w:rPr>
              <w:t xml:space="preserve">Disaster plans are often strongest for clinical roles and weakest for the support functions a real response also depends 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gchlmra7zjdjducdnjkdh">
              <w:r>
                <w:rPr>
                  <w:rFonts w:ascii="Arial" w:cs="Arial" w:eastAsia="Arial" w:hAnsi="Arial"/>
                  <w:b/>
                  <w:bCs/>
                  <w:color w:val="c9a227"/>
                  <w:sz w:val="13"/>
                  <w:szCs w:val="13"/>
                  <w:u w:val="single"/>
                </w:rPr>
                <w:t xml:space="preserve">academy.gmj.ge/ch7-3-mass-casualty-disaster-response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7.4</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Critical Care Admission and Discharge Criteria</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Critical Care Admission and Discharge Criteria</w:t>
            </w:r>
          </w:p>
          <w:p>
            <w:pPr>
              <w:spacing w:after="36" w:before="0"/>
            </w:pPr>
            <w:r>
              <w:rPr>
                <w:rFonts w:ascii="Arial" w:cs="Arial" w:eastAsia="Arial" w:hAnsi="Arial"/>
                <w:b w:val="false"/>
                <w:bCs w:val="false"/>
                <w:i w:val="false"/>
                <w:iCs w:val="false"/>
                <w:caps w:val="false"/>
                <w:color w:val="4b5563"/>
                <w:sz w:val="15"/>
                <w:szCs w:val="15"/>
              </w:rPr>
              <w:t xml:space="preserve">The hospital has defined, objective criteria for admission to and discharge from critical care, applied consistently regardless of bed availability pressure.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there written, objective criteria for critical care admission?</w:t>
            </w:r>
          </w:p>
          <w:p>
            <w:pPr>
              <w:spacing w:after="7" w:before="0"/>
            </w:pPr>
            <w:r>
              <w:rPr>
                <w:rFonts w:ascii="Arial" w:cs="Arial" w:eastAsia="Arial" w:hAnsi="Arial"/>
                <w:b w:val="false"/>
                <w:bCs w:val="false"/>
                <w:i/>
                <w:iCs/>
                <w:caps w:val="false"/>
                <w:color w:val="4b5563"/>
                <w:sz w:val="15"/>
                <w:szCs w:val="15"/>
              </w:rPr>
              <w:t xml:space="preserve">Check criteria are specific clinical parameters, not left to individual judgement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Admission criteria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there equally defined, objective criteria for critical care discharge?</w:t>
            </w:r>
          </w:p>
          <w:p>
            <w:pPr>
              <w:spacing w:after="7" w:before="0"/>
            </w:pPr>
            <w:r>
              <w:rPr>
                <w:rFonts w:ascii="Arial" w:cs="Arial" w:eastAsia="Arial" w:hAnsi="Arial"/>
                <w:b w:val="false"/>
                <w:bCs w:val="false"/>
                <w:i/>
                <w:iCs/>
                <w:caps w:val="false"/>
                <w:color w:val="4b5563"/>
                <w:sz w:val="15"/>
                <w:szCs w:val="15"/>
              </w:rPr>
              <w:t xml:space="preserve">Check discharge criteria are as specific as admission criteria.</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Discharge criteria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admission and discharge decisions documented against the criteria for a sample of cases?</w:t>
            </w:r>
          </w:p>
          <w:p>
            <w:pPr>
              <w:spacing w:after="7" w:before="0"/>
            </w:pPr>
            <w:r>
              <w:rPr>
                <w:rFonts w:ascii="Arial" w:cs="Arial" w:eastAsia="Arial" w:hAnsi="Arial"/>
                <w:b w:val="false"/>
                <w:bCs w:val="false"/>
                <w:i/>
                <w:iCs/>
                <w:caps w:val="false"/>
                <w:color w:val="4b5563"/>
                <w:sz w:val="15"/>
                <w:szCs w:val="15"/>
              </w:rPr>
              <w:t xml:space="preserve">Spot-check five cases for documented justification against the criteria.</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admission/discharge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when critical care demand exceeds capacity?</w:t>
            </w:r>
          </w:p>
          <w:p>
            <w:pPr>
              <w:spacing w:after="36" w:before="0"/>
            </w:pPr>
            <w:r>
              <w:rPr>
                <w:rFonts w:ascii="Arial" w:cs="Arial" w:eastAsia="Arial" w:hAnsi="Arial"/>
                <w:b w:val="false"/>
                <w:bCs w:val="false"/>
                <w:i/>
                <w:iCs/>
                <w:caps w:val="false"/>
                <w:color w:val="4b5563"/>
                <w:sz w:val="15"/>
                <w:szCs w:val="15"/>
              </w:rPr>
              <w:t xml:space="preserve">Ask how a bed-availability conflict is resolved without compromising the criteria.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declined or delayed critical care admissions tracked and reviewed?</w:t>
            </w:r>
          </w:p>
          <w:p>
            <w:pPr>
              <w:spacing w:after="7" w:before="0"/>
            </w:pPr>
            <w:r>
              <w:rPr>
                <w:rFonts w:ascii="Arial" w:cs="Arial" w:eastAsia="Arial" w:hAnsi="Arial"/>
                <w:b w:val="false"/>
                <w:bCs w:val="false"/>
                <w:i/>
                <w:iCs/>
                <w:caps w:val="false"/>
                <w:color w:val="4b5563"/>
                <w:sz w:val="15"/>
                <w:szCs w:val="15"/>
              </w:rPr>
              <w:t xml:space="preserve">Check for a log of declined or delayed admissions and evidence of review.</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Declined admission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Admission and discharge criteria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written criteria for specificity and objectivity for both admission and discharge decisions.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Decision documentation sample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cases for documented justification against the stated criteria.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Capacity pressure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handles a critical care bed shortage without compromising admission criteria.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Declined admission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log for declined or delayed admissions and evidence they are reviewed for patterns.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h6jc-ppwevtmzd3mlvlpf">
              <w:r>
                <w:rPr>
                  <w:rFonts w:ascii="Arial" w:cs="Arial" w:eastAsia="Arial" w:hAnsi="Arial"/>
                  <w:b/>
                  <w:bCs/>
                  <w:color w:val="c9a227"/>
                  <w:sz w:val="13"/>
                  <w:szCs w:val="13"/>
                  <w:u w:val="single"/>
                </w:rPr>
                <w:t xml:space="preserve">World Health Organization. Basic emergency care: approach to the acutely ill and injured. Geneva: WHO; 2018.</w:t>
              </w:r>
            </w:hyperlink>
            <w:r>
              <w:rPr>
                <w:rFonts w:ascii="Arial" w:cs="Arial" w:eastAsia="Arial" w:hAnsi="Arial"/>
                <w:b/>
                <w:bCs/>
                <w:i w:val="false"/>
                <w:iCs w:val="false"/>
                <w:caps w:val="false"/>
                <w:color w:val="6b778c"/>
                <w:sz w:val="13"/>
                <w:szCs w:val="13"/>
              </w:rPr>
              <w:t xml:space="preserve">   2. </w:t>
            </w:r>
            <w:hyperlink w:history="1" r:id="rIdrpcm30ywe0-usaarm0yhw">
              <w:r>
                <w:rPr>
                  <w:rFonts w:ascii="Arial" w:cs="Arial" w:eastAsia="Arial" w:hAnsi="Arial"/>
                  <w:b/>
                  <w:bCs/>
                  <w:color w:val="c9a227"/>
                  <w:sz w:val="13"/>
                  <w:szCs w:val="13"/>
                  <w:u w:val="single"/>
                </w:rPr>
                <w:t xml:space="preserve">Society of Critical Care Medicine. Guidelines for ICU admission, discharge, and triage. Crit Care Med. 2016;44(8):1553-1602.</w:t>
              </w:r>
            </w:hyperlink>
            <w:r>
              <w:rPr>
                <w:rFonts w:ascii="Arial" w:cs="Arial" w:eastAsia="Arial" w:hAnsi="Arial"/>
                <w:b/>
                <w:bCs/>
                <w:i w:val="false"/>
                <w:iCs w:val="false"/>
                <w:caps w:val="false"/>
                <w:color w:val="6b778c"/>
                <w:sz w:val="13"/>
                <w:szCs w:val="13"/>
              </w:rPr>
              <w:t xml:space="preserve">   3. </w:t>
            </w:r>
            <w:hyperlink w:history="1" r:id="rIdpu6ykophrdffdflw_tpuk">
              <w:r>
                <w:rPr>
                  <w:rFonts w:ascii="Arial" w:cs="Arial" w:eastAsia="Arial" w:hAnsi="Arial"/>
                  <w:b/>
                  <w:bCs/>
                  <w:color w:val="c9a227"/>
                  <w:sz w:val="13"/>
                  <w:szCs w:val="13"/>
                  <w:u w:val="single"/>
                </w:rPr>
                <w:t xml:space="preserve">Nates JL, Nunnally M, Kleinpell R, et al. ICU admission, discharge, and triage guidelines. Crit Care Med. 2016;44(8):1553-1602.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7.4</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Without objective admission and discharge criteria, critical care decisions can drift toward whoever advocates most forcefully for a bed, or toward premature discharge when the unit is under pressure, rather than genuine clinical need — both patterns produce worse outcomes, either through delayed critical care for a patient who needed it or through a patient discharged before they were ready. Defined, consistently applied criteria protect the integrity of these decisions even under the very real pressure of limited beds.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SCCM 2016 ICU triage guidelines — structured, criteria-based admission and discharge decision-making is associated with more equitable resource allocation and better patient outcomes than decisions made under ad hoc pressure.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Objective, specific admission criteria are written and consistently applied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Equally specific, objective discharge criteria exist and are consistently applied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Admission and discharge decisions are documented against the stated criteria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process governs decisions when demand exceeds capacity, without compromising the criteria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Declined or delayed admissions are tracked and reviewed for patterns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objective admission criteria exist; decisions rely on individual judgement or advocacy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Discharge criteria are vague or undefined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Decisions are not documented against any stated standard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Bed pressure leads to inconsistent application of admission criteria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Declined or delayed admissions are not tracked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Admission criteria are well defined but discharge criteria are comparatively vague.</w:t>
            </w:r>
          </w:p>
          <w:p>
            <w:pPr>
              <w:spacing w:after="20" w:before="0"/>
            </w:pPr>
            <w:r>
              <w:rPr>
                <w:rFonts w:ascii="Arial" w:cs="Arial" w:eastAsia="Arial" w:hAnsi="Arial"/>
                <w:b w:val="false"/>
                <w:bCs w:val="false"/>
                <w:i/>
                <w:iCs/>
                <w:caps w:val="false"/>
                <w:color w:val="4b5563"/>
                <w:sz w:val="15"/>
                <w:szCs w:val="15"/>
              </w:rPr>
              <w:t xml:space="preserve">A clear, evidence-based threshold exists for admission; the equivalent standard for when a patient is ready to leave critical care is much less specific.</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Criteria exist but are sometimes bent under bed pressure.</w:t>
            </w:r>
          </w:p>
          <w:p>
            <w:pPr>
              <w:spacing w:after="20" w:before="0"/>
            </w:pPr>
            <w:r>
              <w:rPr>
                <w:rFonts w:ascii="Arial" w:cs="Arial" w:eastAsia="Arial" w:hAnsi="Arial"/>
                <w:b w:val="false"/>
                <w:bCs w:val="false"/>
                <w:i/>
                <w:iCs/>
                <w:caps w:val="false"/>
                <w:color w:val="4b5563"/>
                <w:sz w:val="15"/>
                <w:szCs w:val="15"/>
              </w:rPr>
              <w:t xml:space="preserve">The written standard is sound, but staff describe situations where a genuinely borderline case was admitted or discharged based on bed availability rather than the criteria alone.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Declined admissions happen but are not systematically tracked.</w:t>
            </w:r>
          </w:p>
          <w:p>
            <w:pPr>
              <w:spacing w:after="36" w:before="0"/>
            </w:pPr>
            <w:r>
              <w:rPr>
                <w:rFonts w:ascii="Arial" w:cs="Arial" w:eastAsia="Arial" w:hAnsi="Arial"/>
                <w:b w:val="false"/>
                <w:bCs w:val="false"/>
                <w:i/>
                <w:iCs/>
                <w:caps w:val="false"/>
                <w:color w:val="4b5563"/>
                <w:sz w:val="15"/>
                <w:szCs w:val="15"/>
              </w:rPr>
              <w:t xml:space="preserve">Individual cases of delayed or declined critical care admission are remembered informally by staff, but no log or review process captures the pattern.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draft objective, specific admission criteria for critical care.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draft equally specific discharge criteria.</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a sample of recent admission and discharge decisions against the stated criteria.</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tracking log for declined or delayed admissions.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declined admission trends and criteria application regularly, especially during periods of high demand.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discharge criteria specifically, not just admission criteria.  </w:t>
            </w:r>
            <w:r>
              <w:rPr>
                <w:rFonts w:ascii="Arial" w:cs="Arial" w:eastAsia="Arial" w:hAnsi="Arial"/>
                <w:b w:val="false"/>
                <w:bCs w:val="false"/>
                <w:i w:val="false"/>
                <w:iCs w:val="false"/>
                <w:caps w:val="false"/>
                <w:color w:val="374151"/>
                <w:sz w:val="16"/>
                <w:szCs w:val="16"/>
              </w:rPr>
              <w:t xml:space="preserve">Discharge standards are often less developed and less consistently applied than admission standards.</w:t>
            </w:r>
          </w:p>
          <w:p>
            <w:pPr>
              <w:spacing w:after="16" w:before="0"/>
            </w:pPr>
            <w:r>
              <w:rPr>
                <w:rFonts w:ascii="Arial" w:cs="Arial" w:eastAsia="Arial" w:hAnsi="Arial"/>
                <w:b/>
                <w:bCs/>
                <w:i w:val="false"/>
                <w:iCs w:val="false"/>
                <w:caps w:val="false"/>
                <w:color w:val="b91c1c"/>
                <w:sz w:val="15"/>
                <w:szCs w:val="15"/>
              </w:rPr>
              <w:t xml:space="preserve">Ask what happens when two patients are competing for one bed.  </w:t>
            </w:r>
            <w:r>
              <w:rPr>
                <w:rFonts w:ascii="Arial" w:cs="Arial" w:eastAsia="Arial" w:hAnsi="Arial"/>
                <w:b w:val="false"/>
                <w:bCs w:val="false"/>
                <w:i w:val="false"/>
                <w:iCs w:val="false"/>
                <w:caps w:val="false"/>
                <w:color w:val="374151"/>
                <w:sz w:val="16"/>
                <w:szCs w:val="16"/>
              </w:rPr>
              <w:t xml:space="preserve">A specific, criteria-based answer indicates the standard genuinely governs decisions under pressure, rather than being set aside when it matters most.</w:t>
            </w:r>
          </w:p>
          <w:p>
            <w:pPr>
              <w:spacing w:after="36" w:before="0"/>
            </w:pPr>
            <w:r>
              <w:rPr>
                <w:rFonts w:ascii="Arial" w:cs="Arial" w:eastAsia="Arial" w:hAnsi="Arial"/>
                <w:b/>
                <w:bCs/>
                <w:i w:val="false"/>
                <w:iCs w:val="false"/>
                <w:caps w:val="false"/>
                <w:color w:val="b91c1c"/>
                <w:sz w:val="15"/>
                <w:szCs w:val="15"/>
              </w:rPr>
              <w:t xml:space="preserve">Check whether declined admissions are logged, not just remembered.  </w:t>
            </w:r>
            <w:r>
              <w:rPr>
                <w:rFonts w:ascii="Arial" w:cs="Arial" w:eastAsia="Arial" w:hAnsi="Arial"/>
                <w:b w:val="false"/>
                <w:bCs w:val="false"/>
                <w:i w:val="false"/>
                <w:iCs w:val="false"/>
                <w:caps w:val="false"/>
                <w:color w:val="374151"/>
                <w:sz w:val="16"/>
                <w:szCs w:val="16"/>
              </w:rPr>
              <w:t xml:space="preserve">A systematic log reveals patterns that individual staff recollection alone would miss.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di3qnu_iikc-mrogqwkpj">
              <w:r>
                <w:rPr>
                  <w:rFonts w:ascii="Arial" w:cs="Arial" w:eastAsia="Arial" w:hAnsi="Arial"/>
                  <w:b/>
                  <w:bCs/>
                  <w:color w:val="c9a227"/>
                  <w:sz w:val="13"/>
                  <w:szCs w:val="13"/>
                  <w:u w:val="single"/>
                </w:rPr>
                <w:t xml:space="preserve">academy.gmj.ge/ch7-4-critical-care-admission-discharge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7.5</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Sepsis Recognition and Management Protocol</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Sepsis Recognition and Management Protocol</w:t>
            </w:r>
          </w:p>
          <w:p>
            <w:pPr>
              <w:spacing w:after="36" w:before="0"/>
            </w:pPr>
            <w:r>
              <w:rPr>
                <w:rFonts w:ascii="Arial" w:cs="Arial" w:eastAsia="Arial" w:hAnsi="Arial"/>
                <w:b w:val="false"/>
                <w:bCs w:val="false"/>
                <w:i w:val="false"/>
                <w:iCs w:val="false"/>
                <w:caps w:val="false"/>
                <w:color w:val="4b5563"/>
                <w:sz w:val="15"/>
                <w:szCs w:val="15"/>
              </w:rPr>
              <w:t xml:space="preserve">The hospital uses a structured sepsis screening tool and time-bound management protocol (the sepsis bundle), applied consistently across emergency, ward, and critical care settings.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structured sepsis screening tool used to identify at-risk patients?</w:t>
            </w:r>
          </w:p>
          <w:p>
            <w:pPr>
              <w:spacing w:after="7" w:before="0"/>
            </w:pPr>
            <w:r>
              <w:rPr>
                <w:rFonts w:ascii="Arial" w:cs="Arial" w:eastAsia="Arial" w:hAnsi="Arial"/>
                <w:b w:val="false"/>
                <w:bCs w:val="false"/>
                <w:i/>
                <w:iCs/>
                <w:caps w:val="false"/>
                <w:color w:val="4b5563"/>
                <w:sz w:val="15"/>
                <w:szCs w:val="15"/>
              </w:rPr>
              <w:t xml:space="preserve">Check the tool is standardised and used at defined points, not applied inconsistently.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Sepsis screening tool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time-bound sepsis management bundle, including blood cultures, antibiotics, and fluid resuscitation within defined timeframes?</w:t>
            </w:r>
          </w:p>
          <w:p>
            <w:pPr>
              <w:spacing w:after="7" w:before="0"/>
            </w:pPr>
            <w:r>
              <w:rPr>
                <w:rFonts w:ascii="Arial" w:cs="Arial" w:eastAsia="Arial" w:hAnsi="Arial"/>
                <w:b w:val="false"/>
                <w:bCs w:val="false"/>
                <w:i/>
                <w:iCs/>
                <w:caps w:val="false"/>
                <w:color w:val="4b5563"/>
                <w:sz w:val="15"/>
                <w:szCs w:val="15"/>
              </w:rPr>
              <w:t xml:space="preserve">Check specific time targets, such as antibiotics within one hour of recognition.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Sepsis bundle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bundle compliance tracked for a sample of confirmed sepsis cases?</w:t>
            </w:r>
          </w:p>
          <w:p>
            <w:pPr>
              <w:spacing w:after="7" w:before="0"/>
            </w:pPr>
            <w:r>
              <w:rPr>
                <w:rFonts w:ascii="Arial" w:cs="Arial" w:eastAsia="Arial" w:hAnsi="Arial"/>
                <w:b w:val="false"/>
                <w:bCs w:val="false"/>
                <w:i/>
                <w:iCs/>
                <w:caps w:val="false"/>
                <w:color w:val="4b5563"/>
                <w:sz w:val="15"/>
                <w:szCs w:val="15"/>
              </w:rPr>
              <w:t xml:space="preserve">Check documented timing against the bundle targets for real cases.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bundle compliance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sepsis protocol applied consistently across emergency, ward, and critical care settings?</w:t>
            </w:r>
          </w:p>
          <w:p>
            <w:pPr>
              <w:spacing w:after="36" w:before="0"/>
            </w:pPr>
            <w:r>
              <w:rPr>
                <w:rFonts w:ascii="Arial" w:cs="Arial" w:eastAsia="Arial" w:hAnsi="Arial"/>
                <w:b w:val="false"/>
                <w:bCs w:val="false"/>
                <w:i/>
                <w:iCs/>
                <w:caps w:val="false"/>
                <w:color w:val="4b5563"/>
                <w:sz w:val="15"/>
                <w:szCs w:val="15"/>
              </w:rPr>
              <w:t xml:space="preserve">Check for a single, hospital-wide protocol rather than separate departmental approaches.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sepsis outcomes, including mortality, tracked and reviewed?</w:t>
            </w:r>
          </w:p>
          <w:p>
            <w:pPr>
              <w:spacing w:after="7" w:before="0"/>
            </w:pPr>
            <w:r>
              <w:rPr>
                <w:rFonts w:ascii="Arial" w:cs="Arial" w:eastAsia="Arial" w:hAnsi="Arial"/>
                <w:b w:val="false"/>
                <w:bCs w:val="false"/>
                <w:i/>
                <w:iCs/>
                <w:caps w:val="false"/>
                <w:color w:val="4b5563"/>
                <w:sz w:val="15"/>
                <w:szCs w:val="15"/>
              </w:rPr>
              <w:t xml:space="preserve">Check for aggregate sepsis outcome data over time.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Sepsis outcome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Screening tool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sepsis screening tool for standardisation and defined application points.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Bundle compliance audit</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documented timing for a sample of confirmed sepsis cases against the bundle’s time targets.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Cross-setting consistency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whether the same sepsis protocol applies in the emergency department, general wards, and critical care.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Sepsis outcome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aggregate sepsis outcome data, including mortality, tracked over time.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a6ikuajrz_y6zig9ml6o6">
              <w:r>
                <w:rPr>
                  <w:rFonts w:ascii="Arial" w:cs="Arial" w:eastAsia="Arial" w:hAnsi="Arial"/>
                  <w:b/>
                  <w:bCs/>
                  <w:color w:val="c9a227"/>
                  <w:sz w:val="13"/>
                  <w:szCs w:val="13"/>
                  <w:u w:val="single"/>
                </w:rPr>
                <w:t xml:space="preserve">World Health Organization. Improving the prevention, diagnosis and clinical management of sepsis. Geneva: WHO; 2017.</w:t>
              </w:r>
            </w:hyperlink>
            <w:r>
              <w:rPr>
                <w:rFonts w:ascii="Arial" w:cs="Arial" w:eastAsia="Arial" w:hAnsi="Arial"/>
                <w:b/>
                <w:bCs/>
                <w:i w:val="false"/>
                <w:iCs w:val="false"/>
                <w:caps w:val="false"/>
                <w:color w:val="6b778c"/>
                <w:sz w:val="13"/>
                <w:szCs w:val="13"/>
              </w:rPr>
              <w:t xml:space="preserve">   2. </w:t>
            </w:r>
            <w:hyperlink w:history="1" r:id="rIdb3eixqko_bu822r-cdejt">
              <w:r>
                <w:rPr>
                  <w:rFonts w:ascii="Arial" w:cs="Arial" w:eastAsia="Arial" w:hAnsi="Arial"/>
                  <w:b/>
                  <w:bCs/>
                  <w:color w:val="c9a227"/>
                  <w:sz w:val="13"/>
                  <w:szCs w:val="13"/>
                  <w:u w:val="single"/>
                </w:rPr>
                <w:t xml:space="preserve">Rhodes A, Evans LE, Alhazzani W, et al. Surviving Sepsis Campaign: International Guidelines for Management of Sepsis and Septic Shock 2016. Intensive Care Med. 2017;43(3):304-377.</w:t>
              </w:r>
            </w:hyperlink>
            <w:r>
              <w:rPr>
                <w:rFonts w:ascii="Arial" w:cs="Arial" w:eastAsia="Arial" w:hAnsi="Arial"/>
                <w:b/>
                <w:bCs/>
                <w:i w:val="false"/>
                <w:iCs w:val="false"/>
                <w:caps w:val="false"/>
                <w:color w:val="6b778c"/>
                <w:sz w:val="13"/>
                <w:szCs w:val="13"/>
              </w:rPr>
              <w:t xml:space="preserve">   3. </w:t>
            </w:r>
            <w:hyperlink w:history="1" r:id="rIdbwlt4nceft-dqlf4y0ewe">
              <w:r>
                <w:rPr>
                  <w:rFonts w:ascii="Arial" w:cs="Arial" w:eastAsia="Arial" w:hAnsi="Arial"/>
                  <w:b/>
                  <w:bCs/>
                  <w:color w:val="c9a227"/>
                  <w:sz w:val="13"/>
                  <w:szCs w:val="13"/>
                  <w:u w:val="single"/>
                </w:rPr>
                <w:t xml:space="preserve">Seymour CW, Gesten F, Prescott HC, et al. Time to treatment and mortality during mandated emergency care for sepsis. N Engl J Med. 2017;376(23):2235-2244.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7.5</w:t>
            </w:r>
            <w:r>
              <w:rPr>
                <w:rFonts w:ascii="Arial" w:cs="Arial" w:eastAsia="Arial" w:hAnsi="Arial"/>
                <w:b w:val="false"/>
                <w:bCs w:val="false"/>
                <w:i/>
                <w:iCs/>
                <w:caps w:val="false"/>
                <w:color w:val="8fa8c8"/>
                <w:sz w:val="10"/>
                <w:szCs w:val="10"/>
              </w:rPr>
              <w:t xml:space="preserve">  ·  Level 1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Sepsis mortality rises measurably with every hour that appropriate treatment is delayed, which makes it one of the few clinical conditions where the speed of a structured response is as important as its clinical accuracy. A standardised screening tool catches at-risk patients before they are obviously critical, and a time-bound bundle — blood cultures, antibiotics, and fluids within defined windows — converts recognition into action fast enough to matter.</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Seymour et al. 2017 — each hour of delay in completing the sepsis treatment bundle was associated with an increased risk of in-hospital mortality, demonstrating that timeliness itself is a critical clinical variable.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sepsis screening tool is used consistently to identify at-risk patients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time-bound management bundle with specific targets is followed for confirmed cases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Bundle compliance timing is tracked and reviewed for real cases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same sepsis protocol applies consistently across emergency, ward, and critical care settings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Sepsis outcomes, including mortality, are tracked and reviewed over time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screening tool is used; sepsis recognition relies on individual clinical suspicion alone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time-bound bundle exists, or targets are vague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Bundle compliance timing is not tracked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Different departments follow inconsistent or entirely separate approaches to sepsis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Sepsis outcomes are not tracked or reviewed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Screening is used in the emergency department but not consistently on general wards.</w:t>
            </w:r>
          </w:p>
          <w:p>
            <w:pPr>
              <w:spacing w:after="20" w:before="0"/>
            </w:pPr>
            <w:r>
              <w:rPr>
                <w:rFonts w:ascii="Arial" w:cs="Arial" w:eastAsia="Arial" w:hAnsi="Arial"/>
                <w:b w:val="false"/>
                <w:bCs w:val="false"/>
                <w:i/>
                <w:iCs/>
                <w:caps w:val="false"/>
                <w:color w:val="4b5563"/>
                <w:sz w:val="15"/>
                <w:szCs w:val="15"/>
              </w:rPr>
              <w:t xml:space="preserve">Sepsis screening is embedded in emergency department triage, but ward-based deterioration into sepsis is less reliably caught by the same structured process.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The bundle exists but timing targets are frequently missed.</w:t>
            </w:r>
          </w:p>
          <w:p>
            <w:pPr>
              <w:spacing w:after="20" w:before="0"/>
            </w:pPr>
            <w:r>
              <w:rPr>
                <w:rFonts w:ascii="Arial" w:cs="Arial" w:eastAsia="Arial" w:hAnsi="Arial"/>
                <w:b w:val="false"/>
                <w:bCs w:val="false"/>
                <w:i/>
                <w:iCs/>
                <w:caps w:val="false"/>
                <w:color w:val="4b5563"/>
                <w:sz w:val="15"/>
                <w:szCs w:val="15"/>
              </w:rPr>
              <w:t xml:space="preserve">Staff know and generally follow the bundle steps, but the specific time windows, such as antibiotics within one hour, are often exceeded in practice.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Outcome data is collected but not linked back to bundle compliance.</w:t>
            </w:r>
          </w:p>
          <w:p>
            <w:pPr>
              <w:spacing w:after="36" w:before="0"/>
            </w:pPr>
            <w:r>
              <w:rPr>
                <w:rFonts w:ascii="Arial" w:cs="Arial" w:eastAsia="Arial" w:hAnsi="Arial"/>
                <w:b w:val="false"/>
                <w:bCs w:val="false"/>
                <w:i/>
                <w:iCs/>
                <w:caps w:val="false"/>
                <w:color w:val="4b5563"/>
                <w:sz w:val="15"/>
                <w:szCs w:val="15"/>
              </w:rPr>
              <w:t xml:space="preserve">Sepsis mortality is tracked, but the hospital does not routinely examine whether cases with poorer outcomes also had slower bundle compliance.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adopt a structured sepsis screening tool for use hospital-wide.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establish a time-bound sepsis management bundle with specific targets.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bundle compliance timing for a sample of recent confirmed sepsis cases.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the same protocol is applied consistently in emergency, ward, and critical care settings.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sepsis outcomes and bundle compliance together; review trends and reinforce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real bundle compliance timing, not just the target.  </w:t>
            </w:r>
            <w:r>
              <w:rPr>
                <w:rFonts w:ascii="Arial" w:cs="Arial" w:eastAsia="Arial" w:hAnsi="Arial"/>
                <w:b w:val="false"/>
                <w:bCs w:val="false"/>
                <w:i w:val="false"/>
                <w:iCs w:val="false"/>
                <w:caps w:val="false"/>
                <w:color w:val="374151"/>
                <w:sz w:val="16"/>
                <w:szCs w:val="16"/>
              </w:rPr>
              <w:t xml:space="preserve">Comparing actual documented times against the stated targets reveals whether the bundle functions in practice, not only in policy.</w:t>
            </w:r>
          </w:p>
          <w:p>
            <w:pPr>
              <w:spacing w:after="16" w:before="0"/>
            </w:pPr>
            <w:r>
              <w:rPr>
                <w:rFonts w:ascii="Arial" w:cs="Arial" w:eastAsia="Arial" w:hAnsi="Arial"/>
                <w:b/>
                <w:bCs/>
                <w:i w:val="false"/>
                <w:iCs w:val="false"/>
                <w:caps w:val="false"/>
                <w:color w:val="b91c1c"/>
                <w:sz w:val="15"/>
                <w:szCs w:val="15"/>
              </w:rPr>
              <w:t xml:space="preserve">Check whether ward staff use the same screening tool as the emergency department.  </w:t>
            </w:r>
            <w:r>
              <w:rPr>
                <w:rFonts w:ascii="Arial" w:cs="Arial" w:eastAsia="Arial" w:hAnsi="Arial"/>
                <w:b w:val="false"/>
                <w:bCs w:val="false"/>
                <w:i w:val="false"/>
                <w:iCs w:val="false"/>
                <w:caps w:val="false"/>
                <w:color w:val="374151"/>
                <w:sz w:val="16"/>
                <w:szCs w:val="16"/>
              </w:rPr>
              <w:t xml:space="preserve">Sepsis recognition on general wards, where deterioration can be more gradual and less obvious, is often less consistent than in emergency settings.</w:t>
            </w:r>
          </w:p>
          <w:p>
            <w:pPr>
              <w:spacing w:after="36" w:before="0"/>
            </w:pPr>
            <w:r>
              <w:rPr>
                <w:rFonts w:ascii="Arial" w:cs="Arial" w:eastAsia="Arial" w:hAnsi="Arial"/>
                <w:b/>
                <w:bCs/>
                <w:i w:val="false"/>
                <w:iCs w:val="false"/>
                <w:caps w:val="false"/>
                <w:color w:val="b91c1c"/>
                <w:sz w:val="15"/>
                <w:szCs w:val="15"/>
              </w:rPr>
              <w:t xml:space="preserve">Ask whether outcome and compliance data are ever examined together.  </w:t>
            </w:r>
            <w:r>
              <w:rPr>
                <w:rFonts w:ascii="Arial" w:cs="Arial" w:eastAsia="Arial" w:hAnsi="Arial"/>
                <w:b w:val="false"/>
                <w:bCs w:val="false"/>
                <w:i w:val="false"/>
                <w:iCs w:val="false"/>
                <w:caps w:val="false"/>
                <w:color w:val="374151"/>
                <w:sz w:val="16"/>
                <w:szCs w:val="16"/>
              </w:rPr>
              <w:t xml:space="preserve">This connection is what allows a hospital to see whether timeliness is actually driving its outcomes, not just to track each in isolation.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dknfpdrnnertx3r6amcy">
              <w:r>
                <w:rPr>
                  <w:rFonts w:ascii="Arial" w:cs="Arial" w:eastAsia="Arial" w:hAnsi="Arial"/>
                  <w:b/>
                  <w:bCs/>
                  <w:color w:val="c9a227"/>
                  <w:sz w:val="13"/>
                  <w:szCs w:val="13"/>
                  <w:u w:val="single"/>
                </w:rPr>
                <w:t xml:space="preserve">academy.gmj.ge/ch7-5-sepsis-recognition-management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7.6</w:t>
            </w:r>
            <w:r>
              <w:rPr>
                <w:rFonts w:ascii="Arial" w:cs="Arial" w:eastAsia="Arial" w:hAnsi="Arial"/>
                <w:b w:val="false"/>
                <w:bCs w:val="false"/>
                <w:i/>
                <w:iCs/>
                <w:caps w:val="false"/>
                <w:color w:val="8fa8c8"/>
                <w:sz w:val="10"/>
                <w:szCs w:val="10"/>
              </w:rPr>
              <w:t xml:space="preserve">  ·  Level 2  ·  Chapter 7: Emergency &amp; Critical Care</w:t>
            </w:r>
          </w:p>
          <w:p>
            <w:pPr>
              <w:spacing w:after="36" w:before="0"/>
            </w:pPr>
            <w:r>
              <w:rPr>
                <w:rFonts w:ascii="Arial" w:cs="Arial" w:eastAsia="Arial" w:hAnsi="Arial"/>
                <w:b/>
                <w:bCs/>
                <w:i w:val="false"/>
                <w:iCs w:val="false"/>
                <w:caps w:val="false"/>
                <w:color w:val="dce8f5"/>
                <w:sz w:val="12"/>
                <w:szCs w:val="12"/>
              </w:rPr>
              <w:t xml:space="preserve">Deteriorating Patient Recognition (Early Warning)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Deteriorating Patient Recognition (Early Warning)</w:t>
            </w:r>
          </w:p>
          <w:p>
            <w:pPr>
              <w:spacing w:after="36" w:before="0"/>
            </w:pPr>
            <w:r>
              <w:rPr>
                <w:rFonts w:ascii="Arial" w:cs="Arial" w:eastAsia="Arial" w:hAnsi="Arial"/>
                <w:b w:val="false"/>
                <w:bCs w:val="false"/>
                <w:i w:val="false"/>
                <w:iCs w:val="false"/>
                <w:caps w:val="false"/>
                <w:color w:val="4b5563"/>
                <w:sz w:val="15"/>
                <w:szCs w:val="15"/>
              </w:rPr>
              <w:t xml:space="preserve">The hospital operates a hospital-wide early warning system for recognising clinical deterioration, with a defined escalation pathway including a rapid response or medical emergency team.</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standardised early warning scoring system used hospital-wide, not only in specific units?</w:t>
            </w:r>
          </w:p>
          <w:p>
            <w:pPr>
              <w:spacing w:after="7" w:before="0"/>
            </w:pPr>
            <w:r>
              <w:rPr>
                <w:rFonts w:ascii="Arial" w:cs="Arial" w:eastAsia="Arial" w:hAnsi="Arial"/>
                <w:b w:val="false"/>
                <w:bCs w:val="false"/>
                <w:i/>
                <w:iCs/>
                <w:caps w:val="false"/>
                <w:color w:val="4b5563"/>
                <w:sz w:val="15"/>
                <w:szCs w:val="15"/>
              </w:rPr>
              <w:t xml:space="preserve">Check the same system applies across departments.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Early warning system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escalation pathway with specific trigger thresholds for each response level?</w:t>
            </w:r>
          </w:p>
          <w:p>
            <w:pPr>
              <w:spacing w:after="7" w:before="0"/>
            </w:pPr>
            <w:r>
              <w:rPr>
                <w:rFonts w:ascii="Arial" w:cs="Arial" w:eastAsia="Arial" w:hAnsi="Arial"/>
                <w:b w:val="false"/>
                <w:bCs w:val="false"/>
                <w:i/>
                <w:iCs/>
                <w:caps w:val="false"/>
                <w:color w:val="4b5563"/>
                <w:sz w:val="15"/>
                <w:szCs w:val="15"/>
              </w:rPr>
              <w:t xml:space="preserve">Check the thresholds and corresponding responses are specific.</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Escalation pathway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rapid response or medical emergency team that can be activated by any staff member, including junior staff?</w:t>
            </w:r>
          </w:p>
          <w:p>
            <w:pPr>
              <w:spacing w:after="36" w:before="0"/>
            </w:pPr>
            <w:r>
              <w:rPr>
                <w:rFonts w:ascii="Arial" w:cs="Arial" w:eastAsia="Arial" w:hAnsi="Arial"/>
                <w:b w:val="false"/>
                <w:bCs w:val="false"/>
                <w:i/>
                <w:iCs/>
                <w:caps w:val="false"/>
                <w:color w:val="4b5563"/>
                <w:sz w:val="15"/>
                <w:szCs w:val="15"/>
              </w:rPr>
              <w:t xml:space="preserve">Ask whether a junior nurse could activate the team directly, without requiring senior approval first.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activation of the rapid response team tracked and reviewed?</w:t>
            </w:r>
          </w:p>
          <w:p>
            <w:pPr>
              <w:spacing w:after="7" w:before="0"/>
            </w:pPr>
            <w:r>
              <w:rPr>
                <w:rFonts w:ascii="Arial" w:cs="Arial" w:eastAsia="Arial" w:hAnsi="Arial"/>
                <w:b w:val="false"/>
                <w:bCs w:val="false"/>
                <w:i/>
                <w:iCs/>
                <w:caps w:val="false"/>
                <w:color w:val="4b5563"/>
                <w:sz w:val="15"/>
                <w:szCs w:val="15"/>
              </w:rPr>
              <w:t xml:space="preserve">Check for a log of activations and outcomes.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Rapid response activation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cases of unrecognised or delayed deterioration reviewed to identify system gaps?</w:t>
            </w:r>
          </w:p>
          <w:p>
            <w:pPr>
              <w:spacing w:after="36" w:before="0"/>
            </w:pPr>
            <w:r>
              <w:rPr>
                <w:rFonts w:ascii="Arial" w:cs="Arial" w:eastAsia="Arial" w:hAnsi="Arial"/>
                <w:b w:val="false"/>
                <w:bCs w:val="false"/>
                <w:i/>
                <w:iCs/>
                <w:caps w:val="false"/>
                <w:color w:val="4b5563"/>
                <w:sz w:val="15"/>
                <w:szCs w:val="15"/>
              </w:rPr>
              <w:t xml:space="preserve">Check for a review process following a serious deterioration event.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Early warning system consistency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the same scoring system is used across all relevant hospital departments.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Escalation pathway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defined trigger thresholds and corresponding response levels.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Activation authority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junior staff member whether they could activate the rapid response team directly, and what that would involve.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Activation and review log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rapid response activation log and evidence of review following serious deterioration events.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n7o_tzsqv8x7a8ku1obri">
              <w:r>
                <w:rPr>
                  <w:rFonts w:ascii="Arial" w:cs="Arial" w:eastAsia="Arial" w:hAnsi="Arial"/>
                  <w:b/>
                  <w:bCs/>
                  <w:color w:val="c9a227"/>
                  <w:sz w:val="13"/>
                  <w:szCs w:val="13"/>
                  <w:u w:val="single"/>
                </w:rPr>
                <w:t xml:space="preserve">Royal College of Physicians. National Early Warning Score (NEWS2). London: RCP; 2017.</w:t>
              </w:r>
            </w:hyperlink>
            <w:r>
              <w:rPr>
                <w:rFonts w:ascii="Arial" w:cs="Arial" w:eastAsia="Arial" w:hAnsi="Arial"/>
                <w:b/>
                <w:bCs/>
                <w:i w:val="false"/>
                <w:iCs w:val="false"/>
                <w:caps w:val="false"/>
                <w:color w:val="6b778c"/>
                <w:sz w:val="13"/>
                <w:szCs w:val="13"/>
              </w:rPr>
              <w:t xml:space="preserve">   2. </w:t>
            </w:r>
            <w:hyperlink w:history="1" r:id="rId__u3nudcpg9p3ij5hbpbk">
              <w:r>
                <w:rPr>
                  <w:rFonts w:ascii="Arial" w:cs="Arial" w:eastAsia="Arial" w:hAnsi="Arial"/>
                  <w:b/>
                  <w:bCs/>
                  <w:color w:val="c9a227"/>
                  <w:sz w:val="13"/>
                  <w:szCs w:val="13"/>
                  <w:u w:val="single"/>
                </w:rPr>
                <w:t xml:space="preserve">DeVita MA, Bellomo R, Hillman K, et al. Findings of the first consensus conference on medical emergency teams. Crit Care Med. 2006;34(9):2463-2478.</w:t>
              </w:r>
            </w:hyperlink>
            <w:r>
              <w:rPr>
                <w:rFonts w:ascii="Arial" w:cs="Arial" w:eastAsia="Arial" w:hAnsi="Arial"/>
                <w:b/>
                <w:bCs/>
                <w:i w:val="false"/>
                <w:iCs w:val="false"/>
                <w:caps w:val="false"/>
                <w:color w:val="6b778c"/>
                <w:sz w:val="13"/>
                <w:szCs w:val="13"/>
              </w:rPr>
              <w:t xml:space="preserve">   3. </w:t>
            </w:r>
            <w:hyperlink w:history="1" r:id="rIdjbiueqlcrnsnqf8c3wdrs">
              <w:r>
                <w:rPr>
                  <w:rFonts w:ascii="Arial" w:cs="Arial" w:eastAsia="Arial" w:hAnsi="Arial"/>
                  <w:b/>
                  <w:bCs/>
                  <w:color w:val="c9a227"/>
                  <w:sz w:val="13"/>
                  <w:szCs w:val="13"/>
                  <w:u w:val="single"/>
                </w:rPr>
                <w:t xml:space="preserve">World Health Organization. Recognising and responding to clinical deterioration. Geneva: WHO; 2018.</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7.6</w:t>
            </w:r>
            <w:r>
              <w:rPr>
                <w:rFonts w:ascii="Arial" w:cs="Arial" w:eastAsia="Arial" w:hAnsi="Arial"/>
                <w:b w:val="false"/>
                <w:bCs w:val="false"/>
                <w:i/>
                <w:iCs/>
                <w:caps w:val="false"/>
                <w:color w:val="8fa8c8"/>
                <w:sz w:val="10"/>
                <w:szCs w:val="10"/>
              </w:rPr>
              <w:t xml:space="preserve">  ·  Level 2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Many serious in-hospital deteriorations are preceded by hours of gradually worsening vital signs that, viewed individually, do not look alarming but, viewed as a trend against a standardised score, clearly signal danger. A hospital-wide early warning system, combined with an escalation pathway that any staff member — including the most junior — can activate without needing permission, is what closes the gap between a subtle warning sign and a timely, expert response.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DeVita et al. 2006 — consensus findings from the first international conference on medical emergency teams established that empowering any staff member to activate a rapid response, without requiring senior sign-off first, is critical to the system’s effectiveness.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standardised early warning system is used consistently across all hospital departments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Escalation trigger thresholds and corresponding responses are clearly defined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Any staff member, including junior staff, can activate the rapid response team directly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Rapid response activations are tracked and their outcomes reviewed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Cases of delayed or unrecognised deterioration are reviewed to identify and close system gaps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Early warning scoring is used in some departments but not hospital-wide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Escalation thresholds are vague or inconsistently applied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Junior staff must obtain senior approval before activating a rapid response, delaying the process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Rapid response activations are not tracked or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Deterioration events are not reviewed for systemic learning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scoring system is used everywhere but escalation authority is unclear to junior staff.</w:t>
            </w:r>
          </w:p>
          <w:p>
            <w:pPr>
              <w:spacing w:after="20" w:before="0"/>
            </w:pPr>
            <w:r>
              <w:rPr>
                <w:rFonts w:ascii="Arial" w:cs="Arial" w:eastAsia="Arial" w:hAnsi="Arial"/>
                <w:b w:val="false"/>
                <w:bCs w:val="false"/>
                <w:i/>
                <w:iCs/>
                <w:caps w:val="false"/>
                <w:color w:val="4b5563"/>
                <w:sz w:val="15"/>
                <w:szCs w:val="15"/>
              </w:rPr>
              <w:t xml:space="preserve">A consistent early warning score is calculated hospital-wide, but junior staff are uncertain whether they can activate a rapid response themselves or must find a senior colleague first.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Rapid response exists and is activated, but review after the fact is inconsistent.</w:t>
            </w:r>
          </w:p>
          <w:p>
            <w:pPr>
              <w:spacing w:after="20" w:before="0"/>
            </w:pPr>
            <w:r>
              <w:rPr>
                <w:rFonts w:ascii="Arial" w:cs="Arial" w:eastAsia="Arial" w:hAnsi="Arial"/>
                <w:b w:val="false"/>
                <w:bCs w:val="false"/>
                <w:i/>
                <w:iCs/>
                <w:caps w:val="false"/>
                <w:color w:val="4b5563"/>
                <w:sz w:val="15"/>
                <w:szCs w:val="15"/>
              </w:rPr>
              <w:t xml:space="preserve">The team responds reliably when called, but there is no systematic process afterward to review whether the deterioration was recognised as early as it could have been.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The system works well in medical wards but is less embedded in other areas.</w:t>
            </w:r>
          </w:p>
          <w:p>
            <w:pPr>
              <w:spacing w:after="36" w:before="0"/>
            </w:pPr>
            <w:r>
              <w:rPr>
                <w:rFonts w:ascii="Arial" w:cs="Arial" w:eastAsia="Arial" w:hAnsi="Arial"/>
                <w:b w:val="false"/>
                <w:bCs w:val="false"/>
                <w:i/>
                <w:iCs/>
                <w:caps w:val="false"/>
                <w:color w:val="4b5563"/>
                <w:sz w:val="15"/>
                <w:szCs w:val="15"/>
              </w:rPr>
              <w:t xml:space="preserve">Early warning recognition and escalation are mature and well-practised in general medical wards; other departments have adopted the system less thoroughly.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same early warning scoring system is used consistently across all departments.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Clarify and communicate that any staff member can activate the rapid response team directly.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escalation trigger thresholds are specific and well understood.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tracking of rapid response activations and their outcomes.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deterioration events for systemic learning; reinforce activation authority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junior staff member directly whether they can call a rapid response themselves.  </w:t>
            </w:r>
            <w:r>
              <w:rPr>
                <w:rFonts w:ascii="Arial" w:cs="Arial" w:eastAsia="Arial" w:hAnsi="Arial"/>
                <w:b w:val="false"/>
                <w:bCs w:val="false"/>
                <w:i w:val="false"/>
                <w:iCs w:val="false"/>
                <w:caps w:val="false"/>
                <w:color w:val="374151"/>
                <w:sz w:val="16"/>
                <w:szCs w:val="16"/>
              </w:rPr>
              <w:t xml:space="preserve">This is the clearest test of whether the escalation pathway is genuinely open to everyone or effectively gated by hierarchy.</w:t>
            </w:r>
          </w:p>
          <w:p>
            <w:pPr>
              <w:spacing w:after="16" w:before="0"/>
            </w:pPr>
            <w:r>
              <w:rPr>
                <w:rFonts w:ascii="Arial" w:cs="Arial" w:eastAsia="Arial" w:hAnsi="Arial"/>
                <w:b/>
                <w:bCs/>
                <w:i w:val="false"/>
                <w:iCs w:val="false"/>
                <w:caps w:val="false"/>
                <w:color w:val="b91c1c"/>
                <w:sz w:val="15"/>
                <w:szCs w:val="15"/>
              </w:rPr>
              <w:t xml:space="preserve">Check whether the same scoring system appears in every department’s documentation.  </w:t>
            </w:r>
            <w:r>
              <w:rPr>
                <w:rFonts w:ascii="Arial" w:cs="Arial" w:eastAsia="Arial" w:hAnsi="Arial"/>
                <w:b w:val="false"/>
                <w:bCs w:val="false"/>
                <w:i w:val="false"/>
                <w:iCs w:val="false"/>
                <w:caps w:val="false"/>
                <w:color w:val="374151"/>
                <w:sz w:val="16"/>
                <w:szCs w:val="16"/>
              </w:rPr>
              <w:t xml:space="preserve">Inconsistent adoption across departments is a common, easily overlooked gap.</w:t>
            </w:r>
          </w:p>
          <w:p>
            <w:pPr>
              <w:spacing w:after="36" w:before="0"/>
            </w:pPr>
            <w:r>
              <w:rPr>
                <w:rFonts w:ascii="Arial" w:cs="Arial" w:eastAsia="Arial" w:hAnsi="Arial"/>
                <w:b/>
                <w:bCs/>
                <w:i w:val="false"/>
                <w:iCs w:val="false"/>
                <w:caps w:val="false"/>
                <w:color w:val="b91c1c"/>
                <w:sz w:val="15"/>
                <w:szCs w:val="15"/>
              </w:rPr>
              <w:t xml:space="preserve">Ask for a specific example of a deterioration review.  </w:t>
            </w:r>
            <w:r>
              <w:rPr>
                <w:rFonts w:ascii="Arial" w:cs="Arial" w:eastAsia="Arial" w:hAnsi="Arial"/>
                <w:b w:val="false"/>
                <w:bCs w:val="false"/>
                <w:i w:val="false"/>
                <w:iCs w:val="false"/>
                <w:caps w:val="false"/>
                <w:color w:val="374151"/>
                <w:sz w:val="16"/>
                <w:szCs w:val="16"/>
              </w:rPr>
              <w:t xml:space="preserve">A hospital that can describe a real case examined for systemic learning demonstrates the process functions beyond individual response.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cscqkjp0ufwglo4eh5ohv">
              <w:r>
                <w:rPr>
                  <w:rFonts w:ascii="Arial" w:cs="Arial" w:eastAsia="Arial" w:hAnsi="Arial"/>
                  <w:b/>
                  <w:bCs/>
                  <w:color w:val="c9a227"/>
                  <w:sz w:val="13"/>
                  <w:szCs w:val="13"/>
                  <w:u w:val="single"/>
                </w:rPr>
                <w:t xml:space="preserve">academy.gmj.ge/ch7-6-deteriorating-patient-recognition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7.7</w:t>
            </w:r>
            <w:r>
              <w:rPr>
                <w:rFonts w:ascii="Arial" w:cs="Arial" w:eastAsia="Arial" w:hAnsi="Arial"/>
                <w:b w:val="false"/>
                <w:bCs w:val="false"/>
                <w:i/>
                <w:iCs/>
                <w:caps w:val="false"/>
                <w:color w:val="8fa8c8"/>
                <w:sz w:val="10"/>
                <w:szCs w:val="10"/>
              </w:rPr>
              <w:t xml:space="preserve">  ·  Level 2  ·  Chapter 7: Emergency &amp; Critical Care</w:t>
            </w:r>
          </w:p>
          <w:p>
            <w:pPr>
              <w:spacing w:after="36" w:before="0"/>
            </w:pPr>
            <w:r>
              <w:rPr>
                <w:rFonts w:ascii="Arial" w:cs="Arial" w:eastAsia="Arial" w:hAnsi="Arial"/>
                <w:b/>
                <w:bCs/>
                <w:i w:val="false"/>
                <w:iCs w:val="false"/>
                <w:caps w:val="false"/>
                <w:color w:val="dce8f5"/>
                <w:sz w:val="12"/>
                <w:szCs w:val="12"/>
              </w:rPr>
              <w:t xml:space="preserve">Trauma Management Protocols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Trauma Management Protocols</w:t>
            </w:r>
          </w:p>
          <w:p>
            <w:pPr>
              <w:spacing w:after="36" w:before="0"/>
            </w:pPr>
            <w:r>
              <w:rPr>
                <w:rFonts w:ascii="Arial" w:cs="Arial" w:eastAsia="Arial" w:hAnsi="Arial"/>
                <w:b w:val="false"/>
                <w:bCs w:val="false"/>
                <w:i w:val="false"/>
                <w:iCs w:val="false"/>
                <w:caps w:val="false"/>
                <w:color w:val="4b5563"/>
                <w:sz w:val="15"/>
                <w:szCs w:val="15"/>
              </w:rPr>
              <w:t xml:space="preserve">The hospital has structured trauma assessment and management protocols, including a defined trauma team activation process for major trauma patients.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structured trauma assessment protocol, such as a primary and secondary survey approach?</w:t>
            </w:r>
          </w:p>
          <w:p>
            <w:pPr>
              <w:spacing w:after="7" w:before="0"/>
            </w:pPr>
            <w:r>
              <w:rPr>
                <w:rFonts w:ascii="Arial" w:cs="Arial" w:eastAsia="Arial" w:hAnsi="Arial"/>
                <w:b w:val="false"/>
                <w:bCs w:val="false"/>
                <w:i/>
                <w:iCs/>
                <w:caps w:val="false"/>
                <w:color w:val="4b5563"/>
                <w:sz w:val="15"/>
                <w:szCs w:val="15"/>
              </w:rPr>
              <w:t xml:space="preserve">Check the protocol follows a recognised, structured sequence.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Trauma assessment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trauma team activation process with specific criteria?</w:t>
            </w:r>
          </w:p>
          <w:p>
            <w:pPr>
              <w:spacing w:after="7" w:before="0"/>
            </w:pPr>
            <w:r>
              <w:rPr>
                <w:rFonts w:ascii="Arial" w:cs="Arial" w:eastAsia="Arial" w:hAnsi="Arial"/>
                <w:b w:val="false"/>
                <w:bCs w:val="false"/>
                <w:i/>
                <w:iCs/>
                <w:caps w:val="false"/>
                <w:color w:val="4b5563"/>
                <w:sz w:val="15"/>
                <w:szCs w:val="15"/>
              </w:rPr>
              <w:t xml:space="preserve">Check activation criteria are specific, such as mechanism of injury or vital sign thresholds.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Trauma activation criteria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trauma team activation reliably assemble the required specialties within a defined timeframe?</w:t>
            </w:r>
          </w:p>
          <w:p>
            <w:pPr>
              <w:spacing w:after="7" w:before="0"/>
            </w:pPr>
            <w:r>
              <w:rPr>
                <w:rFonts w:ascii="Arial" w:cs="Arial" w:eastAsia="Arial" w:hAnsi="Arial"/>
                <w:b w:val="false"/>
                <w:bCs w:val="false"/>
                <w:i/>
                <w:iCs/>
                <w:caps w:val="false"/>
                <w:color w:val="4b5563"/>
                <w:sz w:val="15"/>
                <w:szCs w:val="15"/>
              </w:rPr>
              <w:t xml:space="preserve">Check timing from activation to team assembly for a sample of cases.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Team assembly timing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access to timely imaging and blood products for major trauma patients?</w:t>
            </w:r>
          </w:p>
          <w:p>
            <w:pPr>
              <w:spacing w:after="36" w:before="0"/>
            </w:pPr>
            <w:r>
              <w:rPr>
                <w:rFonts w:ascii="Arial" w:cs="Arial" w:eastAsia="Arial" w:hAnsi="Arial"/>
                <w:b w:val="false"/>
                <w:bCs w:val="false"/>
                <w:i/>
                <w:iCs/>
                <w:caps w:val="false"/>
                <w:color w:val="4b5563"/>
                <w:sz w:val="15"/>
                <w:szCs w:val="15"/>
              </w:rPr>
              <w:t xml:space="preserve">Ask about actual turnaround time for trauma imaging and blood availability.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trauma cases reviewed for quality and outcome, such as through a trauma mortality and morbidity process?</w:t>
            </w:r>
          </w:p>
          <w:p>
            <w:pPr>
              <w:spacing w:after="7" w:before="0"/>
            </w:pPr>
            <w:r>
              <w:rPr>
                <w:rFonts w:ascii="Arial" w:cs="Arial" w:eastAsia="Arial" w:hAnsi="Arial"/>
                <w:b w:val="false"/>
                <w:bCs w:val="false"/>
                <w:i/>
                <w:iCs/>
                <w:caps w:val="false"/>
                <w:color w:val="4b5563"/>
                <w:sz w:val="15"/>
                <w:szCs w:val="15"/>
              </w:rPr>
              <w:t xml:space="preserve">Check for a structured trauma case review process.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Trauma review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Trauma 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structured assessment protocol for a recognised primary and secondary survey approach.</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Activation criteria and timing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trauma team activation criteria and timing from activation to team assembly for a sample of cases.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Imaging and blood access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about actual turnaround time for trauma imaging and blood product availability.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Trauma case review process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a structured trauma mortality and morbidity or case review process.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u4bolagsmtntaiq2bpmq2">
              <w:r>
                <w:rPr>
                  <w:rFonts w:ascii="Arial" w:cs="Arial" w:eastAsia="Arial" w:hAnsi="Arial"/>
                  <w:b/>
                  <w:bCs/>
                  <w:color w:val="c9a227"/>
                  <w:sz w:val="13"/>
                  <w:szCs w:val="13"/>
                  <w:u w:val="single"/>
                </w:rPr>
                <w:t xml:space="preserve">World Health Organization. Guidelines for trauma quality improvement programmes. Geneva: WHO; 2009.</w:t>
              </w:r>
            </w:hyperlink>
            <w:r>
              <w:rPr>
                <w:rFonts w:ascii="Arial" w:cs="Arial" w:eastAsia="Arial" w:hAnsi="Arial"/>
                <w:b/>
                <w:bCs/>
                <w:i w:val="false"/>
                <w:iCs w:val="false"/>
                <w:caps w:val="false"/>
                <w:color w:val="6b778c"/>
                <w:sz w:val="13"/>
                <w:szCs w:val="13"/>
              </w:rPr>
              <w:t xml:space="preserve">   2. </w:t>
            </w:r>
            <w:hyperlink w:history="1" r:id="rId7l8jf08nmfvg_n8a9ztnv">
              <w:r>
                <w:rPr>
                  <w:rFonts w:ascii="Arial" w:cs="Arial" w:eastAsia="Arial" w:hAnsi="Arial"/>
                  <w:b/>
                  <w:bCs/>
                  <w:color w:val="c9a227"/>
                  <w:sz w:val="13"/>
                  <w:szCs w:val="13"/>
                  <w:u w:val="single"/>
                </w:rPr>
                <w:t xml:space="preserve">American College of Surgeons Committee on Trauma. Advanced Trauma Life Support (ATLS) Student Course Manual. 10th ed. Chicago: ACS; 2018.</w:t>
              </w:r>
            </w:hyperlink>
            <w:r>
              <w:rPr>
                <w:rFonts w:ascii="Arial" w:cs="Arial" w:eastAsia="Arial" w:hAnsi="Arial"/>
                <w:b/>
                <w:bCs/>
                <w:i w:val="false"/>
                <w:iCs w:val="false"/>
                <w:caps w:val="false"/>
                <w:color w:val="6b778c"/>
                <w:sz w:val="13"/>
                <w:szCs w:val="13"/>
              </w:rPr>
              <w:t xml:space="preserve">   3. </w:t>
            </w:r>
            <w:hyperlink w:history="1" r:id="rId1llg6cmusfg54ppercx04">
              <w:r>
                <w:rPr>
                  <w:rFonts w:ascii="Arial" w:cs="Arial" w:eastAsia="Arial" w:hAnsi="Arial"/>
                  <w:b/>
                  <w:bCs/>
                  <w:color w:val="c9a227"/>
                  <w:sz w:val="13"/>
                  <w:szCs w:val="13"/>
                  <w:u w:val="single"/>
                </w:rPr>
                <w:t xml:space="preserve">World Health Organization. Prehospital trauma care systems. Geneva: WHO; 2005.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7.7</w:t>
            </w:r>
            <w:r>
              <w:rPr>
                <w:rFonts w:ascii="Arial" w:cs="Arial" w:eastAsia="Arial" w:hAnsi="Arial"/>
                <w:b w:val="false"/>
                <w:bCs w:val="false"/>
                <w:i/>
                <w:iCs/>
                <w:caps w:val="false"/>
                <w:color w:val="8fa8c8"/>
                <w:sz w:val="10"/>
                <w:szCs w:val="10"/>
              </w:rPr>
              <w:t xml:space="preserve">  ·  Level 2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Major trauma is unforgiving of delay and disorganisation — a structured primary and secondary survey ensures life-threatening injuries are found and addressed in the correct order rather than missed while attention focuses on an obvious but less urgent injury, and a defined activation process ensures the right specialties are physically present within minutes rather than being paged and awaited one at a time. Structure and speed, applied together, are what trauma outcomes depend on most.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ACS Advanced Trauma Life Support — the structured primary and secondary survey approach, adopted internationally, is associated with earlier identification of life-threatening injuries and improved trauma survival compared with unstructured assessment.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primary and secondary survey approach is consistently used for trauma assessment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Trauma team activation follows specific, defined criteria</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required specialties reliably assemble within a defined timeframe of activation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Timely imaging and blood products are genuinely accessible for major trauma patients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Trauma cases are reviewed for quality and outcome through a structured process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Trauma assessment is unstructured, varying by individual clinician approach</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trauma team activation criteria exist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Required specialties assemble inconsistently or with significant delay after activation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Imaging or blood product access is slow or unreliable for trauma patients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structured process reviews trauma case quality or outcomes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assessment protocol is followed but team assembly is inconsistent.</w:t>
            </w:r>
          </w:p>
          <w:p>
            <w:pPr>
              <w:spacing w:after="20" w:before="0"/>
            </w:pPr>
            <w:r>
              <w:rPr>
                <w:rFonts w:ascii="Arial" w:cs="Arial" w:eastAsia="Arial" w:hAnsi="Arial"/>
                <w:b w:val="false"/>
                <w:bCs w:val="false"/>
                <w:i/>
                <w:iCs/>
                <w:caps w:val="false"/>
                <w:color w:val="4b5563"/>
                <w:sz w:val="15"/>
                <w:szCs w:val="15"/>
              </w:rPr>
              <w:t xml:space="preserve">Individual clinicians apply the structured survey well, but the broader trauma team does not reliably assemble within the intended timeframe after activation.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Activation criteria exist but are applied inconsistently.</w:t>
            </w:r>
          </w:p>
          <w:p>
            <w:pPr>
              <w:spacing w:after="20" w:before="0"/>
            </w:pPr>
            <w:r>
              <w:rPr>
                <w:rFonts w:ascii="Arial" w:cs="Arial" w:eastAsia="Arial" w:hAnsi="Arial"/>
                <w:b w:val="false"/>
                <w:bCs w:val="false"/>
                <w:i/>
                <w:iCs/>
                <w:caps w:val="false"/>
                <w:color w:val="4b5563"/>
                <w:sz w:val="15"/>
                <w:szCs w:val="15"/>
              </w:rPr>
              <w:t xml:space="preserve">A specific activation threshold is documented, but in practice activation sometimes happens later than the criteria would indicate, or is skipped for borderline cases.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Imaging is fast for standard hours but slower overnight.</w:t>
            </w:r>
          </w:p>
          <w:p>
            <w:pPr>
              <w:spacing w:after="36" w:before="0"/>
            </w:pPr>
            <w:r>
              <w:rPr>
                <w:rFonts w:ascii="Arial" w:cs="Arial" w:eastAsia="Arial" w:hAnsi="Arial"/>
                <w:b w:val="false"/>
                <w:bCs w:val="false"/>
                <w:i/>
                <w:iCs/>
                <w:caps w:val="false"/>
                <w:color w:val="4b5563"/>
                <w:sz w:val="15"/>
                <w:szCs w:val="15"/>
              </w:rPr>
              <w:t xml:space="preserve">Daytime trauma imaging turnaround meets expectations; out-of-hours access is measurably slower.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structured trauma assessment protocol is understood and consistently applied.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define specific trauma team activation criteria.</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team assembly timing against activation for a sample of recent trauma cases.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Assess and address any gaps in timely imaging or blood product access, particularly out of hours.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Conduct structured trauma case review regularly; use findings to refine the protocol.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team assembly timing directly, not just activation criteria.  </w:t>
            </w:r>
            <w:r>
              <w:rPr>
                <w:rFonts w:ascii="Arial" w:cs="Arial" w:eastAsia="Arial" w:hAnsi="Arial"/>
                <w:b w:val="false"/>
                <w:bCs w:val="false"/>
                <w:i w:val="false"/>
                <w:iCs w:val="false"/>
                <w:caps w:val="false"/>
                <w:color w:val="374151"/>
                <w:sz w:val="16"/>
                <w:szCs w:val="16"/>
              </w:rPr>
              <w:t xml:space="preserve">Well-defined criteria mean little if the required team does not actually assemble quickly once activated.</w:t>
            </w:r>
          </w:p>
          <w:p>
            <w:pPr>
              <w:spacing w:after="16" w:before="0"/>
            </w:pPr>
            <w:r>
              <w:rPr>
                <w:rFonts w:ascii="Arial" w:cs="Arial" w:eastAsia="Arial" w:hAnsi="Arial"/>
                <w:b/>
                <w:bCs/>
                <w:i w:val="false"/>
                <w:iCs w:val="false"/>
                <w:caps w:val="false"/>
                <w:color w:val="b91c1c"/>
                <w:sz w:val="15"/>
                <w:szCs w:val="15"/>
              </w:rPr>
              <w:t xml:space="preserve">Ask specifically about out-of-hours imaging and blood access.  </w:t>
            </w:r>
            <w:r>
              <w:rPr>
                <w:rFonts w:ascii="Arial" w:cs="Arial" w:eastAsia="Arial" w:hAnsi="Arial"/>
                <w:b w:val="false"/>
                <w:bCs w:val="false"/>
                <w:i w:val="false"/>
                <w:iCs w:val="false"/>
                <w:caps w:val="false"/>
                <w:color w:val="374151"/>
                <w:sz w:val="16"/>
                <w:szCs w:val="16"/>
              </w:rPr>
              <w:t xml:space="preserve">This is where trauma readiness most often shows a gap compared with daytime performance.</w:t>
            </w:r>
          </w:p>
          <w:p>
            <w:pPr>
              <w:spacing w:after="36" w:before="0"/>
            </w:pPr>
            <w:r>
              <w:rPr>
                <w:rFonts w:ascii="Arial" w:cs="Arial" w:eastAsia="Arial" w:hAnsi="Arial"/>
                <w:b/>
                <w:bCs/>
                <w:i w:val="false"/>
                <w:iCs w:val="false"/>
                <w:caps w:val="false"/>
                <w:color w:val="b91c1c"/>
                <w:sz w:val="15"/>
                <w:szCs w:val="15"/>
              </w:rPr>
              <w:t xml:space="preserve">Ask for a specific example from trauma case review.  </w:t>
            </w:r>
            <w:r>
              <w:rPr>
                <w:rFonts w:ascii="Arial" w:cs="Arial" w:eastAsia="Arial" w:hAnsi="Arial"/>
                <w:b w:val="false"/>
                <w:bCs w:val="false"/>
                <w:i w:val="false"/>
                <w:iCs w:val="false"/>
                <w:caps w:val="false"/>
                <w:color w:val="374151"/>
                <w:sz w:val="16"/>
                <w:szCs w:val="16"/>
              </w:rPr>
              <w:t xml:space="preserve">A hospital that can describe a real case examined for quality demonstrates the review process functions, not just exists.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70x-qc9doaodwr6u5zfql">
              <w:r>
                <w:rPr>
                  <w:rFonts w:ascii="Arial" w:cs="Arial" w:eastAsia="Arial" w:hAnsi="Arial"/>
                  <w:b/>
                  <w:bCs/>
                  <w:color w:val="c9a227"/>
                  <w:sz w:val="13"/>
                  <w:szCs w:val="13"/>
                  <w:u w:val="single"/>
                </w:rPr>
                <w:t xml:space="preserve">academy.gmj.ge/ch7-7-trauma-management-protocols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7.8</w:t>
            </w:r>
            <w:r>
              <w:rPr>
                <w:rFonts w:ascii="Arial" w:cs="Arial" w:eastAsia="Arial" w:hAnsi="Arial"/>
                <w:b w:val="false"/>
                <w:bCs w:val="false"/>
                <w:i/>
                <w:iCs/>
                <w:caps w:val="false"/>
                <w:color w:val="8fa8c8"/>
                <w:sz w:val="10"/>
                <w:szCs w:val="10"/>
              </w:rPr>
              <w:t xml:space="preserve">  ·  Level 2  ·  Chapter 7: Emergency &amp; Critical Care</w:t>
            </w:r>
          </w:p>
          <w:p>
            <w:pPr>
              <w:spacing w:after="36" w:before="0"/>
            </w:pPr>
            <w:r>
              <w:rPr>
                <w:rFonts w:ascii="Arial" w:cs="Arial" w:eastAsia="Arial" w:hAnsi="Arial"/>
                <w:b/>
                <w:bCs/>
                <w:i w:val="false"/>
                <w:iCs w:val="false"/>
                <w:caps w:val="false"/>
                <w:color w:val="dce8f5"/>
                <w:sz w:val="12"/>
                <w:szCs w:val="12"/>
              </w:rPr>
              <w:t xml:space="preserve">Mental Health Emergency Response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Mental Health Emergency Response</w:t>
            </w:r>
          </w:p>
          <w:p>
            <w:pPr>
              <w:spacing w:after="36" w:before="0"/>
            </w:pPr>
            <w:r>
              <w:rPr>
                <w:rFonts w:ascii="Arial" w:cs="Arial" w:eastAsia="Arial" w:hAnsi="Arial"/>
                <w:b w:val="false"/>
                <w:bCs w:val="false"/>
                <w:i w:val="false"/>
                <w:iCs w:val="false"/>
                <w:caps w:val="false"/>
                <w:color w:val="4b5563"/>
                <w:sz w:val="15"/>
                <w:szCs w:val="15"/>
              </w:rPr>
              <w:t xml:space="preserve">The hospital has a defined protocol for assessing and managing psychiatric emergencies, including risk assessment for self-harm or harm to others, with access to mental health specialist input.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protocol for assessing a patient presenting with a psychiatric emergency?</w:t>
            </w:r>
          </w:p>
          <w:p>
            <w:pPr>
              <w:spacing w:after="7" w:before="0"/>
            </w:pPr>
            <w:r>
              <w:rPr>
                <w:rFonts w:ascii="Arial" w:cs="Arial" w:eastAsia="Arial" w:hAnsi="Arial"/>
                <w:b w:val="false"/>
                <w:bCs w:val="false"/>
                <w:i/>
                <w:iCs/>
                <w:caps w:val="false"/>
                <w:color w:val="4b5563"/>
                <w:sz w:val="15"/>
                <w:szCs w:val="15"/>
              </w:rPr>
              <w:t xml:space="preserve">Check the protocol addresses risk assessment specifically, not only general medical assessment.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Mental health emergency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structured risk assessment for self-harm or harm to others completed and documented?</w:t>
            </w:r>
          </w:p>
          <w:p>
            <w:pPr>
              <w:spacing w:after="7" w:before="0"/>
            </w:pPr>
            <w:r>
              <w:rPr>
                <w:rFonts w:ascii="Arial" w:cs="Arial" w:eastAsia="Arial" w:hAnsi="Arial"/>
                <w:b w:val="false"/>
                <w:bCs w:val="false"/>
                <w:i/>
                <w:iCs/>
                <w:caps w:val="false"/>
                <w:color w:val="4b5563"/>
                <w:sz w:val="15"/>
                <w:szCs w:val="15"/>
              </w:rPr>
              <w:t xml:space="preserve">Check for a specific risk assessment tool or structured approach, not informal judgement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Risk assessment documentation sample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timely access to mental health specialist input, on-site or by defined referral?</w:t>
            </w:r>
          </w:p>
          <w:p>
            <w:pPr>
              <w:spacing w:after="7" w:before="0"/>
            </w:pPr>
            <w:r>
              <w:rPr>
                <w:rFonts w:ascii="Arial" w:cs="Arial" w:eastAsia="Arial" w:hAnsi="Arial"/>
                <w:b w:val="false"/>
                <w:bCs w:val="false"/>
                <w:i/>
                <w:iCs/>
                <w:caps w:val="false"/>
                <w:color w:val="4b5563"/>
                <w:sz w:val="15"/>
                <w:szCs w:val="15"/>
              </w:rPr>
              <w:t xml:space="preserve">Ask what the actual access route and timeframe are.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Specialist access pathway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physical environment safe for a patient in psychiatric crisis, minimising self-harm risk?</w:t>
            </w:r>
          </w:p>
          <w:p>
            <w:pPr>
              <w:spacing w:after="36" w:before="0"/>
            </w:pPr>
            <w:r>
              <w:rPr>
                <w:rFonts w:ascii="Arial" w:cs="Arial" w:eastAsia="Arial" w:hAnsi="Arial"/>
                <w:b w:val="false"/>
                <w:bCs w:val="false"/>
                <w:i/>
                <w:iCs/>
                <w:caps w:val="false"/>
                <w:color w:val="4b5563"/>
                <w:sz w:val="15"/>
                <w:szCs w:val="15"/>
              </w:rPr>
              <w:t xml:space="preserve">Check for environmental safety measures in relevant assessment areas.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trained in de-escalation techniques for a patient in psychiatric crisis?</w:t>
            </w:r>
          </w:p>
          <w:p>
            <w:pPr>
              <w:spacing w:after="7" w:before="0"/>
            </w:pPr>
            <w:r>
              <w:rPr>
                <w:rFonts w:ascii="Arial" w:cs="Arial" w:eastAsia="Arial" w:hAnsi="Arial"/>
                <w:b w:val="false"/>
                <w:bCs w:val="false"/>
                <w:i/>
                <w:iCs/>
                <w:caps w:val="false"/>
                <w:color w:val="4b5563"/>
                <w:sz w:val="15"/>
                <w:szCs w:val="15"/>
              </w:rPr>
              <w:t xml:space="preserve">Check training records for this specific competency.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De-escalation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mental health emergency protocol for specific risk assessment content.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Risk assessment documentation sample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records for structured, documented risk assessment for self-harm or harm to others.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Specialist access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the actual pathway and timeframe are for accessing mental health specialist input.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Environmental safety and de-escalation training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environmental safety measures in relevant areas and confirms staff have de-escalation training.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nyipwgncfsiuvut_ph-7y">
              <w:r>
                <w:rPr>
                  <w:rFonts w:ascii="Arial" w:cs="Arial" w:eastAsia="Arial" w:hAnsi="Arial"/>
                  <w:b/>
                  <w:bCs/>
                  <w:color w:val="c9a227"/>
                  <w:sz w:val="13"/>
                  <w:szCs w:val="13"/>
                  <w:u w:val="single"/>
                </w:rPr>
                <w:t xml:space="preserve">World Health Organization. mhGAP Intervention Guide for mental, neurological and substance use disorders in non-specialized health settings. Geneva: WHO; 2016.</w:t>
              </w:r>
            </w:hyperlink>
            <w:r>
              <w:rPr>
                <w:rFonts w:ascii="Arial" w:cs="Arial" w:eastAsia="Arial" w:hAnsi="Arial"/>
                <w:b/>
                <w:bCs/>
                <w:i w:val="false"/>
                <w:iCs w:val="false"/>
                <w:caps w:val="false"/>
                <w:color w:val="6b778c"/>
                <w:sz w:val="13"/>
                <w:szCs w:val="13"/>
              </w:rPr>
              <w:t xml:space="preserve">   2. </w:t>
            </w:r>
            <w:hyperlink w:history="1" r:id="rIdxplnmjtngmcvk2cdnqcv4">
              <w:r>
                <w:rPr>
                  <w:rFonts w:ascii="Arial" w:cs="Arial" w:eastAsia="Arial" w:hAnsi="Arial"/>
                  <w:b/>
                  <w:bCs/>
                  <w:color w:val="c9a227"/>
                  <w:sz w:val="13"/>
                  <w:szCs w:val="13"/>
                  <w:u w:val="single"/>
                </w:rPr>
                <w:t xml:space="preserve">World Health Organization. Guidelines on mental health promotive and preventive interventions for adolescents. Geneva: WHO; 2020.</w:t>
              </w:r>
            </w:hyperlink>
            <w:r>
              <w:rPr>
                <w:rFonts w:ascii="Arial" w:cs="Arial" w:eastAsia="Arial" w:hAnsi="Arial"/>
                <w:b/>
                <w:bCs/>
                <w:i w:val="false"/>
                <w:iCs w:val="false"/>
                <w:caps w:val="false"/>
                <w:color w:val="6b778c"/>
                <w:sz w:val="13"/>
                <w:szCs w:val="13"/>
              </w:rPr>
              <w:t xml:space="preserve">   3. </w:t>
            </w:r>
            <w:hyperlink w:history="1" r:id="rIdd-vjc38fthogh7_mwozmp">
              <w:r>
                <w:rPr>
                  <w:rFonts w:ascii="Arial" w:cs="Arial" w:eastAsia="Arial" w:hAnsi="Arial"/>
                  <w:b/>
                  <w:bCs/>
                  <w:color w:val="c9a227"/>
                  <w:sz w:val="13"/>
                  <w:szCs w:val="13"/>
                  <w:u w:val="single"/>
                </w:rPr>
                <w:t xml:space="preserve">National Institute for Mental Health. Practice guideline for the assessment and management of patients at risk for suicide. Rockville: NIMH;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7.8</w:t>
            </w:r>
            <w:r>
              <w:rPr>
                <w:rFonts w:ascii="Arial" w:cs="Arial" w:eastAsia="Arial" w:hAnsi="Arial"/>
                <w:b w:val="false"/>
                <w:bCs w:val="false"/>
                <w:i/>
                <w:iCs/>
                <w:caps w:val="false"/>
                <w:color w:val="8fa8c8"/>
                <w:sz w:val="10"/>
                <w:szCs w:val="10"/>
              </w:rPr>
              <w:t xml:space="preserve">  ·  Level 2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patient in psychiatric crisis is at genuine, immediate risk — of self-harm, of harm to others, or simply of not receiving the specific kind of assessment their presentation requires if staff default to a purely medical evaluation and overlook structured risk assessment. A defined protocol, timely access to specialist input, a physically safe environment, and staff trained in de-escalation together treat psychiatric emergencies with the same seriousness and structure as any other life-threatening presentation.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mhGAP guidance — structured risk assessment and timely access to mental health expertise in emergency settings measurably improves safety outcomes for patients presenting in psychiatric crisis, particularly around self-harm risk.</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protocol specifically addresses assessment of psychiatric emergencies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structured, documented risk assessment for self-harm or harm to others is consistently completed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Timely mental health specialist input is genuinely accessible, on-site or by defined referral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Assessment areas are physically safe, minimising self-harm risk</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are trained in de-escalation techniques for psychiatric crisis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Psychiatric emergencies receive only general medical assessment, with no specific protocol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Risk assessment for self-harm or harm to others is informal or inconsistent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to mental health specialist input is slow, unreliable, or undefined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Assessment areas contain obvious self-harm risks with no mitigation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have no training in de-escalation techniques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Risk assessment happens but isn’t consistently structured or documented.</w:t>
            </w:r>
          </w:p>
          <w:p>
            <w:pPr>
              <w:spacing w:after="20" w:before="0"/>
            </w:pPr>
            <w:r>
              <w:rPr>
                <w:rFonts w:ascii="Arial" w:cs="Arial" w:eastAsia="Arial" w:hAnsi="Arial"/>
                <w:b w:val="false"/>
                <w:bCs w:val="false"/>
                <w:i/>
                <w:iCs/>
                <w:caps w:val="false"/>
                <w:color w:val="4b5563"/>
                <w:sz w:val="15"/>
                <w:szCs w:val="15"/>
              </w:rPr>
              <w:t xml:space="preserve">Staff generally ask about self-harm risk, but the assessment is informal and inconsistently recorded, making it hard to track or hand over reliably.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Specialist access exists during business hours but is limited overnight.</w:t>
            </w:r>
          </w:p>
          <w:p>
            <w:pPr>
              <w:spacing w:after="20" w:before="0"/>
            </w:pPr>
            <w:r>
              <w:rPr>
                <w:rFonts w:ascii="Arial" w:cs="Arial" w:eastAsia="Arial" w:hAnsi="Arial"/>
                <w:b w:val="false"/>
                <w:bCs w:val="false"/>
                <w:i/>
                <w:iCs/>
                <w:caps w:val="false"/>
                <w:color w:val="4b5563"/>
                <w:sz w:val="15"/>
                <w:szCs w:val="15"/>
              </w:rPr>
              <w:t xml:space="preserve">Daytime access to mental health specialist input is timely; out-of-hours access is significantly slower or requires transfer elsewhere.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De-escalation training was provided once but has not been refreshed.</w:t>
            </w:r>
          </w:p>
          <w:p>
            <w:pPr>
              <w:spacing w:after="36" w:before="0"/>
            </w:pPr>
            <w:r>
              <w:rPr>
                <w:rFonts w:ascii="Arial" w:cs="Arial" w:eastAsia="Arial" w:hAnsi="Arial"/>
                <w:b w:val="false"/>
                <w:bCs w:val="false"/>
                <w:i/>
                <w:iCs/>
                <w:caps w:val="false"/>
                <w:color w:val="4b5563"/>
                <w:sz w:val="15"/>
                <w:szCs w:val="15"/>
              </w:rPr>
              <w:t xml:space="preserve">Staff received training at some point, but without periodic refreshers, confidence and consistency in applying the techniques has declined.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draft a protocol specifically addressing assessment of psychiatric emergencies.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Introduce or standardise a structured risk assessment tool for self-harm and harm to others.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Clarify and, where needed, strengthen the pathway to mental health specialist input, including out-of-hours access.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Review assessment area environmental safety and address identified risks.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Provide and refresh de-escalation training regularly; audit risk assessment documentation.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specifically about out-of-hours specialist access.  </w:t>
            </w:r>
            <w:r>
              <w:rPr>
                <w:rFonts w:ascii="Arial" w:cs="Arial" w:eastAsia="Arial" w:hAnsi="Arial"/>
                <w:b w:val="false"/>
                <w:bCs w:val="false"/>
                <w:i w:val="false"/>
                <w:iCs w:val="false"/>
                <w:caps w:val="false"/>
                <w:color w:val="374151"/>
                <w:sz w:val="16"/>
                <w:szCs w:val="16"/>
              </w:rPr>
              <w:t xml:space="preserve">This is where mental health emergency response most often shows a significant gap compared to daytime capability.</w:t>
            </w:r>
          </w:p>
          <w:p>
            <w:pPr>
              <w:spacing w:after="16" w:before="0"/>
            </w:pPr>
            <w:r>
              <w:rPr>
                <w:rFonts w:ascii="Arial" w:cs="Arial" w:eastAsia="Arial" w:hAnsi="Arial"/>
                <w:b/>
                <w:bCs/>
                <w:i w:val="false"/>
                <w:iCs w:val="false"/>
                <w:caps w:val="false"/>
                <w:color w:val="b91c1c"/>
                <w:sz w:val="15"/>
                <w:szCs w:val="15"/>
              </w:rPr>
              <w:t xml:space="preserve">Look at the assessment area itself, not just the protocol.  </w:t>
            </w:r>
            <w:r>
              <w:rPr>
                <w:rFonts w:ascii="Arial" w:cs="Arial" w:eastAsia="Arial" w:hAnsi="Arial"/>
                <w:b w:val="false"/>
                <w:bCs w:val="false"/>
                <w:i w:val="false"/>
                <w:iCs w:val="false"/>
                <w:caps w:val="false"/>
                <w:color w:val="374151"/>
                <w:sz w:val="16"/>
                <w:szCs w:val="16"/>
              </w:rPr>
              <w:t xml:space="preserve">Physical environmental risks are sometimes overlooked even when the clinical protocol itself is sound.</w:t>
            </w:r>
          </w:p>
          <w:p>
            <w:pPr>
              <w:spacing w:after="36" w:before="0"/>
            </w:pPr>
            <w:r>
              <w:rPr>
                <w:rFonts w:ascii="Arial" w:cs="Arial" w:eastAsia="Arial" w:hAnsi="Arial"/>
                <w:b/>
                <w:bCs/>
                <w:i w:val="false"/>
                <w:iCs w:val="false"/>
                <w:caps w:val="false"/>
                <w:color w:val="b91c1c"/>
                <w:sz w:val="15"/>
                <w:szCs w:val="15"/>
              </w:rPr>
              <w:t xml:space="preserve">Check the date of the last de-escalation training, not just whether it was ever provided.  </w:t>
            </w:r>
            <w:r>
              <w:rPr>
                <w:rFonts w:ascii="Arial" w:cs="Arial" w:eastAsia="Arial" w:hAnsi="Arial"/>
                <w:b w:val="false"/>
                <w:bCs w:val="false"/>
                <w:i w:val="false"/>
                <w:iCs w:val="false"/>
                <w:caps w:val="false"/>
                <w:color w:val="374151"/>
                <w:sz w:val="16"/>
                <w:szCs w:val="16"/>
              </w:rPr>
              <w:t xml:space="preserve">Skills without refreshers tend to fade, particularly for techniques used infrequently.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gakdhstqoc5_c7r_aknn8">
              <w:r>
                <w:rPr>
                  <w:rFonts w:ascii="Arial" w:cs="Arial" w:eastAsia="Arial" w:hAnsi="Arial"/>
                  <w:b/>
                  <w:bCs/>
                  <w:color w:val="c9a227"/>
                  <w:sz w:val="13"/>
                  <w:szCs w:val="13"/>
                  <w:u w:val="single"/>
                </w:rPr>
                <w:t xml:space="preserve">academy.gmj.ge/ch7-8-mental-health-emergency-response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7.9</w:t>
            </w:r>
            <w:r>
              <w:rPr>
                <w:rFonts w:ascii="Arial" w:cs="Arial" w:eastAsia="Arial" w:hAnsi="Arial"/>
                <w:b w:val="false"/>
                <w:bCs w:val="false"/>
                <w:i/>
                <w:iCs/>
                <w:caps w:val="false"/>
                <w:color w:val="8fa8c8"/>
                <w:sz w:val="10"/>
                <w:szCs w:val="10"/>
              </w:rPr>
              <w:t xml:space="preserve">  ·  Level 3  ·  Chapter 7: Emergency &amp; Critical Care</w:t>
            </w:r>
          </w:p>
          <w:p>
            <w:pPr>
              <w:spacing w:after="36" w:before="0"/>
            </w:pPr>
            <w:r>
              <w:rPr>
                <w:rFonts w:ascii="Arial" w:cs="Arial" w:eastAsia="Arial" w:hAnsi="Arial"/>
                <w:b/>
                <w:bCs/>
                <w:i w:val="false"/>
                <w:iCs w:val="false"/>
                <w:caps w:val="false"/>
                <w:color w:val="dce8f5"/>
                <w:sz w:val="12"/>
                <w:szCs w:val="12"/>
              </w:rPr>
              <w:t xml:space="preserve">Paediatric Emergency Protocols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Paediatric Emergency Protocols</w:t>
            </w:r>
          </w:p>
          <w:p>
            <w:pPr>
              <w:spacing w:after="36" w:before="0"/>
            </w:pPr>
            <w:r>
              <w:rPr>
                <w:rFonts w:ascii="Arial" w:cs="Arial" w:eastAsia="Arial" w:hAnsi="Arial"/>
                <w:b w:val="false"/>
                <w:bCs w:val="false"/>
                <w:i w:val="false"/>
                <w:iCs w:val="false"/>
                <w:caps w:val="false"/>
                <w:color w:val="4b5563"/>
                <w:sz w:val="15"/>
                <w:szCs w:val="15"/>
              </w:rPr>
              <w:t xml:space="preserve">The hospital has emergency protocols and equipment specifically adapted for paediatric patients, including weight-based dosing tools and staff trained in paediatric emergency care.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paediatric-specific emergency protocols in use, distinct from adult protocols?</w:t>
            </w:r>
          </w:p>
          <w:p>
            <w:pPr>
              <w:spacing w:after="7" w:before="0"/>
            </w:pPr>
            <w:r>
              <w:rPr>
                <w:rFonts w:ascii="Arial" w:cs="Arial" w:eastAsia="Arial" w:hAnsi="Arial"/>
                <w:b w:val="false"/>
                <w:bCs w:val="false"/>
                <w:i/>
                <w:iCs/>
                <w:caps w:val="false"/>
                <w:color w:val="4b5563"/>
                <w:sz w:val="15"/>
                <w:szCs w:val="15"/>
              </w:rPr>
              <w:t xml:space="preserve">Check protocols are adapted, not adult protocols applied without modification.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Paediatric emergency protocols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weight-based dosing tool, such as a length-based resuscitation tape, available and used?</w:t>
            </w:r>
          </w:p>
          <w:p>
            <w:pPr>
              <w:spacing w:after="7" w:before="0"/>
            </w:pPr>
            <w:r>
              <w:rPr>
                <w:rFonts w:ascii="Arial" w:cs="Arial" w:eastAsia="Arial" w:hAnsi="Arial"/>
                <w:b w:val="false"/>
                <w:bCs w:val="false"/>
                <w:i/>
                <w:iCs/>
                <w:caps w:val="false"/>
                <w:color w:val="4b5563"/>
                <w:sz w:val="15"/>
                <w:szCs w:val="15"/>
              </w:rPr>
              <w:t xml:space="preserve">Check for physical presence and evidence of use.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Weight-based dosing tool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paediatric-specific resuscitation equipment available in appropriate sizes?</w:t>
            </w:r>
          </w:p>
          <w:p>
            <w:pPr>
              <w:spacing w:after="7" w:before="0"/>
            </w:pPr>
            <w:r>
              <w:rPr>
                <w:rFonts w:ascii="Arial" w:cs="Arial" w:eastAsia="Arial" w:hAnsi="Arial"/>
                <w:b w:val="false"/>
                <w:bCs w:val="false"/>
                <w:i/>
                <w:iCs/>
                <w:caps w:val="false"/>
                <w:color w:val="4b5563"/>
                <w:sz w:val="15"/>
                <w:szCs w:val="15"/>
              </w:rPr>
              <w:t xml:space="preserve">Check equipment sizing against the range of paediatric patients seen.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Paediatric equipment inventory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who may treat paediatric emergencies specifically trained in paediatric emergency care?</w:t>
            </w:r>
          </w:p>
          <w:p>
            <w:pPr>
              <w:spacing w:after="7" w:before="0"/>
            </w:pPr>
            <w:r>
              <w:rPr>
                <w:rFonts w:ascii="Arial" w:cs="Arial" w:eastAsia="Arial" w:hAnsi="Arial"/>
                <w:b w:val="false"/>
                <w:bCs w:val="false"/>
                <w:i/>
                <w:iCs/>
                <w:caps w:val="false"/>
                <w:color w:val="4b5563"/>
                <w:sz w:val="15"/>
                <w:szCs w:val="15"/>
              </w:rPr>
              <w:t xml:space="preserve">Check training records for this specific competency, not only general life support.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Paediatric training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pathway for transferring a critically ill child to a higher level of paediatric care if the hospital cannot provide it?</w:t>
            </w:r>
          </w:p>
          <w:p>
            <w:pPr>
              <w:spacing w:after="7" w:before="0"/>
            </w:pPr>
            <w:r>
              <w:rPr>
                <w:rFonts w:ascii="Arial" w:cs="Arial" w:eastAsia="Arial" w:hAnsi="Arial"/>
                <w:b w:val="false"/>
                <w:bCs w:val="false"/>
                <w:i/>
                <w:iCs/>
                <w:caps w:val="false"/>
                <w:color w:val="4b5563"/>
                <w:sz w:val="15"/>
                <w:szCs w:val="15"/>
              </w:rPr>
              <w:t xml:space="preserve">Check for a named receiving facility and transfer protocol.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Paediatric transfer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Paediatric protocol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protocols for paediatric-specific adaptation, not unmodified adult protocols.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Dosing tool and equipment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for the physical presence of a weight-based dosing tool and appropriately sized paediatric equipment.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Paediatric training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Confirms staff have specific paediatric emergency care training, not only general life support certification.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Transfer pathway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defined transfer protocol and receiving facility arrangement for critically ill children.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jutop7afghorxyel8p7do">
              <w:r>
                <w:rPr>
                  <w:rFonts w:ascii="Arial" w:cs="Arial" w:eastAsia="Arial" w:hAnsi="Arial"/>
                  <w:b/>
                  <w:bCs/>
                  <w:color w:val="c9a227"/>
                  <w:sz w:val="13"/>
                  <w:szCs w:val="13"/>
                  <w:u w:val="single"/>
                </w:rPr>
                <w:t xml:space="preserve">World Health Organization. Pocket book of hospital care for children: guidelines for the management of common childhood illnesses. 2nd ed. Geneva: WHO; 2013.</w:t>
              </w:r>
            </w:hyperlink>
            <w:r>
              <w:rPr>
                <w:rFonts w:ascii="Arial" w:cs="Arial" w:eastAsia="Arial" w:hAnsi="Arial"/>
                <w:b/>
                <w:bCs/>
                <w:i w:val="false"/>
                <w:iCs w:val="false"/>
                <w:caps w:val="false"/>
                <w:color w:val="6b778c"/>
                <w:sz w:val="13"/>
                <w:szCs w:val="13"/>
              </w:rPr>
              <w:t xml:space="preserve">   2. </w:t>
            </w:r>
            <w:hyperlink w:history="1" r:id="rIdxf5pdu6ryoivivbgtx-g5">
              <w:r>
                <w:rPr>
                  <w:rFonts w:ascii="Arial" w:cs="Arial" w:eastAsia="Arial" w:hAnsi="Arial"/>
                  <w:b/>
                  <w:bCs/>
                  <w:color w:val="c9a227"/>
                  <w:sz w:val="13"/>
                  <w:szCs w:val="13"/>
                  <w:u w:val="single"/>
                </w:rPr>
                <w:t xml:space="preserve">American Academy of Pediatrics. Pediatric Education for Prehospital Professionals. Elk Grove Village: AAP; 2020.</w:t>
              </w:r>
            </w:hyperlink>
            <w:r>
              <w:rPr>
                <w:rFonts w:ascii="Arial" w:cs="Arial" w:eastAsia="Arial" w:hAnsi="Arial"/>
                <w:b/>
                <w:bCs/>
                <w:i w:val="false"/>
                <w:iCs w:val="false"/>
                <w:caps w:val="false"/>
                <w:color w:val="6b778c"/>
                <w:sz w:val="13"/>
                <w:szCs w:val="13"/>
              </w:rPr>
              <w:t xml:space="preserve">   3. </w:t>
            </w:r>
            <w:hyperlink w:history="1" r:id="rIdnksqzp32szevvbgpdp_ux">
              <w:r>
                <w:rPr>
                  <w:rFonts w:ascii="Arial" w:cs="Arial" w:eastAsia="Arial" w:hAnsi="Arial"/>
                  <w:b/>
                  <w:bCs/>
                  <w:color w:val="c9a227"/>
                  <w:sz w:val="13"/>
                  <w:szCs w:val="13"/>
                  <w:u w:val="single"/>
                </w:rPr>
                <w:t xml:space="preserve">World Health Organization. Emergency triage assessment and treatment (ETAT) guidelines. Geneva: WHO;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7.9</w:t>
            </w:r>
            <w:r>
              <w:rPr>
                <w:rFonts w:ascii="Arial" w:cs="Arial" w:eastAsia="Arial" w:hAnsi="Arial"/>
                <w:b w:val="false"/>
                <w:bCs w:val="false"/>
                <w:i/>
                <w:iCs/>
                <w:caps w:val="false"/>
                <w:color w:val="8fa8c8"/>
                <w:sz w:val="10"/>
                <w:szCs w:val="10"/>
              </w:rPr>
              <w:t xml:space="preserve">  ·  Level 3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Children are not simply small adults in an emergency — medication doses, equipment sizes, normal vital sign ranges, and even the pattern of deterioration differ substantially by age and weight, and applying adult protocols and equipment without adaptation is a well-documented source of paediatric medication error and delayed recognition of a sick child. Purpose-built paediatric protocols, sized equipment, and specifically trained staff address a genuinely distinct clinical population, not a scaled-down version of adult emergency care.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Pocket Book of Hospital Care for Children — structured, weight-based approaches to paediatric emergency dosing and management are strongly associated with reduced medication error and improved outcomes compared with unadapted adult protocols.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Paediatric-specific emergency protocols are in place, distinct from adult protocols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weight-based dosing tool is available and genuinely used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Paediatric resuscitation equipment is available in appropriate sizes for the range of children seen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who may treat paediatric emergencies hold specific paediatric emergency care training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named transfer pathway exists for critically ill children requiring a higher level of care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Adult protocols are applied to paediatric patients without adaptation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weight-based dosing tool is available or used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Paediatric equipment is missing, incomplete, or inappropriately sized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have only general life support training with no paediatric-specific component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transfer pathway exists for a critically ill child needing higher-level care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dosing tool exists but staff don’t consistently use it under pressure.</w:t>
            </w:r>
          </w:p>
          <w:p>
            <w:pPr>
              <w:spacing w:after="20" w:before="0"/>
            </w:pPr>
            <w:r>
              <w:rPr>
                <w:rFonts w:ascii="Arial" w:cs="Arial" w:eastAsia="Arial" w:hAnsi="Arial"/>
                <w:b w:val="false"/>
                <w:bCs w:val="false"/>
                <w:i/>
                <w:iCs/>
                <w:caps w:val="false"/>
                <w:color w:val="4b5563"/>
                <w:sz w:val="15"/>
                <w:szCs w:val="15"/>
              </w:rPr>
              <w:t xml:space="preserve">A length-based resuscitation tape or equivalent is available, but in a real emergency, staff sometimes calculate doses from memory rather than using the tool.</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Paediatric equipment exists but sizing doesn’t cover the full range of children seen.</w:t>
            </w:r>
          </w:p>
          <w:p>
            <w:pPr>
              <w:spacing w:after="20" w:before="0"/>
            </w:pPr>
            <w:r>
              <w:rPr>
                <w:rFonts w:ascii="Arial" w:cs="Arial" w:eastAsia="Arial" w:hAnsi="Arial"/>
                <w:b w:val="false"/>
                <w:bCs w:val="false"/>
                <w:i/>
                <w:iCs/>
                <w:caps w:val="false"/>
                <w:color w:val="4b5563"/>
                <w:sz w:val="15"/>
                <w:szCs w:val="15"/>
              </w:rPr>
              <w:t xml:space="preserve">Equipment is available for older children, but sizing for infants or very young children is incomplete.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Paediatric training was provided once but isn’t refreshed regularly.</w:t>
            </w:r>
          </w:p>
          <w:p>
            <w:pPr>
              <w:spacing w:after="36" w:before="0"/>
            </w:pPr>
            <w:r>
              <w:rPr>
                <w:rFonts w:ascii="Arial" w:cs="Arial" w:eastAsia="Arial" w:hAnsi="Arial"/>
                <w:b w:val="false"/>
                <w:bCs w:val="false"/>
                <w:i/>
                <w:iCs/>
                <w:caps w:val="false"/>
                <w:color w:val="4b5563"/>
                <w:sz w:val="15"/>
                <w:szCs w:val="15"/>
              </w:rPr>
              <w:t xml:space="preserve">Staff completed a paediatric emergency course at some point, but without periodic refreshers, confidence in paediatric-specific skills has likely declined.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adapt paediatric-specific emergency protocols, distinct from adult versions.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a weight-based dosing tool is available and reinforce its use in training.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paediatric equipment sizing against the actual range of children seen.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or establish paediatric-specific emergency training for relevant staff.</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and confirm the paediatric transfer pathway; refresh training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to see the dosing tool used in a real recent case, not just its presence.  </w:t>
            </w:r>
            <w:r>
              <w:rPr>
                <w:rFonts w:ascii="Arial" w:cs="Arial" w:eastAsia="Arial" w:hAnsi="Arial"/>
                <w:b w:val="false"/>
                <w:bCs w:val="false"/>
                <w:i w:val="false"/>
                <w:iCs w:val="false"/>
                <w:caps w:val="false"/>
                <w:color w:val="374151"/>
                <w:sz w:val="16"/>
                <w:szCs w:val="16"/>
              </w:rPr>
              <w:t xml:space="preserve">A tool that exists but is not actually reached for during a real emergency provides no real protection.</w:t>
            </w:r>
          </w:p>
          <w:p>
            <w:pPr>
              <w:spacing w:after="16" w:before="0"/>
            </w:pPr>
            <w:r>
              <w:rPr>
                <w:rFonts w:ascii="Arial" w:cs="Arial" w:eastAsia="Arial" w:hAnsi="Arial"/>
                <w:b/>
                <w:bCs/>
                <w:i w:val="false"/>
                <w:iCs w:val="false"/>
                <w:caps w:val="false"/>
                <w:color w:val="b91c1c"/>
                <w:sz w:val="15"/>
                <w:szCs w:val="15"/>
              </w:rPr>
              <w:t xml:space="preserve">Check equipment sizing for infants specifically, not just older children.  </w:t>
            </w:r>
            <w:r>
              <w:rPr>
                <w:rFonts w:ascii="Arial" w:cs="Arial" w:eastAsia="Arial" w:hAnsi="Arial"/>
                <w:b w:val="false"/>
                <w:bCs w:val="false"/>
                <w:i w:val="false"/>
                <w:iCs w:val="false"/>
                <w:caps w:val="false"/>
                <w:color w:val="374151"/>
                <w:sz w:val="16"/>
                <w:szCs w:val="16"/>
              </w:rPr>
              <w:t xml:space="preserve">Sizing gaps most often concentrate at the youngest, smallest end of the paediatric range.</w:t>
            </w:r>
          </w:p>
          <w:p>
            <w:pPr>
              <w:spacing w:after="36" w:before="0"/>
            </w:pPr>
            <w:r>
              <w:rPr>
                <w:rFonts w:ascii="Arial" w:cs="Arial" w:eastAsia="Arial" w:hAnsi="Arial"/>
                <w:b/>
                <w:bCs/>
                <w:i w:val="false"/>
                <w:iCs w:val="false"/>
                <w:caps w:val="false"/>
                <w:color w:val="b91c1c"/>
                <w:sz w:val="15"/>
                <w:szCs w:val="15"/>
              </w:rPr>
              <w:t xml:space="preserve">Ask about the transfer pathway as a real, recent example if one exists.  </w:t>
            </w:r>
            <w:r>
              <w:rPr>
                <w:rFonts w:ascii="Arial" w:cs="Arial" w:eastAsia="Arial" w:hAnsi="Arial"/>
                <w:b w:val="false"/>
                <w:bCs w:val="false"/>
                <w:i w:val="false"/>
                <w:iCs w:val="false"/>
                <w:caps w:val="false"/>
                <w:color w:val="374151"/>
                <w:sz w:val="16"/>
                <w:szCs w:val="16"/>
              </w:rPr>
              <w:t xml:space="preserve">A specific, well-executed transfer example demonstrates the pathway functions in practice, not only on paper.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geqgjw3dgdzxxvvzdif4g">
              <w:r>
                <w:rPr>
                  <w:rFonts w:ascii="Arial" w:cs="Arial" w:eastAsia="Arial" w:hAnsi="Arial"/>
                  <w:b/>
                  <w:bCs/>
                  <w:color w:val="c9a227"/>
                  <w:sz w:val="13"/>
                  <w:szCs w:val="13"/>
                  <w:u w:val="single"/>
                </w:rPr>
                <w:t xml:space="preserve">academy.gmj.ge/ch7-9-paediatric-emergency-protocols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7.10</w:t>
            </w:r>
            <w:r>
              <w:rPr>
                <w:rFonts w:ascii="Arial" w:cs="Arial" w:eastAsia="Arial" w:hAnsi="Arial"/>
                <w:b w:val="false"/>
                <w:bCs w:val="false"/>
                <w:i/>
                <w:iCs/>
                <w:caps w:val="false"/>
                <w:color w:val="8fa8c8"/>
                <w:sz w:val="10"/>
                <w:szCs w:val="10"/>
              </w:rPr>
              <w:t xml:space="preserve">  ·  Level 3  ·  Chapter 7: Emergency &amp; Critical Care</w:t>
            </w:r>
          </w:p>
          <w:p>
            <w:pPr>
              <w:spacing w:after="36" w:before="0"/>
            </w:pPr>
            <w:r>
              <w:rPr>
                <w:rFonts w:ascii="Arial" w:cs="Arial" w:eastAsia="Arial" w:hAnsi="Arial"/>
                <w:b/>
                <w:bCs/>
                <w:i w:val="false"/>
                <w:iCs w:val="false"/>
                <w:caps w:val="false"/>
                <w:color w:val="dce8f5"/>
                <w:sz w:val="12"/>
                <w:szCs w:val="12"/>
              </w:rPr>
              <w:t xml:space="preserve">Post-Emergency Debriefing and Review</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7.10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Post-Emergency Debriefing and Review</w:t>
            </w:r>
          </w:p>
          <w:p>
            <w:pPr>
              <w:spacing w:after="36" w:before="0"/>
            </w:pPr>
            <w:r>
              <w:rPr>
                <w:rFonts w:ascii="Arial" w:cs="Arial" w:eastAsia="Arial" w:hAnsi="Arial"/>
                <w:b w:val="false"/>
                <w:bCs w:val="false"/>
                <w:i w:val="false"/>
                <w:iCs w:val="false"/>
                <w:caps w:val="false"/>
                <w:color w:val="4b5563"/>
                <w:sz w:val="15"/>
                <w:szCs w:val="15"/>
              </w:rPr>
              <w:t xml:space="preserve">The hospital conducts structured debriefing after significant emergency events, both to support staff wellbeing and to identify systemic learning, with findings feeding into practice improvement.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structured debriefing after significant emergency events, such as a resuscitation or mass casualty response?</w:t>
            </w:r>
          </w:p>
          <w:p>
            <w:pPr>
              <w:spacing w:after="7" w:before="0"/>
            </w:pPr>
            <w:r>
              <w:rPr>
                <w:rFonts w:ascii="Arial" w:cs="Arial" w:eastAsia="Arial" w:hAnsi="Arial"/>
                <w:b w:val="false"/>
                <w:bCs w:val="false"/>
                <w:i/>
                <w:iCs/>
                <w:caps w:val="false"/>
                <w:color w:val="4b5563"/>
                <w:sz w:val="15"/>
                <w:szCs w:val="15"/>
              </w:rPr>
              <w:t xml:space="preserve">Check the process is proactive and routine, not dependent on someone requesting it.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Debriefing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debriefing address both staff wellbeing and clinical/systemic learning?</w:t>
            </w:r>
          </w:p>
          <w:p>
            <w:pPr>
              <w:spacing w:after="36" w:before="0"/>
            </w:pPr>
            <w:r>
              <w:rPr>
                <w:rFonts w:ascii="Arial" w:cs="Arial" w:eastAsia="Arial" w:hAnsi="Arial"/>
                <w:b w:val="false"/>
                <w:bCs w:val="false"/>
                <w:i/>
                <w:iCs/>
                <w:caps w:val="false"/>
                <w:color w:val="4b5563"/>
                <w:sz w:val="15"/>
                <w:szCs w:val="15"/>
              </w:rPr>
              <w:t xml:space="preserve">Check the format covers both dimensions, not only one.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debriefing findings documented and fed into a quality improvement process?</w:t>
            </w:r>
          </w:p>
          <w:p>
            <w:pPr>
              <w:spacing w:after="7" w:before="0"/>
            </w:pPr>
            <w:r>
              <w:rPr>
                <w:rFonts w:ascii="Arial" w:cs="Arial" w:eastAsia="Arial" w:hAnsi="Arial"/>
                <w:b w:val="false"/>
                <w:bCs w:val="false"/>
                <w:i/>
                <w:iCs/>
                <w:caps w:val="false"/>
                <w:color w:val="4b5563"/>
                <w:sz w:val="15"/>
                <w:szCs w:val="15"/>
              </w:rPr>
              <w:t xml:space="preserve">Check for a specific example of a practice change resulting from debriefing.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resulting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debriefing offered to all staff involved in an event, including support and non-clinical roles?</w:t>
            </w:r>
          </w:p>
          <w:p>
            <w:pPr>
              <w:spacing w:after="36" w:before="0"/>
            </w:pPr>
            <w:r>
              <w:rPr>
                <w:rFonts w:ascii="Arial" w:cs="Arial" w:eastAsia="Arial" w:hAnsi="Arial"/>
                <w:b w:val="false"/>
                <w:bCs w:val="false"/>
                <w:i/>
                <w:iCs/>
                <w:caps w:val="false"/>
                <w:color w:val="4b5563"/>
                <w:sz w:val="15"/>
                <w:szCs w:val="15"/>
              </w:rPr>
              <w:t xml:space="preserve">Check participation records for breadth across roles.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threshold or trigger for which events require structured debriefing?</w:t>
            </w:r>
          </w:p>
          <w:p>
            <w:pPr>
              <w:spacing w:after="7" w:before="0"/>
            </w:pPr>
            <w:r>
              <w:rPr>
                <w:rFonts w:ascii="Arial" w:cs="Arial" w:eastAsia="Arial" w:hAnsi="Arial"/>
                <w:b w:val="false"/>
                <w:bCs w:val="false"/>
                <w:i/>
                <w:iCs/>
                <w:caps w:val="false"/>
                <w:color w:val="4b5563"/>
                <w:sz w:val="15"/>
                <w:szCs w:val="15"/>
              </w:rPr>
              <w:t xml:space="preserve">Check the trigger criteria are specific, not left to individual judgement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Debriefing trigger criteria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Debriefing process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debriefing policy for proactive, routine application after significant events.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Debriefing format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that debriefing addresses both staff wellbeing and systemic/clinical learning.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Resulting change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practice change resulting from a debriefing finding.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Participation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debriefing participation records for inclusion of all involved roles, not only senior clinicians.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hrpbtoi0xlkhdotihnpw">
              <w:r>
                <w:rPr>
                  <w:rFonts w:ascii="Arial" w:cs="Arial" w:eastAsia="Arial" w:hAnsi="Arial"/>
                  <w:b/>
                  <w:bCs/>
                  <w:color w:val="c9a227"/>
                  <w:sz w:val="13"/>
                  <w:szCs w:val="13"/>
                  <w:u w:val="single"/>
                </w:rPr>
                <w:t xml:space="preserve">World Health Organization. Psychological first aid: guide for field workers. Geneva: WHO; 2011.</w:t>
              </w:r>
            </w:hyperlink>
            <w:r>
              <w:rPr>
                <w:rFonts w:ascii="Arial" w:cs="Arial" w:eastAsia="Arial" w:hAnsi="Arial"/>
                <w:b/>
                <w:bCs/>
                <w:i w:val="false"/>
                <w:iCs w:val="false"/>
                <w:caps w:val="false"/>
                <w:color w:val="6b778c"/>
                <w:sz w:val="13"/>
                <w:szCs w:val="13"/>
              </w:rPr>
              <w:t xml:space="preserve">   2. </w:t>
            </w:r>
            <w:hyperlink w:history="1" r:id="rIdygvfl6g0uox-iaoirsosn">
              <w:r>
                <w:rPr>
                  <w:rFonts w:ascii="Arial" w:cs="Arial" w:eastAsia="Arial" w:hAnsi="Arial"/>
                  <w:b/>
                  <w:bCs/>
                  <w:color w:val="c9a227"/>
                  <w:sz w:val="13"/>
                  <w:szCs w:val="13"/>
                  <w:u w:val="single"/>
                </w:rPr>
                <w:t xml:space="preserve">Rose S, Bisson J, Churchill R, Wessely S. Psychological debriefing for preventing post traumatic stress disorder (PTSD). Cochrane Database Syst Rev. 2002;(2):CD000560.</w:t>
              </w:r>
            </w:hyperlink>
            <w:r>
              <w:rPr>
                <w:rFonts w:ascii="Arial" w:cs="Arial" w:eastAsia="Arial" w:hAnsi="Arial"/>
                <w:b/>
                <w:bCs/>
                <w:i w:val="false"/>
                <w:iCs w:val="false"/>
                <w:caps w:val="false"/>
                <w:color w:val="6b778c"/>
                <w:sz w:val="13"/>
                <w:szCs w:val="13"/>
              </w:rPr>
              <w:t xml:space="preserve">   3. </w:t>
            </w:r>
            <w:hyperlink w:history="1" r:id="rIdegh9l_be4dt6rfbxujljn">
              <w:r>
                <w:rPr>
                  <w:rFonts w:ascii="Arial" w:cs="Arial" w:eastAsia="Arial" w:hAnsi="Arial"/>
                  <w:b/>
                  <w:bCs/>
                  <w:color w:val="c9a227"/>
                  <w:sz w:val="13"/>
                  <w:szCs w:val="13"/>
                  <w:u w:val="single"/>
                </w:rPr>
                <w:t xml:space="preserve">Eppich W, Cheng A. Promoting Excellence and Reflective Learning in Simulation (PEARLS): development and rationale for a blended approach to health care simulation debriefing. Simul Healthc. 2015;10(2):106-115.</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7.10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7.10</w:t>
            </w:r>
            <w:r>
              <w:rPr>
                <w:rFonts w:ascii="Arial" w:cs="Arial" w:eastAsia="Arial" w:hAnsi="Arial"/>
                <w:b w:val="false"/>
                <w:bCs w:val="false"/>
                <w:i/>
                <w:iCs/>
                <w:caps w:val="false"/>
                <w:color w:val="8fa8c8"/>
                <w:sz w:val="10"/>
                <w:szCs w:val="10"/>
              </w:rPr>
              <w:t xml:space="preserve">  ·  Level 3  ·  Chapter 7: Emergency &amp; Critical Care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ASF-CH7-ECC-v2.0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significant emergency event — a difficult resuscitation, a mass casualty response, a case that did not go as hoped — leaves both a systemic lesson and an emotional impact on the staff involved, and without structured debriefing, both are frequently lost: the lesson because no one formally captures it, and the emotional impact because staff are simply expected to move on to the next patient. Debriefing that genuinely addresses both dimensions protects staff wellbeing and turns difficult events into institutional learning rather than repeated, unexamined experience.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Eppich &amp; Cheng 2015 — structured, blended debriefing approaches that combine emotional processing with reflective clinical learning are associated with better staff psychological outcomes and more effective translation of events into practice change than either dimension addressed alone.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Structured debriefing is routinely offered after significant emergency events, proactively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Debriefing addresses both staff wellbeing and clinical or systemic learning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Findings are documented and demonstrably feed into practice improvement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Debriefing includes all staff involved, not only senior clinicians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Clear, specific criteria define which events trigger structured debriefing</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Debriefing happens only if someone specifically requests it, if at all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Debriefing focuses only on clinical technique, ignoring staff emotional impact, or vice versa</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Findings are discussed informally but never documented or acted 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Debriefing is limited to senior clinicians, excluding support and junior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trigger exists for which events require debriefing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Debriefing happens for major events but not consistently for smaller, still-significant ones.</w:t>
            </w:r>
          </w:p>
          <w:p>
            <w:pPr>
              <w:spacing w:after="20" w:before="0"/>
            </w:pPr>
            <w:r>
              <w:rPr>
                <w:rFonts w:ascii="Arial" w:cs="Arial" w:eastAsia="Arial" w:hAnsi="Arial"/>
                <w:b w:val="false"/>
                <w:bCs w:val="false"/>
                <w:i/>
                <w:iCs/>
                <w:caps w:val="false"/>
                <w:color w:val="4b5563"/>
                <w:sz w:val="15"/>
                <w:szCs w:val="15"/>
              </w:rPr>
              <w:t xml:space="preserve">Mass casualty events reliably trigger debriefing; a single difficult resuscitation or near-miss is debriefed less consistently.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Debriefing addresses wellbeing well but rarely produces a specific system change.</w:t>
            </w:r>
          </w:p>
          <w:p>
            <w:pPr>
              <w:spacing w:after="20" w:before="0"/>
            </w:pPr>
            <w:r>
              <w:rPr>
                <w:rFonts w:ascii="Arial" w:cs="Arial" w:eastAsia="Arial" w:hAnsi="Arial"/>
                <w:b w:val="false"/>
                <w:bCs w:val="false"/>
                <w:i/>
                <w:iCs/>
                <w:caps w:val="false"/>
                <w:color w:val="4b5563"/>
                <w:sz w:val="15"/>
                <w:szCs w:val="15"/>
              </w:rPr>
              <w:t xml:space="preserve">Staff describe debriefing as genuinely supportive, but few concrete practice improvements can be traced back to what was discussed.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Senior staff are debriefed thoroughly; junior and support staff are often left out.</w:t>
            </w:r>
          </w:p>
          <w:p>
            <w:pPr>
              <w:spacing w:after="36" w:before="0"/>
            </w:pPr>
            <w:r>
              <w:rPr>
                <w:rFonts w:ascii="Arial" w:cs="Arial" w:eastAsia="Arial" w:hAnsi="Arial"/>
                <w:b w:val="false"/>
                <w:bCs w:val="false"/>
                <w:i/>
                <w:iCs/>
                <w:caps w:val="false"/>
                <w:color w:val="4b5563"/>
                <w:sz w:val="15"/>
                <w:szCs w:val="15"/>
              </w:rPr>
              <w:t xml:space="preserve">The clinical lead and senior nurses participate fully in debriefing; porters, junior staff, or others present during the event are not always included.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define specific criteria for which events trigger structured debriefing.</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Ensure the debriefing format addresses both wellbeing and systemic learning.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debriefing invitations include all staff involved in an event, not only senior clinicians.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process for documenting debriefing findings and feeding them into quality improvement.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Conduct debriefing consistently against the defined triggers; track resulting practice changes.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specific practice change that came from a debriefing.  </w:t>
            </w:r>
            <w:r>
              <w:rPr>
                <w:rFonts w:ascii="Arial" w:cs="Arial" w:eastAsia="Arial" w:hAnsi="Arial"/>
                <w:b w:val="false"/>
                <w:bCs w:val="false"/>
                <w:i w:val="false"/>
                <w:iCs w:val="false"/>
                <w:caps w:val="false"/>
                <w:color w:val="374151"/>
                <w:sz w:val="16"/>
                <w:szCs w:val="16"/>
              </w:rPr>
              <w:t xml:space="preserve">This is the clearest evidence that debriefing produces real learning, not just a supportive conversation.</w:t>
            </w:r>
          </w:p>
          <w:p>
            <w:pPr>
              <w:spacing w:after="16" w:before="0"/>
            </w:pPr>
            <w:r>
              <w:rPr>
                <w:rFonts w:ascii="Arial" w:cs="Arial" w:eastAsia="Arial" w:hAnsi="Arial"/>
                <w:b/>
                <w:bCs/>
                <w:i w:val="false"/>
                <w:iCs w:val="false"/>
                <w:caps w:val="false"/>
                <w:color w:val="b91c1c"/>
                <w:sz w:val="15"/>
                <w:szCs w:val="15"/>
              </w:rPr>
              <w:t xml:space="preserve">Check who was actually invited to a recent debriefing.  </w:t>
            </w:r>
            <w:r>
              <w:rPr>
                <w:rFonts w:ascii="Arial" w:cs="Arial" w:eastAsia="Arial" w:hAnsi="Arial"/>
                <w:b w:val="false"/>
                <w:bCs w:val="false"/>
                <w:i w:val="false"/>
                <w:iCs w:val="false"/>
                <w:caps w:val="false"/>
                <w:color w:val="374151"/>
                <w:sz w:val="16"/>
                <w:szCs w:val="16"/>
              </w:rPr>
              <w:t xml:space="preserve">Participation lists that consistently exclude junior or support staff reveal a narrower process than the policy might suggest.</w:t>
            </w:r>
          </w:p>
          <w:p>
            <w:pPr>
              <w:spacing w:after="36" w:before="0"/>
            </w:pPr>
            <w:r>
              <w:rPr>
                <w:rFonts w:ascii="Arial" w:cs="Arial" w:eastAsia="Arial" w:hAnsi="Arial"/>
                <w:b/>
                <w:bCs/>
                <w:i w:val="false"/>
                <w:iCs w:val="false"/>
                <w:caps w:val="false"/>
                <w:color w:val="b91c1c"/>
                <w:sz w:val="15"/>
                <w:szCs w:val="15"/>
              </w:rPr>
              <w:t xml:space="preserve">Ask about a smaller event, not just the most recent major incident.  </w:t>
            </w:r>
            <w:r>
              <w:rPr>
                <w:rFonts w:ascii="Arial" w:cs="Arial" w:eastAsia="Arial" w:hAnsi="Arial"/>
                <w:b w:val="false"/>
                <w:bCs w:val="false"/>
                <w:i w:val="false"/>
                <w:iCs w:val="false"/>
                <w:caps w:val="false"/>
                <w:color w:val="374151"/>
                <w:sz w:val="16"/>
                <w:szCs w:val="16"/>
              </w:rPr>
              <w:t xml:space="preserve">Debriefing consistency for less dramatic but still significant events is a better test of whether the process is routine rather than reserved for the most visible cases.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kfqsak_9mzhixrniwi-s5">
              <w:r>
                <w:rPr>
                  <w:rFonts w:ascii="Arial" w:cs="Arial" w:eastAsia="Arial" w:hAnsi="Arial"/>
                  <w:b/>
                  <w:bCs/>
                  <w:color w:val="c9a227"/>
                  <w:sz w:val="13"/>
                  <w:szCs w:val="13"/>
                  <w:u w:val="single"/>
                </w:rPr>
                <w:t xml:space="preserve">academy.gmj.ge/ch7-10-post-emergency-debriefing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7: ECC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7.1 — Emergency Triage System</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Emergency triage assessment and treatment (ETAT) guidelines.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v8drhunpoqs14dzcfhtwt">
              <w:r>
                <w:rPr>
                  <w:rFonts w:ascii="Arial" w:cs="Arial" w:eastAsia="Arial" w:hAnsi="Arial"/>
                  <w:b/>
                  <w:bCs/>
                  <w:color w:val="c9a227"/>
                  <w:sz w:val="12"/>
                  <w:szCs w:val="12"/>
                  <w:u w:val="single"/>
                </w:rPr>
                <w:t xml:space="preserve">https://www.who.int/publications/i/item/9789241546875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Gilboy N, Tanabe P, Travers D, Rosenau AM. Emergency Severity Index (ESI): A Triage Tool for Emergency Department Care. Rockville: AHRQ; 2020.</w:t>
            </w:r>
          </w:p>
          <w:p>
            <w:pPr>
              <w:spacing w:after="36" w:before="0"/>
            </w:pPr>
            <w:r>
              <w:rPr>
                <w:rFonts w:ascii="Arial" w:cs="Arial" w:eastAsia="Arial" w:hAnsi="Arial"/>
                <w:b/>
                <w:bCs/>
                <w:i w:val="false"/>
                <w:iCs w:val="false"/>
                <w:caps w:val="false"/>
                <w:color w:val="6b778c"/>
                <w:sz w:val="12"/>
                <w:szCs w:val="12"/>
              </w:rPr>
              <w:t xml:space="preserve">URL: </w:t>
            </w:r>
            <w:hyperlink w:history="1" r:id="rId9mdbrbaq_qntxpl9c-yep">
              <w:r>
                <w:rPr>
                  <w:rFonts w:ascii="Arial" w:cs="Arial" w:eastAsia="Arial" w:hAnsi="Arial"/>
                  <w:b/>
                  <w:bCs/>
                  <w:color w:val="c9a227"/>
                  <w:sz w:val="12"/>
                  <w:szCs w:val="12"/>
                  <w:u w:val="single"/>
                </w:rPr>
                <w:t xml:space="preserve">https://www.ahrq.gov/patient-safety/settings/emergency-dept/esi.html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Integrated Management for Emergency and Essential Surgical Care toolkit.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xgr-r2rnnkf0gkh1tc1-b">
              <w:r>
                <w:rPr>
                  <w:rFonts w:ascii="Arial" w:cs="Arial" w:eastAsia="Arial" w:hAnsi="Arial"/>
                  <w:b/>
                  <w:bCs/>
                  <w:color w:val="c9a227"/>
                  <w:sz w:val="12"/>
                  <w:szCs w:val="12"/>
                  <w:u w:val="single"/>
                </w:rPr>
                <w:t xml:space="preserve">https://www.who.int/publications/i/item/9789241548339</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7.2 — Resuscitation Equipment and Readiness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Basic emergency care: approach to the acutely ill and injured.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bmtkvcjeyowwbtp0knahw">
              <w:r>
                <w:rPr>
                  <w:rFonts w:ascii="Arial" w:cs="Arial" w:eastAsia="Arial" w:hAnsi="Arial"/>
                  <w:b/>
                  <w:bCs/>
                  <w:color w:val="c9a227"/>
                  <w:sz w:val="12"/>
                  <w:szCs w:val="12"/>
                  <w:u w:val="single"/>
                </w:rPr>
                <w:t xml:space="preserve">https://www.who.int/publications/i/item/9789241513081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Liaison Committee on Resuscitation. 2020 International Consensus on Cardiopulmonary Resuscitation Science with Treatment Recommendations. Brussels: ILCOR; 2020.</w:t>
            </w:r>
          </w:p>
          <w:p>
            <w:pPr>
              <w:spacing w:after="36" w:before="0"/>
            </w:pPr>
            <w:r>
              <w:rPr>
                <w:rFonts w:ascii="Arial" w:cs="Arial" w:eastAsia="Arial" w:hAnsi="Arial"/>
                <w:b/>
                <w:bCs/>
                <w:i w:val="false"/>
                <w:iCs w:val="false"/>
                <w:caps w:val="false"/>
                <w:color w:val="6b778c"/>
                <w:sz w:val="12"/>
                <w:szCs w:val="12"/>
              </w:rPr>
              <w:t xml:space="preserve">URL: </w:t>
            </w:r>
            <w:hyperlink w:history="1" r:id="rIdhn9h39v27ymhbr4hia5kk">
              <w:r>
                <w:rPr>
                  <w:rFonts w:ascii="Arial" w:cs="Arial" w:eastAsia="Arial" w:hAnsi="Arial"/>
                  <w:b/>
                  <w:bCs/>
                  <w:color w:val="c9a227"/>
                  <w:sz w:val="12"/>
                  <w:szCs w:val="12"/>
                  <w:u w:val="single"/>
                </w:rPr>
                <w:t xml:space="preserve">https://www.ilcor.org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Resuscitation Council UK. Quality standards for cardiopulmonary resuscitation practice and training. London: RCUK; 2021.</w:t>
            </w:r>
          </w:p>
          <w:p>
            <w:pPr>
              <w:spacing w:after="36" w:before="0"/>
            </w:pPr>
            <w:r>
              <w:rPr>
                <w:rFonts w:ascii="Arial" w:cs="Arial" w:eastAsia="Arial" w:hAnsi="Arial"/>
                <w:b/>
                <w:bCs/>
                <w:i w:val="false"/>
                <w:iCs w:val="false"/>
                <w:caps w:val="false"/>
                <w:color w:val="6b778c"/>
                <w:sz w:val="12"/>
                <w:szCs w:val="12"/>
              </w:rPr>
              <w:t xml:space="preserve">URL: </w:t>
            </w:r>
            <w:hyperlink w:history="1" r:id="rIdcmnhyn64rqxtijeihhjuo">
              <w:r>
                <w:rPr>
                  <w:rFonts w:ascii="Arial" w:cs="Arial" w:eastAsia="Arial" w:hAnsi="Arial"/>
                  <w:b/>
                  <w:bCs/>
                  <w:color w:val="c9a227"/>
                  <w:sz w:val="12"/>
                  <w:szCs w:val="12"/>
                  <w:u w:val="single"/>
                </w:rPr>
                <w:t xml:space="preserve">https://www.resus.org.uk</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7.3 — Mass Casualty and Disaster Response Plan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Hospital emergency response checklist.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ujv0cyrwigbetlqlt7-iq">
              <w:r>
                <w:rPr>
                  <w:rFonts w:ascii="Arial" w:cs="Arial" w:eastAsia="Arial" w:hAnsi="Arial"/>
                  <w:b/>
                  <w:bCs/>
                  <w:color w:val="c9a227"/>
                  <w:sz w:val="12"/>
                  <w:szCs w:val="12"/>
                  <w:u w:val="single"/>
                </w:rPr>
                <w:t xml:space="preserve">https://www.who.int/publications/i/item/9789289000429</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Hospital safety index: guide for evaluators. 2nd ed.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edw7ayxndrjof9prp00mf">
              <w:r>
                <w:rPr>
                  <w:rFonts w:ascii="Arial" w:cs="Arial" w:eastAsia="Arial" w:hAnsi="Arial"/>
                  <w:b/>
                  <w:bCs/>
                  <w:color w:val="c9a227"/>
                  <w:sz w:val="12"/>
                  <w:szCs w:val="12"/>
                  <w:u w:val="single"/>
                </w:rPr>
                <w:t xml:space="preserve">https://www.who.int/publications/i/item/9789241548984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Pan American Health Organization. Hospitals safe from disasters. Washington DC: PAHO; 2008.</w:t>
            </w:r>
          </w:p>
          <w:p>
            <w:pPr>
              <w:spacing w:after="36" w:before="0"/>
            </w:pPr>
            <w:r>
              <w:rPr>
                <w:rFonts w:ascii="Arial" w:cs="Arial" w:eastAsia="Arial" w:hAnsi="Arial"/>
                <w:b/>
                <w:bCs/>
                <w:i w:val="false"/>
                <w:iCs w:val="false"/>
                <w:caps w:val="false"/>
                <w:color w:val="6b778c"/>
                <w:sz w:val="12"/>
                <w:szCs w:val="12"/>
              </w:rPr>
              <w:t xml:space="preserve">URL: </w:t>
            </w:r>
            <w:hyperlink w:history="1" r:id="rIdfo9-rxdig3l0cvjveipef">
              <w:r>
                <w:rPr>
                  <w:rFonts w:ascii="Arial" w:cs="Arial" w:eastAsia="Arial" w:hAnsi="Arial"/>
                  <w:b/>
                  <w:bCs/>
                  <w:color w:val="c9a227"/>
                  <w:sz w:val="12"/>
                  <w:szCs w:val="12"/>
                  <w:u w:val="single"/>
                </w:rPr>
                <w:t xml:space="preserve">https://www.paho.org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7.4 — Critical Care Admission and Discharge Criteria</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Basic emergency care: approach to the acutely ill and injured.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bdge40zohkhanqzljtgg4">
              <w:r>
                <w:rPr>
                  <w:rFonts w:ascii="Arial" w:cs="Arial" w:eastAsia="Arial" w:hAnsi="Arial"/>
                  <w:b/>
                  <w:bCs/>
                  <w:color w:val="c9a227"/>
                  <w:sz w:val="12"/>
                  <w:szCs w:val="12"/>
                  <w:u w:val="single"/>
                </w:rPr>
                <w:t xml:space="preserve">https://www.who.int/publications/i/item/9789241513081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Society of Critical Care Medicine. Guidelines for ICU admission, discharge, and triage. Crit Care Med. 2016;44(8):1553-1602.</w:t>
            </w:r>
          </w:p>
          <w:p>
            <w:pPr>
              <w:spacing w:after="36" w:before="0"/>
            </w:pPr>
            <w:r>
              <w:rPr>
                <w:rFonts w:ascii="Arial" w:cs="Arial" w:eastAsia="Arial" w:hAnsi="Arial"/>
                <w:b/>
                <w:bCs/>
                <w:i w:val="false"/>
                <w:iCs w:val="false"/>
                <w:caps w:val="false"/>
                <w:color w:val="6b778c"/>
                <w:sz w:val="12"/>
                <w:szCs w:val="12"/>
              </w:rPr>
              <w:t xml:space="preserve">URL: </w:t>
            </w:r>
            <w:hyperlink w:history="1" r:id="rId6w244_ovnjaai65xjixlc">
              <w:r>
                <w:rPr>
                  <w:rFonts w:ascii="Arial" w:cs="Arial" w:eastAsia="Arial" w:hAnsi="Arial"/>
                  <w:b/>
                  <w:bCs/>
                  <w:color w:val="c9a227"/>
                  <w:sz w:val="12"/>
                  <w:szCs w:val="12"/>
                  <w:u w:val="single"/>
                </w:rPr>
                <w:t xml:space="preserve">https://doi.org/10.1097/CCM.0000000000001856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Nates JL, Nunnally M, Kleinpell R, et al. ICU admission, discharge, and triage guidelines. Crit Care Med. 2016;44(8):1553-1602.</w:t>
            </w:r>
          </w:p>
          <w:p>
            <w:pPr>
              <w:spacing w:after="36" w:before="0"/>
            </w:pPr>
            <w:r>
              <w:rPr>
                <w:rFonts w:ascii="Arial" w:cs="Arial" w:eastAsia="Arial" w:hAnsi="Arial"/>
                <w:b/>
                <w:bCs/>
                <w:i w:val="false"/>
                <w:iCs w:val="false"/>
                <w:caps w:val="false"/>
                <w:color w:val="6b778c"/>
                <w:sz w:val="12"/>
                <w:szCs w:val="12"/>
              </w:rPr>
              <w:t xml:space="preserve">URL: </w:t>
            </w:r>
            <w:hyperlink w:history="1" r:id="rId3v6sbvsikzdamtb308lzo">
              <w:r>
                <w:rPr>
                  <w:rFonts w:ascii="Arial" w:cs="Arial" w:eastAsia="Arial" w:hAnsi="Arial"/>
                  <w:b/>
                  <w:bCs/>
                  <w:color w:val="c9a227"/>
                  <w:sz w:val="12"/>
                  <w:szCs w:val="12"/>
                  <w:u w:val="single"/>
                </w:rPr>
                <w:t xml:space="preserve">https://doi.org/10.1097/CCM.0000000000001856</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7.5 — Sepsis Recognition and Management Protocol</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Improving the prevention, diagnosis and clinical management of sepsis.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qngbkajwbc_9spaezbi3l">
              <w:r>
                <w:rPr>
                  <w:rFonts w:ascii="Arial" w:cs="Arial" w:eastAsia="Arial" w:hAnsi="Arial"/>
                  <w:b/>
                  <w:bCs/>
                  <w:color w:val="c9a227"/>
                  <w:sz w:val="12"/>
                  <w:szCs w:val="12"/>
                  <w:u w:val="single"/>
                </w:rPr>
                <w:t xml:space="preserve">https://www.who.int/publications/i/item/WHA70.7</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Rhodes A, Evans LE, Alhazzani W, et al. Surviving Sepsis Campaign: International Guidelines for Management of Sepsis and Septic Shock 2016. Intensive Care Med. 2017;43(3):304-377.</w:t>
            </w:r>
          </w:p>
          <w:p>
            <w:pPr>
              <w:spacing w:after="36" w:before="0"/>
            </w:pPr>
            <w:r>
              <w:rPr>
                <w:rFonts w:ascii="Arial" w:cs="Arial" w:eastAsia="Arial" w:hAnsi="Arial"/>
                <w:b/>
                <w:bCs/>
                <w:i w:val="false"/>
                <w:iCs w:val="false"/>
                <w:caps w:val="false"/>
                <w:color w:val="6b778c"/>
                <w:sz w:val="12"/>
                <w:szCs w:val="12"/>
              </w:rPr>
              <w:t xml:space="preserve">URL: </w:t>
            </w:r>
            <w:hyperlink w:history="1" r:id="rIdw3a-96zjge48d02vrqqqd">
              <w:r>
                <w:rPr>
                  <w:rFonts w:ascii="Arial" w:cs="Arial" w:eastAsia="Arial" w:hAnsi="Arial"/>
                  <w:b/>
                  <w:bCs/>
                  <w:color w:val="c9a227"/>
                  <w:sz w:val="12"/>
                  <w:szCs w:val="12"/>
                  <w:u w:val="single"/>
                </w:rPr>
                <w:t xml:space="preserve">https://doi.org/10.1007/s00134-017-4683-6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Seymour CW, Gesten F, Prescott HC, et al. Time to treatment and mortality during mandated emergency care for sepsis. N Engl J Med. 2017;376(23):2235-2244.</w:t>
            </w:r>
          </w:p>
          <w:p>
            <w:pPr>
              <w:spacing w:after="36" w:before="0"/>
            </w:pPr>
            <w:r>
              <w:rPr>
                <w:rFonts w:ascii="Arial" w:cs="Arial" w:eastAsia="Arial" w:hAnsi="Arial"/>
                <w:b/>
                <w:bCs/>
                <w:i w:val="false"/>
                <w:iCs w:val="false"/>
                <w:caps w:val="false"/>
                <w:color w:val="6b778c"/>
                <w:sz w:val="12"/>
                <w:szCs w:val="12"/>
              </w:rPr>
              <w:t xml:space="preserve">URL: </w:t>
            </w:r>
            <w:hyperlink w:history="1" r:id="rIddryoiyvaeodhnkg76aqhi">
              <w:r>
                <w:rPr>
                  <w:rFonts w:ascii="Arial" w:cs="Arial" w:eastAsia="Arial" w:hAnsi="Arial"/>
                  <w:b/>
                  <w:bCs/>
                  <w:color w:val="c9a227"/>
                  <w:sz w:val="12"/>
                  <w:szCs w:val="12"/>
                  <w:u w:val="single"/>
                </w:rPr>
                <w:t xml:space="preserve">https://doi.org/10.1056/NEJMoa1703058</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7.6 — Deteriorating Patient Recognition (Early Warning)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Royal College of Physicians. National Early Warning Score (NEWS2). London: RCP; 2017.</w:t>
            </w:r>
          </w:p>
          <w:p>
            <w:pPr>
              <w:spacing w:after="36" w:before="0"/>
            </w:pPr>
            <w:r>
              <w:rPr>
                <w:rFonts w:ascii="Arial" w:cs="Arial" w:eastAsia="Arial" w:hAnsi="Arial"/>
                <w:b/>
                <w:bCs/>
                <w:i w:val="false"/>
                <w:iCs w:val="false"/>
                <w:caps w:val="false"/>
                <w:color w:val="6b778c"/>
                <w:sz w:val="12"/>
                <w:szCs w:val="12"/>
              </w:rPr>
              <w:t xml:space="preserve">URL: </w:t>
            </w:r>
            <w:hyperlink w:history="1" r:id="rId_t2caj-uf2iyiqxezswr6">
              <w:r>
                <w:rPr>
                  <w:rFonts w:ascii="Arial" w:cs="Arial" w:eastAsia="Arial" w:hAnsi="Arial"/>
                  <w:b/>
                  <w:bCs/>
                  <w:color w:val="c9a227"/>
                  <w:sz w:val="12"/>
                  <w:szCs w:val="12"/>
                  <w:u w:val="single"/>
                </w:rPr>
                <w:t xml:space="preserve">https://www.rcplondon.ac.uk/projects/outputs/national-early-warning-score-news-2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DeVita MA, Bellomo R, Hillman K, et al. Findings of the first consensus conference on medical emergency teams. Crit Care Med. 2006;34(9):2463-2478.</w:t>
            </w:r>
          </w:p>
          <w:p>
            <w:pPr>
              <w:spacing w:after="36" w:before="0"/>
            </w:pPr>
            <w:r>
              <w:rPr>
                <w:rFonts w:ascii="Arial" w:cs="Arial" w:eastAsia="Arial" w:hAnsi="Arial"/>
                <w:b/>
                <w:bCs/>
                <w:i w:val="false"/>
                <w:iCs w:val="false"/>
                <w:caps w:val="false"/>
                <w:color w:val="6b778c"/>
                <w:sz w:val="12"/>
                <w:szCs w:val="12"/>
              </w:rPr>
              <w:t xml:space="preserve">URL: </w:t>
            </w:r>
            <w:hyperlink w:history="1" r:id="rIdm-gq5ja3j2otvbrjatvnr">
              <w:r>
                <w:rPr>
                  <w:rFonts w:ascii="Arial" w:cs="Arial" w:eastAsia="Arial" w:hAnsi="Arial"/>
                  <w:b/>
                  <w:bCs/>
                  <w:color w:val="c9a227"/>
                  <w:sz w:val="12"/>
                  <w:szCs w:val="12"/>
                  <w:u w:val="single"/>
                </w:rPr>
                <w:t xml:space="preserve">https://doi.org/10.1097/01.CCM.0000235743.38172.6E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Recognising and responding to clinical deterioration.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uthxuidhnt7fmc8tega20">
              <w:r>
                <w:rPr>
                  <w:rFonts w:ascii="Arial" w:cs="Arial" w:eastAsia="Arial" w:hAnsi="Arial"/>
                  <w:b/>
                  <w:bCs/>
                  <w:color w:val="c9a227"/>
                  <w:sz w:val="12"/>
                  <w:szCs w:val="12"/>
                  <w:u w:val="single"/>
                </w:rPr>
                <w:t xml:space="preserve">https://www.who.int/publications</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7.7 — Trauma Management Protocols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for trauma quality improvement programmes. Geneva: WHO; 2009.</w:t>
            </w:r>
          </w:p>
          <w:p>
            <w:pPr>
              <w:spacing w:after="36" w:before="0"/>
            </w:pPr>
            <w:r>
              <w:rPr>
                <w:rFonts w:ascii="Arial" w:cs="Arial" w:eastAsia="Arial" w:hAnsi="Arial"/>
                <w:b/>
                <w:bCs/>
                <w:i w:val="false"/>
                <w:iCs w:val="false"/>
                <w:caps w:val="false"/>
                <w:color w:val="6b778c"/>
                <w:sz w:val="12"/>
                <w:szCs w:val="12"/>
              </w:rPr>
              <w:t xml:space="preserve">URL: </w:t>
            </w:r>
            <w:hyperlink w:history="1" r:id="rIdnojsvqyvwughyehyptc-z">
              <w:r>
                <w:rPr>
                  <w:rFonts w:ascii="Arial" w:cs="Arial" w:eastAsia="Arial" w:hAnsi="Arial"/>
                  <w:b/>
                  <w:bCs/>
                  <w:color w:val="c9a227"/>
                  <w:sz w:val="12"/>
                  <w:szCs w:val="12"/>
                  <w:u w:val="single"/>
                </w:rPr>
                <w:t xml:space="preserve">https://www.who.int/publications/i/item/9789241597746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College of Surgeons Committee on Trauma. Advanced Trauma Life Support (ATLS) Student Course Manual. 10th ed. Chicago: ACS; 2018.</w:t>
            </w:r>
          </w:p>
          <w:p>
            <w:pPr>
              <w:spacing w:after="36" w:before="0"/>
            </w:pPr>
            <w:r>
              <w:rPr>
                <w:rFonts w:ascii="Arial" w:cs="Arial" w:eastAsia="Arial" w:hAnsi="Arial"/>
                <w:b/>
                <w:bCs/>
                <w:i w:val="false"/>
                <w:iCs w:val="false"/>
                <w:caps w:val="false"/>
                <w:color w:val="6b778c"/>
                <w:sz w:val="12"/>
                <w:szCs w:val="12"/>
              </w:rPr>
              <w:t xml:space="preserve">URL: </w:t>
            </w:r>
            <w:hyperlink w:history="1" r:id="rIdmgtvkbalc1vn_utir9ejj">
              <w:r>
                <w:rPr>
                  <w:rFonts w:ascii="Arial" w:cs="Arial" w:eastAsia="Arial" w:hAnsi="Arial"/>
                  <w:b/>
                  <w:bCs/>
                  <w:color w:val="c9a227"/>
                  <w:sz w:val="12"/>
                  <w:szCs w:val="12"/>
                  <w:u w:val="single"/>
                </w:rPr>
                <w:t xml:space="preserve">https://www.facs.org/quality-programs/trauma/education/atls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Prehospital trauma care systems. Geneva: WHO; 2005.</w:t>
            </w:r>
          </w:p>
          <w:p>
            <w:pPr>
              <w:spacing w:after="36" w:before="0"/>
            </w:pPr>
            <w:r>
              <w:rPr>
                <w:rFonts w:ascii="Arial" w:cs="Arial" w:eastAsia="Arial" w:hAnsi="Arial"/>
                <w:b/>
                <w:bCs/>
                <w:i w:val="false"/>
                <w:iCs w:val="false"/>
                <w:caps w:val="false"/>
                <w:color w:val="6b778c"/>
                <w:sz w:val="12"/>
                <w:szCs w:val="12"/>
              </w:rPr>
              <w:t xml:space="preserve">URL: </w:t>
            </w:r>
            <w:hyperlink w:history="1" r:id="rIdbw5mmnkfgjp0aiwyu-ago">
              <w:r>
                <w:rPr>
                  <w:rFonts w:ascii="Arial" w:cs="Arial" w:eastAsia="Arial" w:hAnsi="Arial"/>
                  <w:b/>
                  <w:bCs/>
                  <w:color w:val="c9a227"/>
                  <w:sz w:val="12"/>
                  <w:szCs w:val="12"/>
                  <w:u w:val="single"/>
                </w:rPr>
                <w:t xml:space="preserve">https://www.who.int/publications/i/item/9241546404</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7.8 — Mental Health Emergency Response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mhGAP Intervention Guide for mental, neurological and substance use disorders in non-specialized health settings.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6xwulpjvt1vp7-wztqc1i">
              <w:r>
                <w:rPr>
                  <w:rFonts w:ascii="Arial" w:cs="Arial" w:eastAsia="Arial" w:hAnsi="Arial"/>
                  <w:b/>
                  <w:bCs/>
                  <w:color w:val="c9a227"/>
                  <w:sz w:val="12"/>
                  <w:szCs w:val="12"/>
                  <w:u w:val="single"/>
                </w:rPr>
                <w:t xml:space="preserve">https://www.who.int/publications/i/item/9789241549790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on mental health promotive and preventive interventions for adolescents.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8rqh6clriuaumnsrvmx5z">
              <w:r>
                <w:rPr>
                  <w:rFonts w:ascii="Arial" w:cs="Arial" w:eastAsia="Arial" w:hAnsi="Arial"/>
                  <w:b/>
                  <w:bCs/>
                  <w:color w:val="c9a227"/>
                  <w:sz w:val="12"/>
                  <w:szCs w:val="12"/>
                  <w:u w:val="single"/>
                </w:rPr>
                <w:t xml:space="preserve">https://www.who.int/publications/i/item/9789240011854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Institute for Mental Health. Practice guideline for the assessment and management of patients at risk for suicide. Rockville: NIMH; 2019.</w:t>
            </w:r>
          </w:p>
          <w:p>
            <w:pPr>
              <w:spacing w:after="36" w:before="0"/>
            </w:pPr>
            <w:r>
              <w:rPr>
                <w:rFonts w:ascii="Arial" w:cs="Arial" w:eastAsia="Arial" w:hAnsi="Arial"/>
                <w:b/>
                <w:bCs/>
                <w:i w:val="false"/>
                <w:iCs w:val="false"/>
                <w:caps w:val="false"/>
                <w:color w:val="6b778c"/>
                <w:sz w:val="12"/>
                <w:szCs w:val="12"/>
              </w:rPr>
              <w:t xml:space="preserve">URL: </w:t>
            </w:r>
            <w:hyperlink w:history="1" r:id="rId2os_c5y2mdfmtuvfxay4w">
              <w:r>
                <w:rPr>
                  <w:rFonts w:ascii="Arial" w:cs="Arial" w:eastAsia="Arial" w:hAnsi="Arial"/>
                  <w:b/>
                  <w:bCs/>
                  <w:color w:val="c9a227"/>
                  <w:sz w:val="12"/>
                  <w:szCs w:val="12"/>
                  <w:u w:val="single"/>
                </w:rPr>
                <w:t xml:space="preserve">https://www.nimh.nih.gov</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7.9 — Paediatric Emergency Protocols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Pocket book of hospital care for children: guidelines for the management of common childhood illnesses. 2nd ed. Geneva: WHO; 2013.</w:t>
            </w:r>
          </w:p>
          <w:p>
            <w:pPr>
              <w:spacing w:after="36" w:before="0"/>
            </w:pPr>
            <w:r>
              <w:rPr>
                <w:rFonts w:ascii="Arial" w:cs="Arial" w:eastAsia="Arial" w:hAnsi="Arial"/>
                <w:b/>
                <w:bCs/>
                <w:i w:val="false"/>
                <w:iCs w:val="false"/>
                <w:caps w:val="false"/>
                <w:color w:val="6b778c"/>
                <w:sz w:val="12"/>
                <w:szCs w:val="12"/>
              </w:rPr>
              <w:t xml:space="preserve">URL: </w:t>
            </w:r>
            <w:hyperlink w:history="1" r:id="rIdfpypccmwlygvzx_sxkrk3">
              <w:r>
                <w:rPr>
                  <w:rFonts w:ascii="Arial" w:cs="Arial" w:eastAsia="Arial" w:hAnsi="Arial"/>
                  <w:b/>
                  <w:bCs/>
                  <w:color w:val="c9a227"/>
                  <w:sz w:val="12"/>
                  <w:szCs w:val="12"/>
                  <w:u w:val="single"/>
                </w:rPr>
                <w:t xml:space="preserve">https://www.who.int/publications/i/item/978-92-4-154837-3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Academy of Pediatrics. Pediatric Education for Prehospital Professionals. Elk Grove Village: AAP; 2020.</w:t>
            </w:r>
          </w:p>
          <w:p>
            <w:pPr>
              <w:spacing w:after="36" w:before="0"/>
            </w:pPr>
            <w:r>
              <w:rPr>
                <w:rFonts w:ascii="Arial" w:cs="Arial" w:eastAsia="Arial" w:hAnsi="Arial"/>
                <w:b/>
                <w:bCs/>
                <w:i w:val="false"/>
                <w:iCs w:val="false"/>
                <w:caps w:val="false"/>
                <w:color w:val="6b778c"/>
                <w:sz w:val="12"/>
                <w:szCs w:val="12"/>
              </w:rPr>
              <w:t xml:space="preserve">URL: </w:t>
            </w:r>
            <w:hyperlink w:history="1" r:id="rIdwdb0-k3ms6f8tfwxgj9af">
              <w:r>
                <w:rPr>
                  <w:rFonts w:ascii="Arial" w:cs="Arial" w:eastAsia="Arial" w:hAnsi="Arial"/>
                  <w:b/>
                  <w:bCs/>
                  <w:color w:val="c9a227"/>
                  <w:sz w:val="12"/>
                  <w:szCs w:val="12"/>
                  <w:u w:val="single"/>
                </w:rPr>
                <w:t xml:space="preserve">https://www.aap.org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Emergency triage assessment and treatment (ETAT) guidelines.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qfqyqrgm1h-4cmrz1j0y4">
              <w:r>
                <w:rPr>
                  <w:rFonts w:ascii="Arial" w:cs="Arial" w:eastAsia="Arial" w:hAnsi="Arial"/>
                  <w:b/>
                  <w:bCs/>
                  <w:color w:val="c9a227"/>
                  <w:sz w:val="12"/>
                  <w:szCs w:val="12"/>
                  <w:u w:val="single"/>
                </w:rPr>
                <w:t xml:space="preserve">https://www.who.int/publications/i/item/9789241546875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7.10 — Post-Emergency Debriefing and Review</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Psychological first aid: guide for field workers.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6dmxbqgmtvaznixj40npi">
              <w:r>
                <w:rPr>
                  <w:rFonts w:ascii="Arial" w:cs="Arial" w:eastAsia="Arial" w:hAnsi="Arial"/>
                  <w:b/>
                  <w:bCs/>
                  <w:color w:val="c9a227"/>
                  <w:sz w:val="12"/>
                  <w:szCs w:val="12"/>
                  <w:u w:val="single"/>
                </w:rPr>
                <w:t xml:space="preserve">https://www.who.int/publications/i/item/9789241548205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Rose S, Bisson J, Churchill R, Wessely S. Psychological debriefing for preventing post traumatic stress disorder (PTSD). Cochrane Database Syst Rev. 2002;(2):CD000560.</w:t>
            </w:r>
          </w:p>
          <w:p>
            <w:pPr>
              <w:spacing w:after="36" w:before="0"/>
            </w:pPr>
            <w:r>
              <w:rPr>
                <w:rFonts w:ascii="Arial" w:cs="Arial" w:eastAsia="Arial" w:hAnsi="Arial"/>
                <w:b/>
                <w:bCs/>
                <w:i w:val="false"/>
                <w:iCs w:val="false"/>
                <w:caps w:val="false"/>
                <w:color w:val="6b778c"/>
                <w:sz w:val="12"/>
                <w:szCs w:val="12"/>
              </w:rPr>
              <w:t xml:space="preserve">URL: </w:t>
            </w:r>
            <w:hyperlink w:history="1" r:id="rId4nesxzijxerwk0_rka5yp">
              <w:r>
                <w:rPr>
                  <w:rFonts w:ascii="Arial" w:cs="Arial" w:eastAsia="Arial" w:hAnsi="Arial"/>
                  <w:b/>
                  <w:bCs/>
                  <w:color w:val="c9a227"/>
                  <w:sz w:val="12"/>
                  <w:szCs w:val="12"/>
                  <w:u w:val="single"/>
                </w:rPr>
                <w:t xml:space="preserve">https://doi.org/10.1002/14651858.CD000560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Eppich W, Cheng A. Promoting Excellence and Reflective Learning in Simulation (PEARLS): development and rationale for a blended approach to health care simulation debriefing. Simul Healthc. 2015;10(2):106-115.</w:t>
            </w:r>
          </w:p>
          <w:p>
            <w:pPr>
              <w:spacing w:after="36" w:before="0"/>
            </w:pPr>
            <w:r>
              <w:rPr>
                <w:rFonts w:ascii="Arial" w:cs="Arial" w:eastAsia="Arial" w:hAnsi="Arial"/>
                <w:b/>
                <w:bCs/>
                <w:i w:val="false"/>
                <w:iCs w:val="false"/>
                <w:caps w:val="false"/>
                <w:color w:val="6b778c"/>
                <w:sz w:val="12"/>
                <w:szCs w:val="12"/>
              </w:rPr>
              <w:t xml:space="preserve">URL: </w:t>
            </w:r>
            <w:hyperlink w:history="1" r:id="rIdd-hldimayxrec8ipwjeaz">
              <w:r>
                <w:rPr>
                  <w:rFonts w:ascii="Arial" w:cs="Arial" w:eastAsia="Arial" w:hAnsi="Arial"/>
                  <w:b/>
                  <w:bCs/>
                  <w:color w:val="c9a227"/>
                  <w:sz w:val="12"/>
                  <w:szCs w:val="12"/>
                  <w:u w:val="single"/>
                </w:rPr>
                <w:t xml:space="preserve">https://doi.org/10.1097/SIH.0000000000000072</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7: ECC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29</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Activation criteria — trauma team  </w:t>
            </w:r>
            <w:r>
              <w:rPr>
                <w:rFonts w:ascii="Arial" w:cs="Arial" w:eastAsia="Arial" w:hAnsi="Arial"/>
                <w:b w:val="false"/>
                <w:bCs w:val="false"/>
                <w:i w:val="false"/>
                <w:iCs w:val="false"/>
                <w:caps w:val="false"/>
                <w:color w:val="6b778c"/>
                <w:sz w:val="12"/>
                <w:szCs w:val="12"/>
              </w:rPr>
              <w:t xml:space="preserve">7.7 (p.15)</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Bundle — sepsis  </w:t>
            </w:r>
            <w:r>
              <w:rPr>
                <w:rFonts w:ascii="Arial" w:cs="Arial" w:eastAsia="Arial" w:hAnsi="Arial"/>
                <w:b w:val="false"/>
                <w:bCs w:val="false"/>
                <w:i w:val="false"/>
                <w:iCs w:val="false"/>
                <w:caps w:val="false"/>
                <w:color w:val="6b778c"/>
                <w:sz w:val="12"/>
                <w:szCs w:val="12"/>
              </w:rPr>
              <w:t xml:space="preserve">7.5 (p.11)</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Critical care admission criteria  </w:t>
            </w:r>
            <w:r>
              <w:rPr>
                <w:rFonts w:ascii="Arial" w:cs="Arial" w:eastAsia="Arial" w:hAnsi="Arial"/>
                <w:b w:val="false"/>
                <w:bCs w:val="false"/>
                <w:i w:val="false"/>
                <w:iCs w:val="false"/>
                <w:caps w:val="false"/>
                <w:color w:val="6b778c"/>
                <w:sz w:val="12"/>
                <w:szCs w:val="12"/>
              </w:rPr>
              <w:t xml:space="preserve">7.4 (p.9)</w:t>
            </w:r>
          </w:p>
          <w:p>
            <w:pPr>
              <w:spacing w:after="10" w:before="0"/>
            </w:pPr>
            <w:r>
              <w:rPr>
                <w:rFonts w:ascii="Arial" w:cs="Arial" w:eastAsia="Arial" w:hAnsi="Arial"/>
                <w:b/>
                <w:bCs/>
                <w:i w:val="false"/>
                <w:iCs w:val="false"/>
                <w:caps w:val="false"/>
                <w:color w:val="14335c"/>
                <w:sz w:val="13"/>
                <w:szCs w:val="13"/>
              </w:rPr>
              <w:t xml:space="preserve">De-escalation training  </w:t>
            </w:r>
            <w:r>
              <w:rPr>
                <w:rFonts w:ascii="Arial" w:cs="Arial" w:eastAsia="Arial" w:hAnsi="Arial"/>
                <w:b w:val="false"/>
                <w:bCs w:val="false"/>
                <w:i w:val="false"/>
                <w:iCs w:val="false"/>
                <w:caps w:val="false"/>
                <w:color w:val="6b778c"/>
                <w:sz w:val="12"/>
                <w:szCs w:val="12"/>
              </w:rPr>
              <w:t xml:space="preserve">7.8 (p.17)</w:t>
            </w:r>
          </w:p>
          <w:p>
            <w:pPr>
              <w:spacing w:after="10" w:before="0"/>
            </w:pPr>
            <w:r>
              <w:rPr>
                <w:rFonts w:ascii="Arial" w:cs="Arial" w:eastAsia="Arial" w:hAnsi="Arial"/>
                <w:b/>
                <w:bCs/>
                <w:i w:val="false"/>
                <w:iCs w:val="false"/>
                <w:caps w:val="false"/>
                <w:color w:val="14335c"/>
                <w:sz w:val="13"/>
                <w:szCs w:val="13"/>
              </w:rPr>
              <w:t xml:space="preserve">Debriefing — structured post-emergency  </w:t>
            </w:r>
            <w:r>
              <w:rPr>
                <w:rFonts w:ascii="Arial" w:cs="Arial" w:eastAsia="Arial" w:hAnsi="Arial"/>
                <w:b w:val="false"/>
                <w:bCs w:val="false"/>
                <w:i w:val="false"/>
                <w:iCs w:val="false"/>
                <w:caps w:val="false"/>
                <w:color w:val="6b778c"/>
                <w:sz w:val="12"/>
                <w:szCs w:val="12"/>
              </w:rPr>
              <w:t xml:space="preserve">7.10 (p.21)</w:t>
            </w:r>
          </w:p>
          <w:p>
            <w:pPr>
              <w:spacing w:after="10" w:before="0"/>
            </w:pPr>
            <w:r>
              <w:rPr>
                <w:rFonts w:ascii="Arial" w:cs="Arial" w:eastAsia="Arial" w:hAnsi="Arial"/>
                <w:b/>
                <w:bCs/>
                <w:i w:val="false"/>
                <w:iCs w:val="false"/>
                <w:caps w:val="false"/>
                <w:color w:val="14335c"/>
                <w:sz w:val="13"/>
                <w:szCs w:val="13"/>
              </w:rPr>
              <w:t xml:space="preserve">Disaster plan — mass casualty  </w:t>
            </w:r>
            <w:r>
              <w:rPr>
                <w:rFonts w:ascii="Arial" w:cs="Arial" w:eastAsia="Arial" w:hAnsi="Arial"/>
                <w:b w:val="false"/>
                <w:bCs w:val="false"/>
                <w:i w:val="false"/>
                <w:iCs w:val="false"/>
                <w:caps w:val="false"/>
                <w:color w:val="6b778c"/>
                <w:sz w:val="12"/>
                <w:szCs w:val="12"/>
              </w:rPr>
              <w:t xml:space="preserve">7.3 (p.7)</w:t>
            </w:r>
          </w:p>
          <w:p>
            <w:pPr>
              <w:spacing w:after="10" w:before="0"/>
            </w:pPr>
            <w:r>
              <w:rPr>
                <w:rFonts w:ascii="Arial" w:cs="Arial" w:eastAsia="Arial" w:hAnsi="Arial"/>
                <w:b/>
                <w:bCs/>
                <w:i w:val="false"/>
                <w:iCs w:val="false"/>
                <w:caps w:val="false"/>
                <w:color w:val="14335c"/>
                <w:sz w:val="13"/>
                <w:szCs w:val="13"/>
              </w:rPr>
              <w:t xml:space="preserve">Drill — disaster response  </w:t>
            </w:r>
            <w:r>
              <w:rPr>
                <w:rFonts w:ascii="Arial" w:cs="Arial" w:eastAsia="Arial" w:hAnsi="Arial"/>
                <w:b w:val="false"/>
                <w:bCs w:val="false"/>
                <w:i w:val="false"/>
                <w:iCs w:val="false"/>
                <w:caps w:val="false"/>
                <w:color w:val="6b778c"/>
                <w:sz w:val="12"/>
                <w:szCs w:val="12"/>
              </w:rPr>
              <w:t xml:space="preserve">7.3 (p.7)</w:t>
            </w:r>
          </w:p>
          <w:p>
            <w:pPr>
              <w:spacing w:after="10" w:before="0"/>
            </w:pPr>
            <w:r>
              <w:rPr>
                <w:rFonts w:ascii="Arial" w:cs="Arial" w:eastAsia="Arial" w:hAnsi="Arial"/>
                <w:b/>
                <w:bCs/>
                <w:i w:val="false"/>
                <w:iCs w:val="false"/>
                <w:caps w:val="false"/>
                <w:color w:val="14335c"/>
                <w:sz w:val="13"/>
                <w:szCs w:val="13"/>
              </w:rPr>
              <w:t xml:space="preserve">Early warning score — hospital-wide  </w:t>
            </w:r>
            <w:r>
              <w:rPr>
                <w:rFonts w:ascii="Arial" w:cs="Arial" w:eastAsia="Arial" w:hAnsi="Arial"/>
                <w:b w:val="false"/>
                <w:bCs w:val="false"/>
                <w:i w:val="false"/>
                <w:iCs w:val="false"/>
                <w:caps w:val="false"/>
                <w:color w:val="6b778c"/>
                <w:sz w:val="12"/>
                <w:szCs w:val="12"/>
              </w:rPr>
              <w:t xml:space="preserve">7.6 (p.13)</w:t>
            </w:r>
          </w:p>
          <w:p>
            <w:pPr>
              <w:spacing w:after="10" w:before="0"/>
            </w:pPr>
            <w:r>
              <w:rPr>
                <w:rFonts w:ascii="Arial" w:cs="Arial" w:eastAsia="Arial" w:hAnsi="Arial"/>
                <w:b/>
                <w:bCs/>
                <w:i w:val="false"/>
                <w:iCs w:val="false"/>
                <w:caps w:val="false"/>
                <w:color w:val="14335c"/>
                <w:sz w:val="13"/>
                <w:szCs w:val="13"/>
              </w:rPr>
              <w:t xml:space="preserve">Escalation pathway — rapid response team  </w:t>
            </w:r>
            <w:r>
              <w:rPr>
                <w:rFonts w:ascii="Arial" w:cs="Arial" w:eastAsia="Arial" w:hAnsi="Arial"/>
                <w:b w:val="false"/>
                <w:bCs w:val="false"/>
                <w:i w:val="false"/>
                <w:iCs w:val="false"/>
                <w:caps w:val="false"/>
                <w:color w:val="6b778c"/>
                <w:sz w:val="12"/>
                <w:szCs w:val="12"/>
              </w:rPr>
              <w:t xml:space="preserve">7.6 (p.13)</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7.1–7.5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7.6–7.8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7.9–7.10 (p.19–22)</w:t>
            </w:r>
          </w:p>
          <w:p>
            <w:pPr>
              <w:spacing w:after="10" w:before="0"/>
            </w:pPr>
            <w:r>
              <w:rPr>
                <w:rFonts w:ascii="Arial" w:cs="Arial" w:eastAsia="Arial" w:hAnsi="Arial"/>
                <w:b/>
                <w:bCs/>
                <w:i w:val="false"/>
                <w:iCs w:val="false"/>
                <w:caps w:val="false"/>
                <w:color w:val="14335c"/>
                <w:sz w:val="13"/>
                <w:szCs w:val="13"/>
              </w:rPr>
              <w:t xml:space="preserve">Mental health emergency protocol  </w:t>
            </w:r>
            <w:r>
              <w:rPr>
                <w:rFonts w:ascii="Arial" w:cs="Arial" w:eastAsia="Arial" w:hAnsi="Arial"/>
                <w:b w:val="false"/>
                <w:bCs w:val="false"/>
                <w:i w:val="false"/>
                <w:iCs w:val="false"/>
                <w:caps w:val="false"/>
                <w:color w:val="6b778c"/>
                <w:sz w:val="12"/>
                <w:szCs w:val="12"/>
              </w:rPr>
              <w:t xml:space="preserve">7.8 (p.17)</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Paediatric emergency protocols  </w:t>
            </w:r>
            <w:r>
              <w:rPr>
                <w:rFonts w:ascii="Arial" w:cs="Arial" w:eastAsia="Arial" w:hAnsi="Arial"/>
                <w:b w:val="false"/>
                <w:bCs w:val="false"/>
                <w:i w:val="false"/>
                <w:iCs w:val="false"/>
                <w:caps w:val="false"/>
                <w:color w:val="6b778c"/>
                <w:sz w:val="12"/>
                <w:szCs w:val="12"/>
              </w:rPr>
              <w:t xml:space="preserve">7.9 (p.19)</w:t>
            </w:r>
          </w:p>
          <w:p>
            <w:pPr>
              <w:spacing w:after="10" w:before="0"/>
            </w:pPr>
            <w:r>
              <w:rPr>
                <w:rFonts w:ascii="Arial" w:cs="Arial" w:eastAsia="Arial" w:hAnsi="Arial"/>
                <w:b/>
                <w:bCs/>
                <w:i w:val="false"/>
                <w:iCs w:val="false"/>
                <w:caps w:val="false"/>
                <w:color w:val="14335c"/>
                <w:sz w:val="13"/>
                <w:szCs w:val="13"/>
              </w:rPr>
              <w:t xml:space="preserve">Rapid response / medical emergency team  </w:t>
            </w:r>
            <w:r>
              <w:rPr>
                <w:rFonts w:ascii="Arial" w:cs="Arial" w:eastAsia="Arial" w:hAnsi="Arial"/>
                <w:b w:val="false"/>
                <w:bCs w:val="false"/>
                <w:i w:val="false"/>
                <w:iCs w:val="false"/>
                <w:caps w:val="false"/>
                <w:color w:val="6b778c"/>
                <w:sz w:val="12"/>
                <w:szCs w:val="12"/>
              </w:rPr>
              <w:t xml:space="preserve">7.6 (p.13)</w:t>
            </w:r>
          </w:p>
          <w:p>
            <w:pPr>
              <w:spacing w:after="10" w:before="0"/>
            </w:pPr>
            <w:r>
              <w:rPr>
                <w:rFonts w:ascii="Arial" w:cs="Arial" w:eastAsia="Arial" w:hAnsi="Arial"/>
                <w:b/>
                <w:bCs/>
                <w:i w:val="false"/>
                <w:iCs w:val="false"/>
                <w:caps w:val="false"/>
                <w:color w:val="14335c"/>
                <w:sz w:val="13"/>
                <w:szCs w:val="13"/>
              </w:rPr>
              <w:t xml:space="preserve">Resuscitation equipment check  </w:t>
            </w:r>
            <w:r>
              <w:rPr>
                <w:rFonts w:ascii="Arial" w:cs="Arial" w:eastAsia="Arial" w:hAnsi="Arial"/>
                <w:b w:val="false"/>
                <w:bCs w:val="false"/>
                <w:i w:val="false"/>
                <w:iCs w:val="false"/>
                <w:caps w:val="false"/>
                <w:color w:val="6b778c"/>
                <w:sz w:val="12"/>
                <w:szCs w:val="12"/>
              </w:rPr>
              <w:t xml:space="preserve">7.2 (p.5)</w:t>
            </w:r>
          </w:p>
          <w:p>
            <w:pPr>
              <w:spacing w:after="10" w:before="0"/>
            </w:pPr>
            <w:r>
              <w:rPr>
                <w:rFonts w:ascii="Arial" w:cs="Arial" w:eastAsia="Arial" w:hAnsi="Arial"/>
                <w:b/>
                <w:bCs/>
                <w:i w:val="false"/>
                <w:iCs w:val="false"/>
                <w:caps w:val="false"/>
                <w:color w:val="14335c"/>
                <w:sz w:val="13"/>
                <w:szCs w:val="13"/>
              </w:rPr>
              <w:t xml:space="preserve">Risk assessment — self-harm  </w:t>
            </w:r>
            <w:r>
              <w:rPr>
                <w:rFonts w:ascii="Arial" w:cs="Arial" w:eastAsia="Arial" w:hAnsi="Arial"/>
                <w:b w:val="false"/>
                <w:bCs w:val="false"/>
                <w:i w:val="false"/>
                <w:iCs w:val="false"/>
                <w:caps w:val="false"/>
                <w:color w:val="6b778c"/>
                <w:sz w:val="12"/>
                <w:szCs w:val="12"/>
              </w:rPr>
              <w:t xml:space="preserve">7.8 (p.17)</w:t>
            </w:r>
          </w:p>
          <w:p>
            <w:pPr>
              <w:spacing w:after="10" w:before="0"/>
            </w:pPr>
            <w:r>
              <w:rPr>
                <w:rFonts w:ascii="Arial" w:cs="Arial" w:eastAsia="Arial" w:hAnsi="Arial"/>
                <w:b/>
                <w:bCs/>
                <w:i w:val="false"/>
                <w:iCs w:val="false"/>
                <w:caps w:val="false"/>
                <w:color w:val="14335c"/>
                <w:sz w:val="13"/>
                <w:szCs w:val="13"/>
              </w:rPr>
              <w:t xml:space="preserve">Sepsis screening tool  </w:t>
            </w:r>
            <w:r>
              <w:rPr>
                <w:rFonts w:ascii="Arial" w:cs="Arial" w:eastAsia="Arial" w:hAnsi="Arial"/>
                <w:b w:val="false"/>
                <w:bCs w:val="false"/>
                <w:i w:val="false"/>
                <w:iCs w:val="false"/>
                <w:caps w:val="false"/>
                <w:color w:val="6b778c"/>
                <w:sz w:val="12"/>
                <w:szCs w:val="12"/>
              </w:rPr>
              <w:t xml:space="preserve">7.5 (p.11)</w:t>
            </w:r>
          </w:p>
          <w:p>
            <w:pPr>
              <w:spacing w:after="10" w:before="0"/>
            </w:pPr>
            <w:r>
              <w:rPr>
                <w:rFonts w:ascii="Arial" w:cs="Arial" w:eastAsia="Arial" w:hAnsi="Arial"/>
                <w:b/>
                <w:bCs/>
                <w:i w:val="false"/>
                <w:iCs w:val="false"/>
                <w:caps w:val="false"/>
                <w:color w:val="14335c"/>
                <w:sz w:val="13"/>
                <w:szCs w:val="13"/>
              </w:rPr>
              <w:t xml:space="preserve">Surge capacity  </w:t>
            </w:r>
            <w:r>
              <w:rPr>
                <w:rFonts w:ascii="Arial" w:cs="Arial" w:eastAsia="Arial" w:hAnsi="Arial"/>
                <w:b w:val="false"/>
                <w:bCs w:val="false"/>
                <w:i w:val="false"/>
                <w:iCs w:val="false"/>
                <w:caps w:val="false"/>
                <w:color w:val="6b778c"/>
                <w:sz w:val="12"/>
                <w:szCs w:val="12"/>
              </w:rPr>
              <w:t xml:space="preserve">7.3 (p.7)</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Trauma survey — primary and secondary  </w:t>
            </w:r>
            <w:r>
              <w:rPr>
                <w:rFonts w:ascii="Arial" w:cs="Arial" w:eastAsia="Arial" w:hAnsi="Arial"/>
                <w:b w:val="false"/>
                <w:bCs w:val="false"/>
                <w:i w:val="false"/>
                <w:iCs w:val="false"/>
                <w:caps w:val="false"/>
                <w:color w:val="6b778c"/>
                <w:sz w:val="12"/>
                <w:szCs w:val="12"/>
              </w:rPr>
              <w:t xml:space="preserve">7.7 (p.15)</w:t>
            </w:r>
          </w:p>
          <w:p>
            <w:pPr>
              <w:spacing w:after="10" w:before="0"/>
            </w:pPr>
            <w:r>
              <w:rPr>
                <w:rFonts w:ascii="Arial" w:cs="Arial" w:eastAsia="Arial" w:hAnsi="Arial"/>
                <w:b/>
                <w:bCs/>
                <w:i w:val="false"/>
                <w:iCs w:val="false"/>
                <w:caps w:val="false"/>
                <w:color w:val="14335c"/>
                <w:sz w:val="13"/>
                <w:szCs w:val="13"/>
              </w:rPr>
              <w:t xml:space="preserve">Triage system  </w:t>
            </w:r>
            <w:r>
              <w:rPr>
                <w:rFonts w:ascii="Arial" w:cs="Arial" w:eastAsia="Arial" w:hAnsi="Arial"/>
                <w:b w:val="false"/>
                <w:bCs w:val="false"/>
                <w:i w:val="false"/>
                <w:iCs w:val="false"/>
                <w:caps w:val="false"/>
                <w:color w:val="6b778c"/>
                <w:sz w:val="12"/>
                <w:szCs w:val="12"/>
              </w:rPr>
              <w:t xml:space="preserve">7.1 (p.3)</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Weight-based dosing tool  </w:t>
            </w:r>
            <w:r>
              <w:rPr>
                <w:rFonts w:ascii="Arial" w:cs="Arial" w:eastAsia="Arial" w:hAnsi="Arial"/>
                <w:b w:val="false"/>
                <w:bCs w:val="false"/>
                <w:i w:val="false"/>
                <w:iCs w:val="false"/>
                <w:caps w:val="false"/>
                <w:color w:val="6b778c"/>
                <w:sz w:val="12"/>
                <w:szCs w:val="12"/>
              </w:rPr>
              <w:t xml:space="preserve">7.9 (p.19)</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7 — Emergency &amp; Critical Care. Version 2.0. Paris: ASF; 2025.   </w:t>
    </w:r>
    <w:r>
      <w:rPr>
        <w:rFonts w:ascii="Arial" w:cs="Arial" w:eastAsia="Arial" w:hAnsi="Arial"/>
        <w:i/>
        <w:iCs/>
        <w:color w:val="aaaaaa"/>
        <w:sz w:val="16"/>
        <w:szCs w:val="16"/>
      </w:rPr>
      <w:t xml:space="preserve">Ref: ASF-CH7-ECC-v2.0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3t57eav5wahwlek4dyb" Type="http://schemas.openxmlformats.org/officeDocument/2006/relationships/hyperlink" Target="https://france-asf.fr" TargetMode="External"/><Relationship Id="rIdwcku1ygptgouubf2ifwp8" Type="http://schemas.openxmlformats.org/officeDocument/2006/relationships/hyperlink" Target="mailto:info@france-asf.fr" TargetMode="External"/><Relationship Id="rIdo26bkwlaiej7tshbkidij" Type="http://schemas.openxmlformats.org/officeDocument/2006/relationships/hyperlink" Target="https://academy.gmj.ge" TargetMode="External"/><Relationship Id="rIdosizua4tkqcsz2zp580ov" Type="http://schemas.openxmlformats.org/officeDocument/2006/relationships/hyperlink" Target="mailto:info@france-asf.fr" TargetMode="External"/><Relationship Id="rIdoq7vfkjg_q8ybnxbqxam6" Type="http://schemas.openxmlformats.org/officeDocument/2006/relationships/hyperlink" Target="https://france-asf.fr" TargetMode="External"/><Relationship Id="rIde7z0lyr1tyxv6vfj1tt1r" Type="http://schemas.openxmlformats.org/officeDocument/2006/relationships/hyperlink" Target="https://academy.gmj.ge" TargetMode="External"/><Relationship Id="rIdkhpedyb79ekyekjrejt8k" Type="http://schemas.openxmlformats.org/officeDocument/2006/relationships/hyperlink" Target="mailto:info@france-asf.fr" TargetMode="External"/><Relationship Id="rIdfd3sqwy3_ikkt5m0bzrrz" Type="http://schemas.openxmlformats.org/officeDocument/2006/relationships/hyperlink" Target="https://www.who.int/publications/i/item/9789241546875" TargetMode="External"/><Relationship Id="rIdwvrr-42yvpng06puxzn-c" Type="http://schemas.openxmlformats.org/officeDocument/2006/relationships/hyperlink" Target="https://www.ahrq.gov/patient-safety/settings/emergency-dept/esi.html" TargetMode="External"/><Relationship Id="rIdcnwpccbmn_j6re3b_d1g7" Type="http://schemas.openxmlformats.org/officeDocument/2006/relationships/hyperlink" Target="https://www.who.int/publications/i/item/9789241548339" TargetMode="External"/><Relationship Id="rIdwzsb9427treveheg2k1_1" Type="http://schemas.openxmlformats.org/officeDocument/2006/relationships/hyperlink" Target="https://academy.gmj.ge/ch7-1-emergency-triage-system" TargetMode="External"/><Relationship Id="rIdih5klqouyz-l_d60cedmj" Type="http://schemas.openxmlformats.org/officeDocument/2006/relationships/hyperlink" Target="https://www.who.int/publications/i/item/9789241513081" TargetMode="External"/><Relationship Id="rIdffi76zmikjihyjnruqeke" Type="http://schemas.openxmlformats.org/officeDocument/2006/relationships/hyperlink" Target="https://www.ilcor.org" TargetMode="External"/><Relationship Id="rIdybqydlgylniyhixyiizi_" Type="http://schemas.openxmlformats.org/officeDocument/2006/relationships/hyperlink" Target="https://www.resus.org.uk" TargetMode="External"/><Relationship Id="rId785wmxxcoljw1glrlnqnf" Type="http://schemas.openxmlformats.org/officeDocument/2006/relationships/hyperlink" Target="https://academy.gmj.ge/ch7-2-resuscitation-equipment-readiness" TargetMode="External"/><Relationship Id="rIdzdocnteatyyek-as6xe6p" Type="http://schemas.openxmlformats.org/officeDocument/2006/relationships/hyperlink" Target="https://www.who.int/publications/i/item/9789289000429" TargetMode="External"/><Relationship Id="rId4ibxnug1zu4mfu8b3user" Type="http://schemas.openxmlformats.org/officeDocument/2006/relationships/hyperlink" Target="https://www.who.int/publications/i/item/9789241548984" TargetMode="External"/><Relationship Id="rId-yc_xzrpptvdnf0hshaxp" Type="http://schemas.openxmlformats.org/officeDocument/2006/relationships/hyperlink" Target="https://www.paho.org" TargetMode="External"/><Relationship Id="rIdgchlmra7zjdjducdnjkdh" Type="http://schemas.openxmlformats.org/officeDocument/2006/relationships/hyperlink" Target="https://academy.gmj.ge/ch7-3-mass-casualty-disaster-response" TargetMode="External"/><Relationship Id="rIdh6jc-ppwevtmzd3mlvlpf" Type="http://schemas.openxmlformats.org/officeDocument/2006/relationships/hyperlink" Target="https://www.who.int/publications/i/item/9789241513081" TargetMode="External"/><Relationship Id="rIdrpcm30ywe0-usaarm0yhw" Type="http://schemas.openxmlformats.org/officeDocument/2006/relationships/hyperlink" Target="https://doi.org/10.1097/CCM.0000000000001856" TargetMode="External"/><Relationship Id="rIdpu6ykophrdffdflw_tpuk" Type="http://schemas.openxmlformats.org/officeDocument/2006/relationships/hyperlink" Target="https://doi.org/10.1097/CCM.0000000000001856" TargetMode="External"/><Relationship Id="rIddi3qnu_iikc-mrogqwkpj" Type="http://schemas.openxmlformats.org/officeDocument/2006/relationships/hyperlink" Target="https://academy.gmj.ge/ch7-4-critical-care-admission-discharge" TargetMode="External"/><Relationship Id="rIda6ikuajrz_y6zig9ml6o6" Type="http://schemas.openxmlformats.org/officeDocument/2006/relationships/hyperlink" Target="https://www.who.int/publications/i/item/WHA70.7" TargetMode="External"/><Relationship Id="rIdb3eixqko_bu822r-cdejt" Type="http://schemas.openxmlformats.org/officeDocument/2006/relationships/hyperlink" Target="https://doi.org/10.1007/s00134-017-4683-6" TargetMode="External"/><Relationship Id="rIdbwlt4nceft-dqlf4y0ewe" Type="http://schemas.openxmlformats.org/officeDocument/2006/relationships/hyperlink" Target="https://doi.org/10.1056/NEJMoa1703058" TargetMode="External"/><Relationship Id="rIdkdknfpdrnnertx3r6amcy" Type="http://schemas.openxmlformats.org/officeDocument/2006/relationships/hyperlink" Target="https://academy.gmj.ge/ch7-5-sepsis-recognition-management" TargetMode="External"/><Relationship Id="rIdn7o_tzsqv8x7a8ku1obri" Type="http://schemas.openxmlformats.org/officeDocument/2006/relationships/hyperlink" Target="https://www.rcplondon.ac.uk/projects/outputs/national-early-warning-score-news-2" TargetMode="External"/><Relationship Id="rId__u3nudcpg9p3ij5hbpbk" Type="http://schemas.openxmlformats.org/officeDocument/2006/relationships/hyperlink" Target="https://doi.org/10.1097/01.CCM.0000235743.38172.6E" TargetMode="External"/><Relationship Id="rIdjbiueqlcrnsnqf8c3wdrs" Type="http://schemas.openxmlformats.org/officeDocument/2006/relationships/hyperlink" Target="https://www.who.int/publications" TargetMode="External"/><Relationship Id="rIdcscqkjp0ufwglo4eh5ohv" Type="http://schemas.openxmlformats.org/officeDocument/2006/relationships/hyperlink" Target="https://academy.gmj.ge/ch7-6-deteriorating-patient-recognition" TargetMode="External"/><Relationship Id="rIdu4bolagsmtntaiq2bpmq2" Type="http://schemas.openxmlformats.org/officeDocument/2006/relationships/hyperlink" Target="https://www.who.int/publications/i/item/9789241597746" TargetMode="External"/><Relationship Id="rId7l8jf08nmfvg_n8a9ztnv" Type="http://schemas.openxmlformats.org/officeDocument/2006/relationships/hyperlink" Target="https://www.facs.org/quality-programs/trauma/education/atls" TargetMode="External"/><Relationship Id="rId1llg6cmusfg54ppercx04" Type="http://schemas.openxmlformats.org/officeDocument/2006/relationships/hyperlink" Target="https://www.who.int/publications/i/item/9241546404" TargetMode="External"/><Relationship Id="rId70x-qc9doaodwr6u5zfql" Type="http://schemas.openxmlformats.org/officeDocument/2006/relationships/hyperlink" Target="https://academy.gmj.ge/ch7-7-trauma-management-protocols" TargetMode="External"/><Relationship Id="rIdnyipwgncfsiuvut_ph-7y" Type="http://schemas.openxmlformats.org/officeDocument/2006/relationships/hyperlink" Target="https://www.who.int/publications/i/item/9789241549790" TargetMode="External"/><Relationship Id="rIdxplnmjtngmcvk2cdnqcv4" Type="http://schemas.openxmlformats.org/officeDocument/2006/relationships/hyperlink" Target="https://www.who.int/publications/i/item/9789240011854" TargetMode="External"/><Relationship Id="rIdd-vjc38fthogh7_mwozmp" Type="http://schemas.openxmlformats.org/officeDocument/2006/relationships/hyperlink" Target="https://www.nimh.nih.gov" TargetMode="External"/><Relationship Id="rIdgakdhstqoc5_c7r_aknn8" Type="http://schemas.openxmlformats.org/officeDocument/2006/relationships/hyperlink" Target="https://academy.gmj.ge/ch7-8-mental-health-emergency-response" TargetMode="External"/><Relationship Id="rIdjutop7afghorxyel8p7do" Type="http://schemas.openxmlformats.org/officeDocument/2006/relationships/hyperlink" Target="https://www.who.int/publications/i/item/978-92-4-154837-3" TargetMode="External"/><Relationship Id="rIdxf5pdu6ryoivivbgtx-g5" Type="http://schemas.openxmlformats.org/officeDocument/2006/relationships/hyperlink" Target="https://www.aap.org" TargetMode="External"/><Relationship Id="rIdnksqzp32szevvbgpdp_ux" Type="http://schemas.openxmlformats.org/officeDocument/2006/relationships/hyperlink" Target="https://www.who.int/publications/i/item/9789241546875" TargetMode="External"/><Relationship Id="rIdgeqgjw3dgdzxxvvzdif4g" Type="http://schemas.openxmlformats.org/officeDocument/2006/relationships/hyperlink" Target="https://academy.gmj.ge/ch7-9-paediatric-emergency-protocols" TargetMode="External"/><Relationship Id="rIdthrpbtoi0xlkhdotihnpw" Type="http://schemas.openxmlformats.org/officeDocument/2006/relationships/hyperlink" Target="https://www.who.int/publications/i/item/9789241548205" TargetMode="External"/><Relationship Id="rIdygvfl6g0uox-iaoirsosn" Type="http://schemas.openxmlformats.org/officeDocument/2006/relationships/hyperlink" Target="https://doi.org/10.1002/14651858.CD000560" TargetMode="External"/><Relationship Id="rIdegh9l_be4dt6rfbxujljn" Type="http://schemas.openxmlformats.org/officeDocument/2006/relationships/hyperlink" Target="https://doi.org/10.1097/SIH.0000000000000072" TargetMode="External"/><Relationship Id="rIdkfqsak_9mzhixrniwi-s5" Type="http://schemas.openxmlformats.org/officeDocument/2006/relationships/hyperlink" Target="https://academy.gmj.ge/ch7-10-post-emergency-debriefing" TargetMode="External"/><Relationship Id="rIdv8drhunpoqs14dzcfhtwt" Type="http://schemas.openxmlformats.org/officeDocument/2006/relationships/hyperlink" Target="https://www.who.int/publications/i/item/9789241546875" TargetMode="External"/><Relationship Id="rId9mdbrbaq_qntxpl9c-yep" Type="http://schemas.openxmlformats.org/officeDocument/2006/relationships/hyperlink" Target="https://www.ahrq.gov/patient-safety/settings/emergency-dept/esi.html" TargetMode="External"/><Relationship Id="rIdxgr-r2rnnkf0gkh1tc1-b" Type="http://schemas.openxmlformats.org/officeDocument/2006/relationships/hyperlink" Target="https://www.who.int/publications/i/item/9789241548339" TargetMode="External"/><Relationship Id="rIdbmtkvcjeyowwbtp0knahw" Type="http://schemas.openxmlformats.org/officeDocument/2006/relationships/hyperlink" Target="https://www.who.int/publications/i/item/9789241513081" TargetMode="External"/><Relationship Id="rIdhn9h39v27ymhbr4hia5kk" Type="http://schemas.openxmlformats.org/officeDocument/2006/relationships/hyperlink" Target="https://www.ilcor.org" TargetMode="External"/><Relationship Id="rIdcmnhyn64rqxtijeihhjuo" Type="http://schemas.openxmlformats.org/officeDocument/2006/relationships/hyperlink" Target="https://www.resus.org.uk" TargetMode="External"/><Relationship Id="rIdujv0cyrwigbetlqlt7-iq" Type="http://schemas.openxmlformats.org/officeDocument/2006/relationships/hyperlink" Target="https://www.who.int/publications/i/item/9789289000429" TargetMode="External"/><Relationship Id="rIdedw7ayxndrjof9prp00mf" Type="http://schemas.openxmlformats.org/officeDocument/2006/relationships/hyperlink" Target="https://www.who.int/publications/i/item/9789241548984" TargetMode="External"/><Relationship Id="rIdfo9-rxdig3l0cvjveipef" Type="http://schemas.openxmlformats.org/officeDocument/2006/relationships/hyperlink" Target="https://www.paho.org" TargetMode="External"/><Relationship Id="rIdbdge40zohkhanqzljtgg4" Type="http://schemas.openxmlformats.org/officeDocument/2006/relationships/hyperlink" Target="https://www.who.int/publications/i/item/9789241513081" TargetMode="External"/><Relationship Id="rId6w244_ovnjaai65xjixlc" Type="http://schemas.openxmlformats.org/officeDocument/2006/relationships/hyperlink" Target="https://doi.org/10.1097/CCM.0000000000001856" TargetMode="External"/><Relationship Id="rId3v6sbvsikzdamtb308lzo" Type="http://schemas.openxmlformats.org/officeDocument/2006/relationships/hyperlink" Target="https://doi.org/10.1097/CCM.0000000000001856" TargetMode="External"/><Relationship Id="rIdqngbkajwbc_9spaezbi3l" Type="http://schemas.openxmlformats.org/officeDocument/2006/relationships/hyperlink" Target="https://www.who.int/publications/i/item/WHA70.7" TargetMode="External"/><Relationship Id="rIdw3a-96zjge48d02vrqqqd" Type="http://schemas.openxmlformats.org/officeDocument/2006/relationships/hyperlink" Target="https://doi.org/10.1007/s00134-017-4683-6" TargetMode="External"/><Relationship Id="rIddryoiyvaeodhnkg76aqhi" Type="http://schemas.openxmlformats.org/officeDocument/2006/relationships/hyperlink" Target="https://doi.org/10.1056/NEJMoa1703058" TargetMode="External"/><Relationship Id="rId_t2caj-uf2iyiqxezswr6" Type="http://schemas.openxmlformats.org/officeDocument/2006/relationships/hyperlink" Target="https://www.rcplondon.ac.uk/projects/outputs/national-early-warning-score-news-2" TargetMode="External"/><Relationship Id="rIdm-gq5ja3j2otvbrjatvnr" Type="http://schemas.openxmlformats.org/officeDocument/2006/relationships/hyperlink" Target="https://doi.org/10.1097/01.CCM.0000235743.38172.6E" TargetMode="External"/><Relationship Id="rIduthxuidhnt7fmc8tega20" Type="http://schemas.openxmlformats.org/officeDocument/2006/relationships/hyperlink" Target="https://www.who.int/publications" TargetMode="External"/><Relationship Id="rIdnojsvqyvwughyehyptc-z" Type="http://schemas.openxmlformats.org/officeDocument/2006/relationships/hyperlink" Target="https://www.who.int/publications/i/item/9789241597746" TargetMode="External"/><Relationship Id="rIdmgtvkbalc1vn_utir9ejj" Type="http://schemas.openxmlformats.org/officeDocument/2006/relationships/hyperlink" Target="https://www.facs.org/quality-programs/trauma/education/atls" TargetMode="External"/><Relationship Id="rIdbw5mmnkfgjp0aiwyu-ago" Type="http://schemas.openxmlformats.org/officeDocument/2006/relationships/hyperlink" Target="https://www.who.int/publications/i/item/9241546404" TargetMode="External"/><Relationship Id="rId6xwulpjvt1vp7-wztqc1i" Type="http://schemas.openxmlformats.org/officeDocument/2006/relationships/hyperlink" Target="https://www.who.int/publications/i/item/9789241549790" TargetMode="External"/><Relationship Id="rId8rqh6clriuaumnsrvmx5z" Type="http://schemas.openxmlformats.org/officeDocument/2006/relationships/hyperlink" Target="https://www.who.int/publications/i/item/9789240011854" TargetMode="External"/><Relationship Id="rId2os_c5y2mdfmtuvfxay4w" Type="http://schemas.openxmlformats.org/officeDocument/2006/relationships/hyperlink" Target="https://www.nimh.nih.gov" TargetMode="External"/><Relationship Id="rIdfpypccmwlygvzx_sxkrk3" Type="http://schemas.openxmlformats.org/officeDocument/2006/relationships/hyperlink" Target="https://www.who.int/publications/i/item/978-92-4-154837-3" TargetMode="External"/><Relationship Id="rIdwdb0-k3ms6f8tfwxgj9af" Type="http://schemas.openxmlformats.org/officeDocument/2006/relationships/hyperlink" Target="https://www.aap.org" TargetMode="External"/><Relationship Id="rIdqfqyqrgm1h-4cmrz1j0y4" Type="http://schemas.openxmlformats.org/officeDocument/2006/relationships/hyperlink" Target="https://www.who.int/publications/i/item/9789241546875" TargetMode="External"/><Relationship Id="rId6dmxbqgmtvaznixj40npi" Type="http://schemas.openxmlformats.org/officeDocument/2006/relationships/hyperlink" Target="https://www.who.int/publications/i/item/9789241548205" TargetMode="External"/><Relationship Id="rId4nesxzijxerwk0_rka5yp" Type="http://schemas.openxmlformats.org/officeDocument/2006/relationships/hyperlink" Target="https://doi.org/10.1002/14651858.CD000560" TargetMode="External"/><Relationship Id="rIdd-hldimayxrec8ipwjeaz" Type="http://schemas.openxmlformats.org/officeDocument/2006/relationships/hyperlink" Target="https://doi.org/10.1097/SIH.0000000000000072"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2026-08-29T19:57:56.766Z</dcterms:created>
  <dcterms:modified xsi:type="dcterms:W3CDTF">2026-08-29T19:57:56.781Z</dcterms:modified>
</cp:coreProperties>
</file>

<file path=docProps/custom.xml><?xml version="1.0" encoding="utf-8"?>
<Properties xmlns="http://schemas.openxmlformats.org/officeDocument/2006/custom-properties" xmlns:vt="http://schemas.openxmlformats.org/officeDocument/2006/docPropsVTypes"/>
</file>