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c9a227" w:sz="8"/>
          <w:left w:val="none"/>
          <w:bottom w:val="single" w:color="c9a227" w:sz="8"/>
          <w:right w:val="none"/>
          <w:insideH w:val="single" w:color="auto" w:sz="4"/>
          <w:insideV w:val="single" w:color="auto" w:sz="4"/>
        </w:tblBorders>
      </w:tblPr>
      <w:tblGrid>
        <w:gridCol w:w="1100"/>
        <w:gridCol w:w="8260"/>
      </w:tblGrid>
      <w:tr>
        <w:tc>
          <w:tcPr>
            <w:tcW w:type="dxa" w:w="1100"/>
            <w:shd w:fill="0e2647" w:color="auto" w:val="clear"/>
            <w:tcMar>
              <w:top w:type="dxa" w:w="30"/>
              <w:left w:type="dxa" w:w="60"/>
              <w:bottom w:type="dxa" w:w="30"/>
              <w:right w:type="dxa" w:w="40"/>
            </w:tcMar>
            <w:vAlign w:val="center"/>
          </w:tcPr>
          <w:p>
            <w:pPr>
              <w:spacing w:after="0" w:before="0"/>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66750" cy="666750"/>
                          </a:xfrm>
                          <a:prstGeom prst="rect">
                            <a:avLst/>
                          </a:prstGeom>
                        </pic:spPr>
                      </pic:pic>
                    </a:graphicData>
                  </a:graphic>
                </wp:inline>
              </w:drawing>
            </w:r>
          </w:p>
        </w:tc>
        <w:tc>
          <w:tcPr>
            <w:tcW w:type="dxa" w:w="8260"/>
            <w:shd w:fill="0e2647" w:color="auto" w:val="clear"/>
            <w:tcMar>
              <w:top w:type="dxa" w:w="30"/>
              <w:left w:type="dxa" w:w="60"/>
              <w:bottom w:type="dxa" w:w="30"/>
              <w:right w:type="dxa" w:w="75"/>
            </w:tcMar>
            <w:vAlign w:val="top"/>
          </w:tcPr>
          <w:p>
            <w:pPr>
              <w:spacing w:after="10" w:before="0"/>
            </w:pPr>
            <w:r>
              <w:rPr>
                <w:rFonts w:ascii="Helvetica" w:cs="Helvetica" w:eastAsia="Helvetica" w:hAnsi="Helvetica"/>
                <w:b/>
                <w:bCs/>
                <w:i w:val="false"/>
                <w:iCs w:val="false"/>
                <w:caps/>
                <w:color w:val="c9a227"/>
                <w:spacing w:val="40"/>
                <w:sz w:val="13"/>
                <w:szCs w:val="13"/>
              </w:rPr>
              <w:t xml:space="preserve">ACCRÉDITATION SANS FRONTIÈRES</w:t>
            </w:r>
          </w:p>
          <w:p>
            <w:pPr>
              <w:spacing w:after="8" w:before="0"/>
            </w:pPr>
            <w:r>
              <w:rPr>
                <w:rFonts w:ascii="Georgia" w:cs="Georgia" w:eastAsia="Georgia" w:hAnsi="Georgia"/>
                <w:b/>
                <w:bCs/>
                <w:i w:val="false"/>
                <w:iCs w:val="false"/>
                <w:caps w:val="false"/>
                <w:color w:val="ffffff"/>
                <w:sz w:val="26"/>
                <w:szCs w:val="26"/>
              </w:rPr>
              <w:t xml:space="preserve">PHARMACY &amp; MEDICINES MANAGEMENT</w:t>
            </w:r>
          </w:p>
          <w:p>
            <w:pPr>
              <w:spacing w:after="36" w:before="0"/>
            </w:pPr>
            <w:r>
              <w:rPr>
                <w:rFonts w:ascii="Arial" w:cs="Arial" w:eastAsia="Arial" w:hAnsi="Arial"/>
                <w:b w:val="false"/>
                <w:bCs w:val="false"/>
                <w:i/>
                <w:iCs/>
                <w:caps w:val="false"/>
                <w:color w:val="8fa8c8"/>
                <w:sz w:val="11"/>
                <w:szCs w:val="11"/>
              </w:rPr>
              <w:t xml:space="preserve">Version 2.0  ·  January 2025  ·  Open Standards  ·  Ref: ASF-CH9-PMM-v2.0  ·  Approved: January 2025  ·  Next Review: January 2027</w:t>
            </w:r>
          </w:p>
        </w:tc>
      </w:tr>
    </w:tbl>
    <w:p>
      <w:pPr>
        <w:spacing w:after="36" w:before="2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single" w:color="dce3ee" w:sz="4"/>
          <w:bottom w:val="single" w:color="dce3ee" w:sz="4"/>
          <w:right w:val="single" w:color="dce3ee" w:sz="4"/>
          <w:insideH w:val="single" w:color="auto" w:sz="4"/>
          <w:insideV w:val="single" w:color="auto" w:sz="4"/>
        </w:tblBorders>
      </w:tblPr>
      <w:tblGrid>
        <w:gridCol w:w="2340"/>
        <w:gridCol w:w="2340"/>
        <w:gridCol w:w="2340"/>
        <w:gridCol w:w="2340"/>
      </w:tblGrid>
      <w:tr>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PUBLISHER</w:t>
            </w:r>
          </w:p>
          <w:p>
            <w:pPr>
              <w:spacing w:after="4" w:before="0"/>
            </w:pPr>
            <w:r>
              <w:rPr>
                <w:rFonts w:ascii="Arial" w:cs="Arial" w:eastAsia="Arial" w:hAnsi="Arial"/>
                <w:b/>
                <w:bCs/>
                <w:i w:val="false"/>
                <w:iCs w:val="false"/>
                <w:caps w:val="false"/>
                <w:color w:val="0e2647"/>
                <w:sz w:val="13"/>
                <w:szCs w:val="13"/>
              </w:rPr>
              <w:t xml:space="preserve">Accréditation Sans Frontières</w:t>
            </w:r>
          </w:p>
          <w:p>
            <w:pPr>
              <w:spacing w:after="3" w:before="0"/>
            </w:pPr>
            <w:hyperlink w:history="1" r:id="rId-fofbxanj3rhmgsabepq0">
              <w:r>
                <w:rPr>
                  <w:rFonts w:ascii="Arial" w:cs="Arial" w:eastAsia="Arial" w:hAnsi="Arial"/>
                  <w:b/>
                  <w:bCs/>
                  <w:color w:val="c9a227"/>
                  <w:sz w:val="13"/>
                  <w:szCs w:val="13"/>
                  <w:u w:val="single"/>
                </w:rPr>
                <w:t xml:space="preserve">france-asf.fr</w:t>
              </w:r>
            </w:hyperlink>
          </w:p>
          <w:p>
            <w:pPr>
              <w:spacing w:after="36" w:before="0"/>
            </w:pPr>
            <w:hyperlink w:history="1" r:id="rIdagh_he8ch0piiwqxos2ao">
              <w:r>
                <w:rPr>
                  <w:rFonts w:ascii="Arial" w:cs="Arial" w:eastAsia="Arial" w:hAnsi="Arial"/>
                  <w:b/>
                  <w:bCs/>
                  <w:color w:val="c9a227"/>
                  <w:sz w:val="13"/>
                  <w:szCs w:val="13"/>
                  <w:u w:val="single"/>
                </w:rPr>
                <w:t xml:space="preserve">info@france-asf.fr</w:t>
              </w:r>
            </w:hyperlink>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DOCUMENT REF</w:t>
            </w:r>
          </w:p>
          <w:p>
            <w:pPr>
              <w:spacing w:after="4" w:before="0"/>
            </w:pPr>
            <w:r>
              <w:rPr>
                <w:rFonts w:ascii="Arial" w:cs="Arial" w:eastAsia="Arial" w:hAnsi="Arial"/>
                <w:b/>
                <w:bCs/>
                <w:i w:val="false"/>
                <w:iCs w:val="false"/>
                <w:caps w:val="false"/>
                <w:color w:val="0e2647"/>
                <w:sz w:val="13"/>
                <w:szCs w:val="13"/>
              </w:rPr>
              <w:t xml:space="preserve">ASF-CH9-PMM-v2.0</w:t>
            </w:r>
          </w:p>
          <w:p>
            <w:pPr>
              <w:spacing w:after="36" w:before="0"/>
            </w:pPr>
            <w:r>
              <w:rPr>
                <w:rFonts w:ascii="Arial" w:cs="Arial" w:eastAsia="Arial" w:hAnsi="Arial"/>
                <w:b w:val="false"/>
                <w:bCs w:val="false"/>
                <w:i w:val="false"/>
                <w:iCs w:val="false"/>
                <w:caps w:val="false"/>
                <w:color w:val="6b778c"/>
                <w:sz w:val="12"/>
                <w:szCs w:val="12"/>
              </w:rPr>
              <w:t xml:space="preserve">ISSN: 3088-4322  ·  DOI: 10.66636</w:t>
            </w:r>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E-LEARNING</w:t>
            </w:r>
          </w:p>
          <w:p>
            <w:pPr>
              <w:spacing w:after="4" w:before="0"/>
            </w:pPr>
            <w:r>
              <w:rPr>
                <w:rFonts w:ascii="Arial" w:cs="Arial" w:eastAsia="Arial" w:hAnsi="Arial"/>
                <w:b/>
                <w:bCs/>
                <w:i w:val="false"/>
                <w:iCs w:val="false"/>
                <w:caps w:val="false"/>
                <w:color w:val="0e2647"/>
                <w:sz w:val="13"/>
                <w:szCs w:val="13"/>
              </w:rPr>
              <w:t xml:space="preserve">30 min per standard — free</w:t>
            </w:r>
          </w:p>
          <w:p>
            <w:pPr>
              <w:spacing w:after="36" w:before="0"/>
            </w:pPr>
            <w:hyperlink w:history="1" r:id="rId10whoujbzg5apu1xulqou">
              <w:r>
                <w:rPr>
                  <w:rFonts w:ascii="Arial" w:cs="Arial" w:eastAsia="Arial" w:hAnsi="Arial"/>
                  <w:b/>
                  <w:bCs/>
                  <w:color w:val="c9a227"/>
                  <w:sz w:val="13"/>
                  <w:szCs w:val="13"/>
                  <w:u w:val="single"/>
                </w:rPr>
                <w:t xml:space="preserve">academy.gmj.ge</w:t>
              </w:r>
            </w:hyperlink>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CITE AS</w:t>
            </w:r>
          </w:p>
          <w:p>
            <w:pPr>
              <w:spacing w:after="36" w:before="0"/>
            </w:pPr>
            <w:r>
              <w:rPr>
                <w:rFonts w:ascii="Arial" w:cs="Arial" w:eastAsia="Arial" w:hAnsi="Arial"/>
                <w:b w:val="false"/>
                <w:bCs w:val="false"/>
                <w:i w:val="false"/>
                <w:iCs w:val="false"/>
                <w:caps w:val="false"/>
                <w:color w:val="374151"/>
                <w:sz w:val="11"/>
                <w:szCs w:val="11"/>
              </w:rPr>
              <w:t xml:space="preserve">Accreditation Sans Frontieres. ASF Hospital Standards: Chapter 9 — Pharmacy &amp; Medicines Management. Version 2.0. Paris: ASF; 2025.</w:t>
            </w:r>
          </w:p>
        </w:tc>
      </w:tr>
    </w:tbl>
    <w:p>
      <w:pPr>
        <w:pBdr>
          <w:top w:val="single" w:color="dce3ee" w:sz="2"/>
        </w:pBdr>
        <w:spacing w:after="0" w:before="80"/>
      </w:pPr>
      <w:r>
        <w:rPr>
          <w:rFonts w:ascii="Arial" w:cs="Arial" w:eastAsia="Arial" w:hAnsi="Arial"/>
          <w:i/>
          <w:iCs/>
          <w:color w:val="aaaaaa"/>
          <w:sz w:val="16"/>
          <w:szCs w:val="16"/>
        </w:rPr>
        <w:t xml:space="preserve">© 2025 Accréditation Sans Frontières. Open standards licence. Free non-commercial reproduction with attribution. Commercial reproduction requires written ASF permission.</w:t>
      </w:r>
    </w:p>
    <w:p>
      <w:pPr>
        <w:spacing w:after="36" w:before="32"/>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ABOUT THIS DOCUMENT</w:t>
            </w:r>
          </w:p>
        </w:tc>
      </w:tr>
    </w:tbl>
    <w:tbl>
      <w:tblPr>
        <w:tblW w:type="dxa" w:w="9360"/>
        <w:tblBorders>
          <w:top w:val="none"/>
          <w:left w:val="single" w:color="dce3ee" w:sz="4"/>
          <w:bottom w:val="none"/>
          <w:right w:val="single" w:color="dce3ee" w:sz="4"/>
          <w:insideH w:val="single" w:color="auto" w:sz="4"/>
          <w:insideV w:val="single" w:color="auto" w:sz="4"/>
        </w:tblBorders>
      </w:tblPr>
      <w:tblGrid>
        <w:gridCol w:w="4680"/>
        <w:gridCol w:w="4680"/>
      </w:tblGrid>
      <w:tr>
        <w:tc>
          <w:tcPr>
            <w:tcW w:type="dxa" w:w="4680"/>
            <w:tcMar>
              <w:top w:type="dxa" w:w="56"/>
              <w:left w:type="dxa" w:w="60"/>
              <w:bottom w:type="dxa" w:w="56"/>
              <w:right w:type="dxa" w:w="50"/>
            </w:tcMar>
            <w:vAlign w:val="top"/>
          </w:tcPr>
          <w:p>
            <w:pPr>
              <w:spacing w:after="10" w:before="0"/>
            </w:pPr>
            <w:r>
              <w:rPr>
                <w:rFonts w:ascii="Helvetica" w:cs="Helvetica" w:eastAsia="Helvetica" w:hAnsi="Helvetica"/>
                <w:b/>
                <w:bCs/>
                <w:i w:val="false"/>
                <w:iCs w:val="false"/>
                <w:caps/>
                <w:color w:val="6b778c"/>
                <w:sz w:val="11"/>
                <w:szCs w:val="11"/>
              </w:rPr>
              <w:t xml:space="preserve">PURPOSE</w:t>
            </w:r>
          </w:p>
          <w:p>
            <w:pPr>
              <w:spacing w:after="20" w:before="0"/>
            </w:pPr>
            <w:r>
              <w:rPr>
                <w:rFonts w:ascii="Arial" w:cs="Arial" w:eastAsia="Arial" w:hAnsi="Arial"/>
                <w:b w:val="false"/>
                <w:bCs w:val="false"/>
                <w:i w:val="false"/>
                <w:iCs w:val="false"/>
                <w:caps w:val="false"/>
                <w:color w:val="374151"/>
                <w:sz w:val="15"/>
                <w:szCs w:val="15"/>
              </w:rPr>
              <w:t xml:space="preserve">Ten standards for pharmacy and medicines management for ASF hospital accreditation. Each standard is a complete two-page unit — Page 1 is the official assessment form; Page 2 is the guidance and learning resource with evidence, good practice examples, implementation steps, and surveyor tips. The document works standalone without any other publication.</w:t>
            </w:r>
          </w:p>
          <w:p>
            <w:pPr>
              <w:spacing w:after="10" w:before="0"/>
            </w:pPr>
            <w:r>
              <w:rPr>
                <w:rFonts w:ascii="Helvetica" w:cs="Helvetica" w:eastAsia="Helvetica" w:hAnsi="Helvetica"/>
                <w:b/>
                <w:bCs/>
                <w:i w:val="false"/>
                <w:iCs w:val="false"/>
                <w:caps/>
                <w:color w:val="6b778c"/>
                <w:sz w:val="11"/>
                <w:szCs w:val="11"/>
              </w:rPr>
              <w:t xml:space="preserve">CROSS-CUTTING CONNECTIONS</w:t>
            </w:r>
          </w:p>
          <w:p>
            <w:pPr>
              <w:spacing w:after="36" w:before="0"/>
            </w:pPr>
            <w:r>
              <w:rPr>
                <w:rFonts w:ascii="Arial" w:cs="Arial" w:eastAsia="Arial" w:hAnsi="Arial"/>
                <w:b w:val="false"/>
                <w:bCs w:val="false"/>
                <w:i w:val="false"/>
                <w:iCs w:val="false"/>
                <w:caps w:val="false"/>
                <w:color w:val="374151"/>
                <w:sz w:val="15"/>
                <w:szCs w:val="15"/>
              </w:rPr>
              <w:t xml:space="preserve">This chapter is the pharmacy side of medication safety introduced in Standard 5.3 (Medication Safety and Prescribing). Standard 9.2 (High-Alert Medications) shares its double-check discipline with Standard 6.7 (Blood and Blood Products). Standard 9.10 (Formulary Management) connects directly to Standard 4.10 (Antimicrobial Stewardship). Standard 9.3 (Medication Reconciliation) connects to Standard 5.9 (Discharge Planning). ASF is developing a visual cross-cutting map showing how all chapters connect — available at france-asf.fr. When completing this assessment, treat each standard as part of a system, not a standalone checklist item.</w:t>
            </w:r>
          </w:p>
        </w:tc>
        <w:tc>
          <w:tcPr>
            <w:tcW w:type="dxa" w:w="4680"/>
            <w:tcMar>
              <w:top w:type="dxa" w:w="56"/>
              <w:left w:type="dxa" w:w="50"/>
              <w:bottom w:type="dxa" w:w="56"/>
              <w:right w:type="dxa" w:w="60"/>
            </w:tcMar>
            <w:vAlign w:val="top"/>
          </w:tcPr>
          <w:p>
            <w:pPr>
              <w:spacing w:after="10" w:before="0"/>
            </w:pPr>
            <w:r>
              <w:rPr>
                <w:rFonts w:ascii="Helvetica" w:cs="Helvetica" w:eastAsia="Helvetica" w:hAnsi="Helvetica"/>
                <w:b/>
                <w:bCs/>
                <w:i w:val="false"/>
                <w:iCs w:val="false"/>
                <w:caps/>
                <w:color w:val="6b778c"/>
                <w:sz w:val="11"/>
                <w:szCs w:val="11"/>
              </w:rPr>
              <w:t xml:space="preserve">STATUS COLOURS</w:t>
            </w:r>
          </w:p>
          <w:p>
            <w:pPr>
              <w:spacing w:after="10" w:before="0"/>
            </w:pPr>
            <w:r>
              <w:rPr>
                <w:rFonts w:ascii="Arial" w:cs="Arial" w:eastAsia="Arial" w:hAnsi="Arial"/>
                <w:b/>
                <w:bCs/>
                <w:i w:val="false"/>
                <w:iCs w:val="false"/>
                <w:caps w:val="false"/>
                <w:color w:val="15803d"/>
                <w:sz w:val="14"/>
                <w:szCs w:val="14"/>
              </w:rPr>
              <w:t xml:space="preserve">YES — GREEN  </w:t>
            </w:r>
            <w:r>
              <w:rPr>
                <w:rFonts w:ascii="Arial" w:cs="Arial" w:eastAsia="Arial" w:hAnsi="Arial"/>
                <w:b w:val="false"/>
                <w:bCs w:val="false"/>
                <w:i w:val="false"/>
                <w:iCs w:val="false"/>
                <w:caps w:val="false"/>
                <w:color w:val="374151"/>
                <w:sz w:val="14"/>
                <w:szCs w:val="14"/>
              </w:rPr>
              <w:t xml:space="preserve">Fully in place, consistent, evidenced. Observable on the visit day.</w:t>
            </w:r>
          </w:p>
          <w:p>
            <w:pPr>
              <w:spacing w:after="10" w:before="0"/>
            </w:pPr>
            <w:r>
              <w:rPr>
                <w:rFonts w:ascii="Arial" w:cs="Arial" w:eastAsia="Arial" w:hAnsi="Arial"/>
                <w:b/>
                <w:bCs/>
                <w:i w:val="false"/>
                <w:iCs w:val="false"/>
                <w:caps w:val="false"/>
                <w:color w:val="92400e"/>
                <w:sz w:val="14"/>
                <w:szCs w:val="14"/>
              </w:rPr>
              <w:t xml:space="preserve">PARTIAL — AMBER  </w:t>
            </w:r>
            <w:r>
              <w:rPr>
                <w:rFonts w:ascii="Arial" w:cs="Arial" w:eastAsia="Arial" w:hAnsi="Arial"/>
                <w:b w:val="false"/>
                <w:bCs w:val="false"/>
                <w:i w:val="false"/>
                <w:iCs w:val="false"/>
                <w:caps w:val="false"/>
                <w:color w:val="374151"/>
                <w:sz w:val="14"/>
                <w:szCs w:val="14"/>
              </w:rPr>
              <w:t xml:space="preserve">Exists but incomplete or inconsistent. NOT a pass — needs an improvement plan with a deadline.</w:t>
            </w:r>
          </w:p>
          <w:p>
            <w:pPr>
              <w:spacing w:after="36" w:before="0"/>
            </w:pPr>
            <w:r>
              <w:rPr>
                <w:rFonts w:ascii="Arial" w:cs="Arial" w:eastAsia="Arial" w:hAnsi="Arial"/>
                <w:b/>
                <w:bCs/>
                <w:i w:val="false"/>
                <w:iCs w:val="false"/>
                <w:caps w:val="false"/>
                <w:color w:val="b91c1c"/>
                <w:sz w:val="14"/>
                <w:szCs w:val="14"/>
              </w:rPr>
              <w:t xml:space="preserve">NO — RED  </w:t>
            </w:r>
            <w:r>
              <w:rPr>
                <w:rFonts w:ascii="Arial" w:cs="Arial" w:eastAsia="Arial" w:hAnsi="Arial"/>
                <w:b w:val="false"/>
                <w:bCs w:val="false"/>
                <w:i w:val="false"/>
                <w:iCs w:val="false"/>
                <w:caps w:val="false"/>
                <w:color w:val="374151"/>
                <w:sz w:val="14"/>
                <w:szCs w:val="14"/>
              </w:rPr>
              <w:t xml:space="preserve">Does not exist or inadequate. For CORE standards: blocks Level 1 accreditation until fixed.</w:t>
            </w:r>
          </w:p>
          <w:p>
            <w:pPr>
              <w:spacing w:after="36" w:before="8"/>
            </w:pPr>
            <w:r>
              <w:rPr>
                <w:rFonts w:ascii="Arial" w:cs="Arial" w:eastAsia="Arial" w:hAnsi="Arial"/>
                <w:b w:val="false"/>
                <w:bCs w:val="false"/>
                <w:i w:val="false"/>
                <w:iCs w:val="false"/>
                <w:caps w:val="false"/>
                <w:color w:val="374151"/>
                <w:sz w:val="18"/>
                <w:szCs w:val="18"/>
              </w:rPr>
              <w:t xml:space="preserve"/>
            </w:r>
          </w:p>
          <w:p>
            <w:pPr>
              <w:spacing w:after="10" w:before="0"/>
            </w:pPr>
            <w:r>
              <w:rPr>
                <w:rFonts w:ascii="Helvetica" w:cs="Helvetica" w:eastAsia="Helvetica" w:hAnsi="Helvetica"/>
                <w:b/>
                <w:bCs/>
                <w:i w:val="false"/>
                <w:iCs w:val="false"/>
                <w:caps/>
                <w:color w:val="6b778c"/>
                <w:sz w:val="11"/>
                <w:szCs w:val="11"/>
              </w:rPr>
              <w:t xml:space="preserve">HOW TO USE — FIVE STEPS</w:t>
            </w:r>
          </w:p>
          <w:p>
            <w:pPr>
              <w:spacing w:after="8" w:before="0"/>
            </w:pPr>
            <w:r>
              <w:rPr>
                <w:rFonts w:ascii="Arial" w:cs="Arial" w:eastAsia="Arial" w:hAnsi="Arial"/>
                <w:b/>
                <w:bCs/>
                <w:i w:val="false"/>
                <w:iCs w:val="false"/>
                <w:caps w:val="false"/>
                <w:color w:val="c9a227"/>
                <w:sz w:val="13"/>
                <w:szCs w:val="13"/>
              </w:rPr>
              <w:t xml:space="preserve">1  </w:t>
            </w:r>
            <w:r>
              <w:rPr>
                <w:rFonts w:ascii="Arial" w:cs="Arial" w:eastAsia="Arial" w:hAnsi="Arial"/>
                <w:b w:val="false"/>
                <w:bCs w:val="false"/>
                <w:i w:val="false"/>
                <w:iCs w:val="false"/>
                <w:caps w:val="false"/>
                <w:color w:val="374151"/>
                <w:sz w:val="14"/>
                <w:szCs w:val="14"/>
              </w:rPr>
              <w:t xml:space="preserve">Read this page first.</w:t>
            </w:r>
          </w:p>
          <w:p>
            <w:pPr>
              <w:spacing w:after="8" w:before="0"/>
            </w:pPr>
            <w:r>
              <w:rPr>
                <w:rFonts w:ascii="Arial" w:cs="Arial" w:eastAsia="Arial" w:hAnsi="Arial"/>
                <w:b/>
                <w:bCs/>
                <w:i w:val="false"/>
                <w:iCs w:val="false"/>
                <w:caps w:val="false"/>
                <w:color w:val="c9a227"/>
                <w:sz w:val="13"/>
                <w:szCs w:val="13"/>
              </w:rPr>
              <w:t xml:space="preserve">2  </w:t>
            </w:r>
            <w:r>
              <w:rPr>
                <w:rFonts w:ascii="Arial" w:cs="Arial" w:eastAsia="Arial" w:hAnsi="Arial"/>
                <w:b w:val="false"/>
                <w:bCs w:val="false"/>
                <w:i w:val="false"/>
                <w:iCs w:val="false"/>
                <w:caps w:val="false"/>
                <w:color w:val="374151"/>
                <w:sz w:val="14"/>
                <w:szCs w:val="14"/>
              </w:rPr>
              <w:t xml:space="preserve">Complete Page 1 self-assessment for each standard. Be honest.</w:t>
            </w:r>
          </w:p>
          <w:p>
            <w:pPr>
              <w:spacing w:after="8" w:before="0"/>
            </w:pPr>
            <w:r>
              <w:rPr>
                <w:rFonts w:ascii="Arial" w:cs="Arial" w:eastAsia="Arial" w:hAnsi="Arial"/>
                <w:b/>
                <w:bCs/>
                <w:i w:val="false"/>
                <w:iCs w:val="false"/>
                <w:caps w:val="false"/>
                <w:color w:val="c9a227"/>
                <w:sz w:val="13"/>
                <w:szCs w:val="13"/>
              </w:rPr>
              <w:t xml:space="preserve">3  </w:t>
            </w:r>
            <w:r>
              <w:rPr>
                <w:rFonts w:ascii="Arial" w:cs="Arial" w:eastAsia="Arial" w:hAnsi="Arial"/>
                <w:b w:val="false"/>
                <w:bCs w:val="false"/>
                <w:i w:val="false"/>
                <w:iCs w:val="false"/>
                <w:caps w:val="false"/>
                <w:color w:val="374151"/>
                <w:sz w:val="14"/>
                <w:szCs w:val="14"/>
              </w:rPr>
              <w:t xml:space="preserve">Do not understand a standard? Read Page 2.</w:t>
            </w:r>
          </w:p>
          <w:p>
            <w:pPr>
              <w:spacing w:after="8" w:before="0"/>
            </w:pPr>
            <w:r>
              <w:rPr>
                <w:rFonts w:ascii="Arial" w:cs="Arial" w:eastAsia="Arial" w:hAnsi="Arial"/>
                <w:b/>
                <w:bCs/>
                <w:i w:val="false"/>
                <w:iCs w:val="false"/>
                <w:caps w:val="false"/>
                <w:color w:val="c9a227"/>
                <w:sz w:val="13"/>
                <w:szCs w:val="13"/>
              </w:rPr>
              <w:t xml:space="preserve">4  </w:t>
            </w:r>
            <w:r>
              <w:rPr>
                <w:rFonts w:ascii="Arial" w:cs="Arial" w:eastAsia="Arial" w:hAnsi="Arial"/>
                <w:b w:val="false"/>
                <w:bCs w:val="false"/>
                <w:i w:val="false"/>
                <w:iCs w:val="false"/>
                <w:caps w:val="false"/>
                <w:color w:val="374151"/>
                <w:sz w:val="14"/>
                <w:szCs w:val="14"/>
              </w:rPr>
              <w:t xml:space="preserve">PARTIAL or NO? Write an improvement plan on Page 1.</w:t>
            </w:r>
          </w:p>
          <w:p>
            <w:pPr>
              <w:spacing w:after="36" w:before="0"/>
            </w:pPr>
            <w:r>
              <w:rPr>
                <w:rFonts w:ascii="Arial" w:cs="Arial" w:eastAsia="Arial" w:hAnsi="Arial"/>
                <w:b/>
                <w:bCs/>
                <w:i w:val="false"/>
                <w:iCs w:val="false"/>
                <w:caps w:val="false"/>
                <w:color w:val="c9a227"/>
                <w:sz w:val="13"/>
                <w:szCs w:val="13"/>
              </w:rPr>
              <w:t xml:space="preserve">5  </w:t>
            </w:r>
            <w:r>
              <w:rPr>
                <w:rFonts w:ascii="Arial" w:cs="Arial" w:eastAsia="Arial" w:hAnsi="Arial"/>
                <w:b w:val="false"/>
                <w:bCs w:val="false"/>
                <w:i w:val="false"/>
                <w:iCs w:val="false"/>
                <w:caps w:val="false"/>
                <w:color w:val="374151"/>
                <w:sz w:val="14"/>
                <w:szCs w:val="14"/>
              </w:rPr>
              <w:t xml:space="preserve">Deep learning: 30-min e-learning per standard at academy.gmj.ge.</w:t>
            </w:r>
          </w:p>
          <w:p>
            <w:pPr>
              <w:spacing w:after="36" w:before="8"/>
            </w:pPr>
            <w:r>
              <w:rPr>
                <w:rFonts w:ascii="Arial" w:cs="Arial" w:eastAsia="Arial" w:hAnsi="Arial"/>
                <w:b w:val="false"/>
                <w:bCs w:val="false"/>
                <w:i w:val="false"/>
                <w:iCs w:val="false"/>
                <w:caps w:val="false"/>
                <w:color w:val="374151"/>
                <w:sz w:val="18"/>
                <w:szCs w:val="18"/>
              </w:rPr>
              <w:t xml:space="preserve"/>
            </w:r>
          </w:p>
          <w:p>
            <w:pPr>
              <w:spacing w:after="10" w:before="0"/>
            </w:pPr>
            <w:r>
              <w:rPr>
                <w:rFonts w:ascii="Helvetica" w:cs="Helvetica" w:eastAsia="Helvetica" w:hAnsi="Helvetica"/>
                <w:b/>
                <w:bCs/>
                <w:i w:val="false"/>
                <w:iCs w:val="false"/>
                <w:caps/>
                <w:color w:val="6b778c"/>
                <w:sz w:val="11"/>
                <w:szCs w:val="11"/>
              </w:rPr>
              <w:t xml:space="preserve">ADVISORY SUPPORT</w:t>
            </w:r>
          </w:p>
          <w:p>
            <w:pPr>
              <w:spacing w:after="4" w:before="0"/>
            </w:pPr>
            <w:r>
              <w:rPr>
                <w:rFonts w:ascii="Arial" w:cs="Arial" w:eastAsia="Arial" w:hAnsi="Arial"/>
                <w:b w:val="false"/>
                <w:bCs w:val="false"/>
                <w:i w:val="false"/>
                <w:iCs w:val="false"/>
                <w:caps w:val="false"/>
                <w:color w:val="374151"/>
                <w:sz w:val="14"/>
                <w:szCs w:val="14"/>
              </w:rPr>
              <w:t xml:space="preserve">ASF advisers help at any stage — before self-assessment, before the survey, or when any standard is unclear.</w:t>
            </w:r>
          </w:p>
          <w:p>
            <w:pPr>
              <w:spacing w:after="36" w:before="0"/>
            </w:pPr>
            <w:hyperlink w:history="1" r:id="rIdujmr_i9wvpbqiyfpivak5">
              <w:r>
                <w:rPr>
                  <w:rFonts w:ascii="Arial" w:cs="Arial" w:eastAsia="Arial" w:hAnsi="Arial"/>
                  <w:b/>
                  <w:bCs/>
                  <w:color w:val="c9a227"/>
                  <w:sz w:val="13"/>
                  <w:szCs w:val="13"/>
                  <w:u w:val="single"/>
                </w:rPr>
                <w:t xml:space="preserve">info@france-asf.fr</w:t>
              </w:r>
            </w:hyperlink>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9: PHARMACY &amp; MEDICINES MANAGEMENT</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Table of Contents —</w:t>
            </w:r>
          </w:p>
          <w:p>
            <w:pPr>
              <w:spacing w:after="36" w:before="0"/>
            </w:pPr>
            <w:r>
              <w:rPr>
                <w:rFonts w:ascii="Arial" w:cs="Arial" w:eastAsia="Arial" w:hAnsi="Arial"/>
                <w:b w:val="false"/>
                <w:bCs w:val="false"/>
                <w:i/>
                <w:iCs/>
                <w:caps w:val="false"/>
                <w:color w:val="6b778c"/>
                <w:sz w:val="11"/>
                <w:szCs w:val="11"/>
              </w:rPr>
              <w:t xml:space="preserve">Version 2.0</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TABLE OF CONTENTS</w:t>
            </w:r>
          </w:p>
        </w:tc>
      </w:tr>
    </w:tbl>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700"/>
        <w:gridCol w:w="5460"/>
        <w:gridCol w:w="2200"/>
        <w:gridCol w:w="1000"/>
      </w:tblGrid>
      <w:tr>
        <w:tc>
          <w:tcPr>
            <w:tcW w:type="dxa" w:w="700"/>
            <w:shd w:fill="f3f4f6" w:color="auto" w:val="clear"/>
            <w:tcMar>
              <w:top w:type="dxa" w:w="16"/>
              <w:left w:type="dxa" w:w="40"/>
              <w:bottom w:type="dxa" w:w="1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STD</w:t>
            </w:r>
          </w:p>
        </w:tc>
        <w:tc>
          <w:tcPr>
            <w:tcW w:type="dxa" w:w="5460"/>
            <w:shd w:fill="f3f4f6" w:color="auto" w:val="clear"/>
            <w:tcMar>
              <w:top w:type="dxa" w:w="16"/>
              <w:left w:type="dxa" w:w="60"/>
              <w:bottom w:type="dxa" w:w="16"/>
              <w:right w:type="dxa" w:w="75"/>
            </w:tcMar>
            <w:vAlign w:val="top"/>
          </w:tcPr>
          <w:p>
            <w:pPr>
              <w:spacing w:after="36" w:before="0"/>
            </w:pPr>
            <w:r>
              <w:rPr>
                <w:rFonts w:ascii="Helvetica" w:cs="Helvetica" w:eastAsia="Helvetica" w:hAnsi="Helvetica"/>
                <w:b/>
                <w:bCs/>
                <w:i/>
                <w:iCs/>
                <w:caps/>
                <w:color w:val="6b778c"/>
                <w:sz w:val="10"/>
                <w:szCs w:val="10"/>
              </w:rPr>
              <w:t xml:space="preserve">STANDARD TITLE  and one-line description of what it covers</w:t>
            </w:r>
          </w:p>
        </w:tc>
        <w:tc>
          <w:tcPr>
            <w:tcW w:type="dxa" w:w="2200"/>
            <w:shd w:fill="f3f4f6" w:color="auto" w:val="clear"/>
            <w:tcMar>
              <w:top w:type="dxa" w:w="16"/>
              <w:left w:type="dxa" w:w="60"/>
              <w:bottom w:type="dxa" w:w="16"/>
              <w:right w:type="dxa" w:w="75"/>
            </w:tcMar>
            <w:vAlign w:val="top"/>
          </w:tcPr>
          <w:p>
            <w:pPr>
              <w:spacing w:after="36" w:before="0"/>
            </w:pPr>
            <w:r>
              <w:rPr>
                <w:rFonts w:ascii="Helvetica" w:cs="Helvetica" w:eastAsia="Helvetica" w:hAnsi="Helvetica"/>
                <w:b/>
                <w:bCs/>
                <w:i/>
                <w:iCs/>
                <w:caps/>
                <w:color w:val="6b778c"/>
                <w:sz w:val="10"/>
                <w:szCs w:val="10"/>
              </w:rPr>
              <w:t xml:space="preserve">REQUIREMENT — who must meet this standard</w:t>
            </w:r>
          </w:p>
        </w:tc>
        <w:tc>
          <w:tcPr>
            <w:tcW w:type="dxa" w:w="1000"/>
            <w:shd w:fill="f3f4f6" w:color="auto" w:val="clear"/>
            <w:tcMar>
              <w:top w:type="dxa" w:w="16"/>
              <w:left w:type="dxa" w:w="40"/>
              <w:bottom w:type="dxa" w:w="1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PAGE</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INTRODUCTION</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Title, Publisher, Citation, Copyright, Executive Summary, Cross-Cutting Note</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1</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Table of Contents — all 10 standards described</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1 — FOUNDATION  |  Standards 9.1 to 9.5</w:t>
            </w:r>
          </w:p>
        </w:tc>
      </w:tr>
      <w:tr>
        <w:tc>
          <w:tcPr>
            <w:tcW w:type="dxa" w:w="9360"/>
            <w:gridSpan w:val="4"/>
            <w:shd w:fill="d1fae5"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15803d"/>
                <w:sz w:val="12"/>
                <w:szCs w:val="12"/>
              </w:rPr>
              <w:t xml:space="preserve">What this level means:  </w:t>
            </w:r>
            <w:r>
              <w:rPr>
                <w:rFonts w:ascii="Arial" w:cs="Arial" w:eastAsia="Arial" w:hAnsi="Arial"/>
                <w:b w:val="false"/>
                <w:bCs w:val="false"/>
                <w:i w:val="false"/>
                <w:iCs w:val="false"/>
                <w:caps w:val="false"/>
                <w:color w:val="374151"/>
                <w:sz w:val="12"/>
                <w:szCs w:val="12"/>
              </w:rPr>
              <w:t xml:space="preserve">These are the non-negotiable minimum requirements. Any facility dispensing medication must fully meet all five. Standards 9.1, 9.2, and 9.3 are marked CORE — a NO finding on any of these three blocks accreditation until the gap is resolved. No exceptions.</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9.1</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Medication Storage and Security</w:t>
            </w:r>
          </w:p>
          <w:p>
            <w:pPr>
              <w:spacing w:after="36" w:before="0"/>
            </w:pPr>
            <w:r>
              <w:rPr>
                <w:rFonts w:ascii="Arial" w:cs="Arial" w:eastAsia="Arial" w:hAnsi="Arial"/>
                <w:b w:val="false"/>
                <w:bCs w:val="false"/>
                <w:i/>
                <w:iCs/>
                <w:caps w:val="false"/>
                <w:color w:val="4b5563"/>
                <w:sz w:val="12"/>
                <w:szCs w:val="12"/>
              </w:rPr>
              <w:t xml:space="preserve">All medications are stored securely, at the correct temperature and conditions, with access restricted to authorised staff, and expired stock removed promptly.</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3</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9.2</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High-Alert Medication Management</w:t>
            </w:r>
          </w:p>
          <w:p>
            <w:pPr>
              <w:spacing w:after="36" w:before="0"/>
            </w:pPr>
            <w:r>
              <w:rPr>
                <w:rFonts w:ascii="Arial" w:cs="Arial" w:eastAsia="Arial" w:hAnsi="Arial"/>
                <w:b w:val="false"/>
                <w:bCs w:val="false"/>
                <w:i/>
                <w:iCs/>
                <w:caps w:val="false"/>
                <w:color w:val="4b5563"/>
                <w:sz w:val="12"/>
                <w:szCs w:val="12"/>
              </w:rPr>
              <w:t xml:space="preserve">The hospital has a defined list of high-alert medications, such as insulin, anticoagulants, and concentrated electrolytes, with additional safeguards including independent double-checks and restricted storage.</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5</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9.3</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Medication Reconciliation on Admission and Discharge</w:t>
            </w:r>
          </w:p>
          <w:p>
            <w:pPr>
              <w:spacing w:after="36" w:before="0"/>
            </w:pPr>
            <w:r>
              <w:rPr>
                <w:rFonts w:ascii="Arial" w:cs="Arial" w:eastAsia="Arial" w:hAnsi="Arial"/>
                <w:b w:val="false"/>
                <w:bCs w:val="false"/>
                <w:i/>
                <w:iCs/>
                <w:caps w:val="false"/>
                <w:color w:val="4b5563"/>
                <w:sz w:val="12"/>
                <w:szCs w:val="12"/>
              </w:rPr>
              <w:t xml:space="preserve">The hospital performs and documents medication reconciliation at every admission and discharge, comparing the patient’s actual medication list against what is prescribed to identify and resolve discrepancies.</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7</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9.4</w:t>
            </w:r>
          </w:p>
        </w:tc>
        <w:tc>
          <w:tcPr>
            <w:tcW w:type="dxa" w:w="5460"/>
            <w:shd w:fill="d1fae5"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Dispensing Accuracy and Verification</w:t>
            </w:r>
          </w:p>
          <w:p>
            <w:pPr>
              <w:spacing w:after="36" w:before="0"/>
            </w:pPr>
            <w:r>
              <w:rPr>
                <w:rFonts w:ascii="Arial" w:cs="Arial" w:eastAsia="Arial" w:hAnsi="Arial"/>
                <w:b w:val="false"/>
                <w:bCs w:val="false"/>
                <w:i/>
                <w:iCs/>
                <w:caps w:val="false"/>
                <w:color w:val="4b5563"/>
                <w:sz w:val="12"/>
                <w:szCs w:val="12"/>
              </w:rPr>
              <w:t xml:space="preserve">The pharmacy has a structured dispensing verification process, including an independent check before a medication leaves the pharmacy, with dispensing errors tracked and reviewed.</w:t>
            </w:r>
          </w:p>
        </w:tc>
        <w:tc>
          <w:tcPr>
            <w:tcW w:type="dxa" w:w="2200"/>
            <w:shd w:fill="d1fae5"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5803d"/>
                <w:sz w:val="11"/>
                <w:szCs w:val="11"/>
              </w:rPr>
              <w:t xml:space="preserve">Required for ALL facilities</w:t>
            </w:r>
          </w:p>
        </w:tc>
        <w:tc>
          <w:tcPr>
            <w:tcW w:type="dxa" w:w="1000"/>
            <w:shd w:fill="d1fae5"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9</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9.5</w:t>
            </w:r>
          </w:p>
        </w:tc>
        <w:tc>
          <w:tcPr>
            <w:tcW w:type="dxa" w:w="5460"/>
            <w:shd w:fill="d1fae5"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Controlled Drugs Management</w:t>
            </w:r>
          </w:p>
          <w:p>
            <w:pPr>
              <w:spacing w:after="36" w:before="0"/>
            </w:pPr>
            <w:r>
              <w:rPr>
                <w:rFonts w:ascii="Arial" w:cs="Arial" w:eastAsia="Arial" w:hAnsi="Arial"/>
                <w:b w:val="false"/>
                <w:bCs w:val="false"/>
                <w:i/>
                <w:iCs/>
                <w:caps w:val="false"/>
                <w:color w:val="4b5563"/>
                <w:sz w:val="12"/>
                <w:szCs w:val="12"/>
              </w:rPr>
              <w:t xml:space="preserve">Controlled drugs are stored in a locked, dedicated location with restricted access, and every transaction is logged and reconciled against physical stock on a defined schedule.</w:t>
            </w:r>
          </w:p>
        </w:tc>
        <w:tc>
          <w:tcPr>
            <w:tcW w:type="dxa" w:w="2200"/>
            <w:shd w:fill="d1fae5"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5803d"/>
                <w:sz w:val="11"/>
                <w:szCs w:val="11"/>
              </w:rPr>
              <w:t xml:space="preserve">Required for ALL facilities</w:t>
            </w:r>
          </w:p>
        </w:tc>
        <w:tc>
          <w:tcPr>
            <w:tcW w:type="dxa" w:w="1000"/>
            <w:shd w:fill="d1fae5"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11</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2 — ACCREDITED  |  Standards 9.6 to 9.8</w:t>
            </w:r>
          </w:p>
        </w:tc>
      </w:tr>
      <w:tr>
        <w:tc>
          <w:tcPr>
            <w:tcW w:type="dxa" w:w="9360"/>
            <w:gridSpan w:val="4"/>
            <w:shd w:fill="fef3c7"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92400e"/>
                <w:sz w:val="12"/>
                <w:szCs w:val="12"/>
              </w:rPr>
              <w:t xml:space="preserve">What this level means:  </w:t>
            </w:r>
            <w:r>
              <w:rPr>
                <w:rFonts w:ascii="Arial" w:cs="Arial" w:eastAsia="Arial" w:hAnsi="Arial"/>
                <w:b w:val="false"/>
                <w:bCs w:val="false"/>
                <w:i w:val="false"/>
                <w:iCs w:val="false"/>
                <w:caps w:val="false"/>
                <w:color w:val="374151"/>
                <w:sz w:val="12"/>
                <w:szCs w:val="12"/>
              </w:rPr>
              <w:t xml:space="preserve">A facility meeting Foundation standards stores, dispenses, and secures medication safely. An Accredited facility actively learns from adverse drug events and its own errors, protects its cold chain with tested rigour, and treats medication safety as a continuously improving system rather than a fixed set of controls. These are the marks of a facility that manages medicines as an ongoing discipline, not a one-time setup.</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9.6</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Adverse Drug Event Reporting</w:t>
            </w:r>
          </w:p>
          <w:p>
            <w:pPr>
              <w:spacing w:after="36" w:before="0"/>
            </w:pPr>
            <w:r>
              <w:rPr>
                <w:rFonts w:ascii="Arial" w:cs="Arial" w:eastAsia="Arial" w:hAnsi="Arial"/>
                <w:b w:val="false"/>
                <w:bCs w:val="false"/>
                <w:i/>
                <w:iCs/>
                <w:caps w:val="false"/>
                <w:color w:val="4b5563"/>
                <w:sz w:val="12"/>
                <w:szCs w:val="12"/>
              </w:rPr>
              <w:t xml:space="preserve">The hospital has an active adverse drug event and reaction reporting system, encouraging voluntary reporting, with data reviewed regularly to identify patterns and inform practice.</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13</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9.7</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Pharmacy Cold Chain and Vaccine Storage</w:t>
            </w:r>
          </w:p>
          <w:p>
            <w:pPr>
              <w:spacing w:after="36" w:before="0"/>
            </w:pPr>
            <w:r>
              <w:rPr>
                <w:rFonts w:ascii="Arial" w:cs="Arial" w:eastAsia="Arial" w:hAnsi="Arial"/>
                <w:b w:val="false"/>
                <w:bCs w:val="false"/>
                <w:i/>
                <w:iCs/>
                <w:caps w:val="false"/>
                <w:color w:val="4b5563"/>
                <w:sz w:val="12"/>
                <w:szCs w:val="12"/>
              </w:rPr>
              <w:t xml:space="preserve">The hospital maintains a documented cold chain for temperature-sensitive medications and vaccines, with continuous monitoring, alarm systems, and a defined response to a temperature excursion.</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15</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9.8</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Medication Error Review and Learning</w:t>
            </w:r>
          </w:p>
          <w:p>
            <w:pPr>
              <w:spacing w:after="36" w:before="0"/>
            </w:pPr>
            <w:r>
              <w:rPr>
                <w:rFonts w:ascii="Arial" w:cs="Arial" w:eastAsia="Arial" w:hAnsi="Arial"/>
                <w:b w:val="false"/>
                <w:bCs w:val="false"/>
                <w:i/>
                <w:iCs/>
                <w:caps w:val="false"/>
                <w:color w:val="4b5563"/>
                <w:sz w:val="12"/>
                <w:szCs w:val="12"/>
              </w:rPr>
              <w:t xml:space="preserve">The hospital conducts structured review of medication errors, including a root cause analysis for serious events, with findings translated into specific system-level practice changes.</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17</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3 — ADVANCED  |  Standards 9.9 to 9.10</w:t>
            </w:r>
          </w:p>
        </w:tc>
      </w:tr>
      <w:tr>
        <w:tc>
          <w:tcPr>
            <w:tcW w:type="dxa" w:w="9360"/>
            <w:gridSpan w:val="4"/>
            <w:shd w:fill="dbeafe"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14335c"/>
                <w:sz w:val="12"/>
                <w:szCs w:val="12"/>
              </w:rPr>
              <w:t xml:space="preserve">What this level means:  </w:t>
            </w:r>
            <w:r>
              <w:rPr>
                <w:rFonts w:ascii="Arial" w:cs="Arial" w:eastAsia="Arial" w:hAnsi="Arial"/>
                <w:b w:val="false"/>
                <w:bCs w:val="false"/>
                <w:i w:val="false"/>
                <w:iCs w:val="false"/>
                <w:caps w:val="false"/>
                <w:color w:val="374151"/>
                <w:sz w:val="12"/>
                <w:szCs w:val="12"/>
              </w:rPr>
              <w:t xml:space="preserve">An Advanced facility’s medicines management extends beyond safe handling to active clinical oversight. A clinical pharmacist reviews regimens for appropriateness, not just accuracy, and the formulary is actively managed toward rational, evidence-based, cost-effective prescribing. These mark a facility at international best-practice level.</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9.9</w:t>
            </w:r>
          </w:p>
        </w:tc>
        <w:tc>
          <w:tcPr>
            <w:tcW w:type="dxa" w:w="5460"/>
            <w:shd w:fill="dbeafe"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Clinical Pharmacy and Therapeutic Review</w:t>
            </w:r>
          </w:p>
          <w:p>
            <w:pPr>
              <w:spacing w:after="36" w:before="0"/>
            </w:pPr>
            <w:r>
              <w:rPr>
                <w:rFonts w:ascii="Arial" w:cs="Arial" w:eastAsia="Arial" w:hAnsi="Arial"/>
                <w:b w:val="false"/>
                <w:bCs w:val="false"/>
                <w:i/>
                <w:iCs/>
                <w:caps w:val="false"/>
                <w:color w:val="4b5563"/>
                <w:sz w:val="12"/>
                <w:szCs w:val="12"/>
              </w:rPr>
              <w:t xml:space="preserve">A clinical pharmacist actively reviews inpatient medication regimens for appropriateness, interactions, and dose optimisation, with findings communicated directly to the prescribing team.</w:t>
            </w:r>
          </w:p>
        </w:tc>
        <w:tc>
          <w:tcPr>
            <w:tcW w:type="dxa" w:w="2200"/>
            <w:shd w:fill="dbeafe"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4335c"/>
                <w:sz w:val="11"/>
                <w:szCs w:val="11"/>
              </w:rPr>
              <w:t xml:space="preserve">INTERNATIONAL BEST PRACTICE</w:t>
            </w:r>
          </w:p>
        </w:tc>
        <w:tc>
          <w:tcPr>
            <w:tcW w:type="dxa" w:w="1000"/>
            <w:shd w:fill="dbeafe"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19</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9.10</w:t>
            </w:r>
          </w:p>
        </w:tc>
        <w:tc>
          <w:tcPr>
            <w:tcW w:type="dxa" w:w="5460"/>
            <w:shd w:fill="dbeafe"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Formulary Management and Rational Use</w:t>
            </w:r>
          </w:p>
          <w:p>
            <w:pPr>
              <w:spacing w:after="36" w:before="0"/>
            </w:pPr>
            <w:r>
              <w:rPr>
                <w:rFonts w:ascii="Arial" w:cs="Arial" w:eastAsia="Arial" w:hAnsi="Arial"/>
                <w:b w:val="false"/>
                <w:bCs w:val="false"/>
                <w:i/>
                <w:iCs/>
                <w:caps w:val="false"/>
                <w:color w:val="4b5563"/>
                <w:sz w:val="12"/>
                <w:szCs w:val="12"/>
              </w:rPr>
              <w:t xml:space="preserve">The hospital maintains a managed formulary based on evidence and cost-effectiveness, with a defined process for adding or removing medications, and monitors prescribing patterns to promote rational medicine use.</w:t>
            </w:r>
          </w:p>
        </w:tc>
        <w:tc>
          <w:tcPr>
            <w:tcW w:type="dxa" w:w="2200"/>
            <w:shd w:fill="dbeafe"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4335c"/>
                <w:sz w:val="11"/>
                <w:szCs w:val="11"/>
              </w:rPr>
              <w:t xml:space="preserve">INTERNATIONAL BEST PRACTICE</w:t>
            </w:r>
          </w:p>
        </w:tc>
        <w:tc>
          <w:tcPr>
            <w:tcW w:type="dxa" w:w="1000"/>
            <w:shd w:fill="dbeafe"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21</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BACK MATTER</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Combined References — Vancouver style, with full URL for each citation</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23</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Keyword Index — alphabetical, with standard number and page for each term</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25</w:t>
            </w:r>
          </w:p>
        </w:tc>
      </w:tr>
    </w:tbl>
    <w:p>
      <w:pPr>
        <w:spacing w:after="36" w:before="2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4"/>
          <w:left w:val="none"/>
          <w:bottom w:val="none"/>
          <w:right w:val="none"/>
          <w:insideH w:val="single" w:color="auto" w:sz="4"/>
          <w:insideV w:val="single" w:color="auto" w:sz="4"/>
        </w:tblBorders>
      </w:tblPr>
      <w:tblGrid>
        <w:gridCol w:w="7000"/>
        <w:gridCol w:w="2360"/>
      </w:tblGrid>
      <w:tr>
        <w:tc>
          <w:tcPr>
            <w:tcW w:type="dxa" w:w="7000"/>
            <w:shd w:fill="0e2647" w:color="auto" w:val="clear"/>
            <w:tcMar>
              <w:top w:type="dxa" w:w="26"/>
              <w:left w:type="dxa" w:w="110"/>
              <w:bottom w:type="dxa" w:w="26"/>
              <w:right w:type="dxa" w:w="75"/>
            </w:tcMar>
            <w:vAlign w:val="top"/>
          </w:tcPr>
          <w:p>
            <w:pPr>
              <w:spacing w:after="36" w:before="0"/>
            </w:pPr>
            <w:r>
              <w:rPr>
                <w:rFonts w:ascii="Arial" w:cs="Arial" w:eastAsia="Arial" w:hAnsi="Arial"/>
                <w:b w:val="false"/>
                <w:bCs w:val="false"/>
                <w:i/>
                <w:iCs/>
                <w:caps w:val="false"/>
                <w:color w:val="6b778c"/>
                <w:sz w:val="12"/>
                <w:szCs w:val="12"/>
              </w:rPr>
              <w:t xml:space="preserve">Cross-cutting map and digital standards: </w:t>
            </w:r>
            <w:hyperlink w:history="1" r:id="rIdhzjhkqspe-mfdnryokihm">
              <w:r>
                <w:rPr>
                  <w:rFonts w:ascii="Arial" w:cs="Arial" w:eastAsia="Arial" w:hAnsi="Arial"/>
                  <w:b/>
                  <w:bCs/>
                  <w:color w:val="c9a227"/>
                  <w:sz w:val="12"/>
                  <w:szCs w:val="12"/>
                  <w:u w:val="single"/>
                </w:rPr>
                <w:t xml:space="preserve">france-asf.fr</w:t>
              </w:r>
            </w:hyperlink>
            <w:r>
              <w:rPr>
                <w:rFonts w:ascii="Arial" w:cs="Arial" w:eastAsia="Arial" w:hAnsi="Arial"/>
                <w:b w:val="false"/>
                <w:bCs w:val="false"/>
                <w:i/>
                <w:iCs/>
                <w:caps w:val="false"/>
                <w:color w:val="6b778c"/>
                <w:sz w:val="12"/>
                <w:szCs w:val="12"/>
              </w:rPr>
              <w:t xml:space="preserve">   E-learning: </w:t>
            </w:r>
            <w:hyperlink w:history="1" r:id="rIdindrqr983yv4d2xlleryb">
              <w:r>
                <w:rPr>
                  <w:rFonts w:ascii="Arial" w:cs="Arial" w:eastAsia="Arial" w:hAnsi="Arial"/>
                  <w:b/>
                  <w:bCs/>
                  <w:color w:val="c9a227"/>
                  <w:sz w:val="12"/>
                  <w:szCs w:val="12"/>
                  <w:u w:val="single"/>
                </w:rPr>
                <w:t xml:space="preserve">academy.gmj.ge</w:t>
              </w:r>
            </w:hyperlink>
            <w:r>
              <w:rPr>
                <w:rFonts w:ascii="Arial" w:cs="Arial" w:eastAsia="Arial" w:hAnsi="Arial"/>
                <w:b w:val="false"/>
                <w:bCs w:val="false"/>
                <w:i/>
                <w:iCs/>
                <w:caps w:val="false"/>
                <w:color w:val="6b778c"/>
                <w:sz w:val="12"/>
                <w:szCs w:val="12"/>
              </w:rPr>
              <w:t xml:space="preserve">   Advisory support: </w:t>
            </w:r>
            <w:hyperlink w:history="1" r:id="rIdlfpicdcvi8kgpafq2xtxn">
              <w:r>
                <w:rPr>
                  <w:rFonts w:ascii="Arial" w:cs="Arial" w:eastAsia="Arial" w:hAnsi="Arial"/>
                  <w:b/>
                  <w:bCs/>
                  <w:color w:val="c9a227"/>
                  <w:sz w:val="12"/>
                  <w:szCs w:val="12"/>
                  <w:u w:val="single"/>
                </w:rPr>
                <w:t xml:space="preserve">info@france-asf.fr</w:t>
              </w:r>
            </w:hyperlink>
          </w:p>
        </w:tc>
        <w:tc>
          <w:tcPr>
            <w:tcW w:type="dxa" w:w="2360"/>
            <w:shd w:fill="0e2647" w:color="auto" w:val="clear"/>
            <w:tcMar>
              <w:top w:type="dxa" w:w="26"/>
              <w:left w:type="dxa" w:w="70"/>
              <w:bottom w:type="dxa" w:w="26"/>
              <w:right w:type="dxa" w:w="75"/>
            </w:tcMar>
            <w:vAlign w:val="top"/>
          </w:tcPr>
          <w:p>
            <w:pPr>
              <w:spacing w:after="36" w:before="0"/>
            </w:pPr>
            <w:r>
              <w:rPr>
                <w:rFonts w:ascii="Arial" w:cs="Arial" w:eastAsia="Arial" w:hAnsi="Arial"/>
                <w:b w:val="false"/>
                <w:bCs w:val="false"/>
                <w:i/>
                <w:iCs/>
                <w:caps w:val="false"/>
                <w:color w:val="8fa8c8"/>
                <w:sz w:val="11"/>
                <w:szCs w:val="11"/>
              </w:rPr>
              <w:t xml:space="preserve">ASF-CH9-PMM-v2.0   ·   January 2025</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9.1</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9: Pharmacy &amp; Medicines Management</w:t>
            </w:r>
          </w:p>
          <w:p>
            <w:pPr>
              <w:spacing w:after="36" w:before="0"/>
            </w:pPr>
            <w:r>
              <w:rPr>
                <w:rFonts w:ascii="Arial" w:cs="Arial" w:eastAsia="Arial" w:hAnsi="Arial"/>
                <w:b/>
                <w:bCs/>
                <w:i w:val="false"/>
                <w:iCs w:val="false"/>
                <w:caps w:val="false"/>
                <w:color w:val="dce8f5"/>
                <w:sz w:val="12"/>
                <w:szCs w:val="12"/>
              </w:rPr>
              <w:t xml:space="preserve">Medication Storage and Security</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3</w:t>
            </w:r>
          </w:p>
          <w:p>
            <w:pPr>
              <w:spacing w:after="36" w:before="0"/>
            </w:pPr>
            <w:r>
              <w:rPr>
                <w:rFonts w:ascii="Arial" w:cs="Arial" w:eastAsia="Arial" w:hAnsi="Arial"/>
                <w:b w:val="false"/>
                <w:bCs w:val="false"/>
                <w:i/>
                <w:iCs/>
                <w:caps w:val="false"/>
                <w:color w:val="8fa8c8"/>
                <w:sz w:val="9"/>
                <w:szCs w:val="9"/>
              </w:rPr>
              <w:t xml:space="preserve">ASF-CH9-PMM-v2.0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9.1</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Medication Storage and Security</w:t>
            </w:r>
          </w:p>
          <w:p>
            <w:pPr>
              <w:spacing w:after="36" w:before="0"/>
            </w:pPr>
            <w:r>
              <w:rPr>
                <w:rFonts w:ascii="Arial" w:cs="Arial" w:eastAsia="Arial" w:hAnsi="Arial"/>
                <w:b w:val="false"/>
                <w:bCs w:val="false"/>
                <w:i w:val="false"/>
                <w:iCs w:val="false"/>
                <w:caps w:val="false"/>
                <w:color w:val="4b5563"/>
                <w:sz w:val="15"/>
                <w:szCs w:val="15"/>
              </w:rPr>
              <w:t xml:space="preserve">All medications are stored securely, at the correct temperature and conditions, with access restricted to authorised staff, and expired stock removed promptly.</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medications stored at the manufacturer-specified temperature, with monitoring in place?</w:t>
            </w:r>
          </w:p>
          <w:p>
            <w:pPr>
              <w:spacing w:after="7" w:before="0"/>
            </w:pPr>
            <w:r>
              <w:rPr>
                <w:rFonts w:ascii="Arial" w:cs="Arial" w:eastAsia="Arial" w:hAnsi="Arial"/>
                <w:b w:val="false"/>
                <w:bCs w:val="false"/>
                <w:i/>
                <w:iCs/>
                <w:caps w:val="false"/>
                <w:color w:val="4b5563"/>
                <w:sz w:val="15"/>
                <w:szCs w:val="15"/>
              </w:rPr>
              <w:t xml:space="preserve">Check for temperature logs, not only a thermometer present with no record.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Temperature monitoring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access to medication storage areas restricted to authorised staff?</w:t>
            </w:r>
          </w:p>
          <w:p>
            <w:pPr>
              <w:spacing w:after="36" w:before="0"/>
            </w:pPr>
            <w:r>
              <w:rPr>
                <w:rFonts w:ascii="Arial" w:cs="Arial" w:eastAsia="Arial" w:hAnsi="Arial"/>
                <w:b w:val="false"/>
                <w:bCs w:val="false"/>
                <w:i/>
                <w:iCs/>
                <w:caps w:val="false"/>
                <w:color w:val="4b5563"/>
                <w:sz w:val="15"/>
                <w:szCs w:val="15"/>
              </w:rPr>
              <w:t xml:space="preserve">Check the physical access control, such as locked storage or controlled keys.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expired medications identified and removed from active stock promptly?</w:t>
            </w:r>
          </w:p>
          <w:p>
            <w:pPr>
              <w:spacing w:after="7" w:before="0"/>
            </w:pPr>
            <w:r>
              <w:rPr>
                <w:rFonts w:ascii="Arial" w:cs="Arial" w:eastAsia="Arial" w:hAnsi="Arial"/>
                <w:b w:val="false"/>
                <w:bCs w:val="false"/>
                <w:i/>
                <w:iCs/>
                <w:caps w:val="false"/>
                <w:color w:val="4b5563"/>
                <w:sz w:val="15"/>
                <w:szCs w:val="15"/>
              </w:rPr>
              <w:t xml:space="preserve">Spot-check a storage area for any expired items still present.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Expiry check process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process for managing medication recalls?</w:t>
            </w:r>
          </w:p>
          <w:p>
            <w:pPr>
              <w:spacing w:after="7" w:before="0"/>
            </w:pPr>
            <w:r>
              <w:rPr>
                <w:rFonts w:ascii="Arial" w:cs="Arial" w:eastAsia="Arial" w:hAnsi="Arial"/>
                <w:b w:val="false"/>
                <w:bCs w:val="false"/>
                <w:i/>
                <w:iCs/>
                <w:caps w:val="false"/>
                <w:color w:val="4b5563"/>
                <w:sz w:val="15"/>
                <w:szCs w:val="15"/>
              </w:rPr>
              <w:t xml:space="preserve">Ask how the pharmacy would respond to a manufacturer recall notice.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Recall management procedure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look-alike, sound-alike medications stored and labelled to minimise mix-up risk?</w:t>
            </w:r>
          </w:p>
          <w:p>
            <w:pPr>
              <w:spacing w:after="36" w:before="0"/>
            </w:pPr>
            <w:r>
              <w:rPr>
                <w:rFonts w:ascii="Arial" w:cs="Arial" w:eastAsia="Arial" w:hAnsi="Arial"/>
                <w:b w:val="false"/>
                <w:bCs w:val="false"/>
                <w:i/>
                <w:iCs/>
                <w:caps w:val="false"/>
                <w:color w:val="4b5563"/>
                <w:sz w:val="15"/>
                <w:szCs w:val="15"/>
              </w:rPr>
              <w:t xml:space="preserve">Check for separation or distinct labelling of known look-alike/sound-alike pairs.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Storage area walkthrough</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Observes medication storage areas for temperature control, access restriction, and organisation.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Temperature log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temperature monitoring logs against the manufacturer-specified range for a sample period.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Expired stock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a sample of storage areas directly for any expired medication still present.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Recall process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pharmacy staff to describe the actual steps taken upon receiving a medication recall notice.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dqifchfe5nfgakr_zrhdt">
              <w:r>
                <w:rPr>
                  <w:rFonts w:ascii="Arial" w:cs="Arial" w:eastAsia="Arial" w:hAnsi="Arial"/>
                  <w:b/>
                  <w:bCs/>
                  <w:color w:val="c9a227"/>
                  <w:sz w:val="13"/>
                  <w:szCs w:val="13"/>
                  <w:u w:val="single"/>
                </w:rPr>
                <w:t xml:space="preserve">World Health Organization. Guidelines for the storage of essential medicines and other health commodities. Geneva: WHO; 2003.</w:t>
              </w:r>
            </w:hyperlink>
            <w:r>
              <w:rPr>
                <w:rFonts w:ascii="Arial" w:cs="Arial" w:eastAsia="Arial" w:hAnsi="Arial"/>
                <w:b/>
                <w:bCs/>
                <w:i w:val="false"/>
                <w:iCs w:val="false"/>
                <w:caps w:val="false"/>
                <w:color w:val="6b778c"/>
                <w:sz w:val="13"/>
                <w:szCs w:val="13"/>
              </w:rPr>
              <w:t xml:space="preserve">   2. </w:t>
            </w:r>
            <w:hyperlink w:history="1" r:id="rIdtz1aogfvz6v1zl4gzalte">
              <w:r>
                <w:rPr>
                  <w:rFonts w:ascii="Arial" w:cs="Arial" w:eastAsia="Arial" w:hAnsi="Arial"/>
                  <w:b/>
                  <w:bCs/>
                  <w:color w:val="c9a227"/>
                  <w:sz w:val="13"/>
                  <w:szCs w:val="13"/>
                  <w:u w:val="single"/>
                </w:rPr>
                <w:t xml:space="preserve">International Pharmaceutical Federation. Good Pharmacy Practice guidelines. The Hague: FIP; 2020.</w:t>
              </w:r>
            </w:hyperlink>
            <w:r>
              <w:rPr>
                <w:rFonts w:ascii="Arial" w:cs="Arial" w:eastAsia="Arial" w:hAnsi="Arial"/>
                <w:b/>
                <w:bCs/>
                <w:i w:val="false"/>
                <w:iCs w:val="false"/>
                <w:caps w:val="false"/>
                <w:color w:val="6b778c"/>
                <w:sz w:val="13"/>
                <w:szCs w:val="13"/>
              </w:rPr>
              <w:t xml:space="preserve">   3. </w:t>
            </w:r>
            <w:hyperlink w:history="1" r:id="rId_3uom91ur5s66ia5uxmcg">
              <w:r>
                <w:rPr>
                  <w:rFonts w:ascii="Arial" w:cs="Arial" w:eastAsia="Arial" w:hAnsi="Arial"/>
                  <w:b/>
                  <w:bCs/>
                  <w:color w:val="c9a227"/>
                  <w:sz w:val="13"/>
                  <w:szCs w:val="13"/>
                  <w:u w:val="single"/>
                </w:rPr>
                <w:t xml:space="preserve">Institute for Safe Medication Practices. Guidelines for safe storage of medications. Horsham: ISMP; 2019.</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9.1</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9.1</w:t>
            </w:r>
            <w:r>
              <w:rPr>
                <w:rFonts w:ascii="Arial" w:cs="Arial" w:eastAsia="Arial" w:hAnsi="Arial"/>
                <w:b w:val="false"/>
                <w:bCs w:val="false"/>
                <w:i/>
                <w:iCs/>
                <w:caps w:val="false"/>
                <w:color w:val="8fa8c8"/>
                <w:sz w:val="10"/>
                <w:szCs w:val="10"/>
              </w:rPr>
              <w:t xml:space="preserve">  ·  Level 1  ·  Chapter 9: Pharmacy &amp; Medicines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4</w:t>
            </w:r>
          </w:p>
          <w:p>
            <w:pPr>
              <w:spacing w:after="36" w:before="0"/>
            </w:pPr>
            <w:r>
              <w:rPr>
                <w:rFonts w:ascii="Arial" w:cs="Arial" w:eastAsia="Arial" w:hAnsi="Arial"/>
                <w:b w:val="false"/>
                <w:bCs w:val="false"/>
                <w:i/>
                <w:iCs/>
                <w:caps w:val="false"/>
                <w:color w:val="8fa8c8"/>
                <w:sz w:val="9"/>
                <w:szCs w:val="9"/>
              </w:rPr>
              <w:t xml:space="preserve">ASF-CH9-PMM-v2.0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medication stored outside its required temperature range, or accessible to anyone regardless of authorisation, or left in stock past its expiry date, can silently become ineffective or unsafe with no visible sign to the staff member administering it. Secure, monitored, well-organised storage is the unglamorous foundation beneath every other medication safety standard — none of the later safeguards matter if the medication itself was already compromised before it reached the patient.</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Guidelines for the Storage of Essential Medicines — temperature excursions outside the specified range are a leading cause of medication potency loss, often without any visible change to the product that would alert staff to the problem.</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Medications are stored at the correct, monitored temperature with a documented log</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Access to storage areas is physically restricted to authorised staff</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Expired medications are identified and removed promptly, with no expired stock found on inspection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defined process manages medication recalls when notices are received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Look-alike, sound-alike medications are separated or distinctly labelled to reduce mix-up risk</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Medication storage temperature is not monitored or logged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Storage areas are accessible to unauthorised staff</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Expired medications are found in active stock during inspection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process exists for managing medication recalls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Look-alike, sound-alike medications are stored adjacent to each other with no distinguishing measure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Temperature is monitored but excursions are not consistently acted on.</w:t>
            </w:r>
          </w:p>
          <w:p>
            <w:pPr>
              <w:spacing w:after="20" w:before="0"/>
            </w:pPr>
            <w:r>
              <w:rPr>
                <w:rFonts w:ascii="Arial" w:cs="Arial" w:eastAsia="Arial" w:hAnsi="Arial"/>
                <w:b w:val="false"/>
                <w:bCs w:val="false"/>
                <w:i/>
                <w:iCs/>
                <w:caps w:val="false"/>
                <w:color w:val="4b5563"/>
                <w:sz w:val="15"/>
                <w:szCs w:val="15"/>
              </w:rPr>
              <w:t xml:space="preserve">A monitoring log exists and shows regular readings, but when a reading falls outside range, there is no consistent, documented response.</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Access is restricted during the day but less controlled overnight.</w:t>
            </w:r>
          </w:p>
          <w:p>
            <w:pPr>
              <w:spacing w:after="20" w:before="0"/>
            </w:pPr>
            <w:r>
              <w:rPr>
                <w:rFonts w:ascii="Arial" w:cs="Arial" w:eastAsia="Arial" w:hAnsi="Arial"/>
                <w:b w:val="false"/>
                <w:bCs w:val="false"/>
                <w:i/>
                <w:iCs/>
                <w:caps w:val="false"/>
                <w:color w:val="4b5563"/>
                <w:sz w:val="15"/>
                <w:szCs w:val="15"/>
              </w:rPr>
              <w:t xml:space="preserve">Daytime storage access follows proper controls; overnight or weekend access sometimes relies on shared or less controlled arrangements.</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Expiry checks happen but not on a fully systematic schedule.</w:t>
            </w:r>
          </w:p>
          <w:p>
            <w:pPr>
              <w:spacing w:after="36" w:before="0"/>
            </w:pPr>
            <w:r>
              <w:rPr>
                <w:rFonts w:ascii="Arial" w:cs="Arial" w:eastAsia="Arial" w:hAnsi="Arial"/>
                <w:b w:val="false"/>
                <w:bCs w:val="false"/>
                <w:i/>
                <w:iCs/>
                <w:caps w:val="false"/>
                <w:color w:val="4b5563"/>
                <w:sz w:val="15"/>
                <w:szCs w:val="15"/>
              </w:rPr>
              <w:t xml:space="preserve">Staff generally notice and remove expired items, but there is no defined, regular schedule ensuring every storage area is checked consistently.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temperature monitoring is in place and logged for all medication storage areas.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Review and strengthen physical access controls, including out-of-hours access.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Establish a systematic, scheduled expiry check process across all storage areas.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Confirm or establish a medication recall management procedure.</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Maintain temperature monitoring and expiry checks; review look-alike, sound-alike storage periodically.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Check the storage area directly for expired stock, rather than only reviewing the process.  </w:t>
            </w:r>
            <w:r>
              <w:rPr>
                <w:rFonts w:ascii="Arial" w:cs="Arial" w:eastAsia="Arial" w:hAnsi="Arial"/>
                <w:b w:val="false"/>
                <w:bCs w:val="false"/>
                <w:i w:val="false"/>
                <w:iCs w:val="false"/>
                <w:caps w:val="false"/>
                <w:color w:val="374151"/>
                <w:sz w:val="16"/>
                <w:szCs w:val="16"/>
              </w:rPr>
              <w:t xml:space="preserve">Direct inspection is the most reliable way to confirm whether the expiry check process is actually effective.</w:t>
            </w:r>
          </w:p>
          <w:p>
            <w:pPr>
              <w:spacing w:after="16" w:before="0"/>
            </w:pPr>
            <w:r>
              <w:rPr>
                <w:rFonts w:ascii="Arial" w:cs="Arial" w:eastAsia="Arial" w:hAnsi="Arial"/>
                <w:b/>
                <w:bCs/>
                <w:i w:val="false"/>
                <w:iCs w:val="false"/>
                <w:caps w:val="false"/>
                <w:color w:val="b91c1c"/>
                <w:sz w:val="15"/>
                <w:szCs w:val="15"/>
              </w:rPr>
              <w:t xml:space="preserve">Ask about access control specifically overnight and on weekends.  </w:t>
            </w:r>
            <w:r>
              <w:rPr>
                <w:rFonts w:ascii="Arial" w:cs="Arial" w:eastAsia="Arial" w:hAnsi="Arial"/>
                <w:b w:val="false"/>
                <w:bCs w:val="false"/>
                <w:i w:val="false"/>
                <w:iCs w:val="false"/>
                <w:caps w:val="false"/>
                <w:color w:val="374151"/>
                <w:sz w:val="16"/>
                <w:szCs w:val="16"/>
              </w:rPr>
              <w:t xml:space="preserve">Access restrictions are often more rigorous during standard hours than during off-hours coverage.</w:t>
            </w:r>
          </w:p>
          <w:p>
            <w:pPr>
              <w:spacing w:after="36" w:before="0"/>
            </w:pPr>
            <w:r>
              <w:rPr>
                <w:rFonts w:ascii="Arial" w:cs="Arial" w:eastAsia="Arial" w:hAnsi="Arial"/>
                <w:b/>
                <w:bCs/>
                <w:i w:val="false"/>
                <w:iCs w:val="false"/>
                <w:caps w:val="false"/>
                <w:color w:val="b91c1c"/>
                <w:sz w:val="15"/>
                <w:szCs w:val="15"/>
              </w:rPr>
              <w:t xml:space="preserve">Look for look-alike, sound-alike medications stored side by side.  </w:t>
            </w:r>
            <w:r>
              <w:rPr>
                <w:rFonts w:ascii="Arial" w:cs="Arial" w:eastAsia="Arial" w:hAnsi="Arial"/>
                <w:b w:val="false"/>
                <w:bCs w:val="false"/>
                <w:i w:val="false"/>
                <w:iCs w:val="false"/>
                <w:caps w:val="false"/>
                <w:color w:val="374151"/>
                <w:sz w:val="16"/>
                <w:szCs w:val="16"/>
              </w:rPr>
              <w:t xml:space="preserve">This is a well-documented, easily overlooked source of selection error during a busy shift.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k4_pz8xhscfc_q4teot8h">
              <w:r>
                <w:rPr>
                  <w:rFonts w:ascii="Arial" w:cs="Arial" w:eastAsia="Arial" w:hAnsi="Arial"/>
                  <w:b/>
                  <w:bCs/>
                  <w:color w:val="c9a227"/>
                  <w:sz w:val="13"/>
                  <w:szCs w:val="13"/>
                  <w:u w:val="single"/>
                </w:rPr>
                <w:t xml:space="preserve">academy.gmj.ge/ch9-1-medication-storage-security</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9.2</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9: Pharmacy &amp; Medicines Management</w:t>
            </w:r>
          </w:p>
          <w:p>
            <w:pPr>
              <w:spacing w:after="36" w:before="0"/>
            </w:pPr>
            <w:r>
              <w:rPr>
                <w:rFonts w:ascii="Arial" w:cs="Arial" w:eastAsia="Arial" w:hAnsi="Arial"/>
                <w:b/>
                <w:bCs/>
                <w:i w:val="false"/>
                <w:iCs w:val="false"/>
                <w:caps w:val="false"/>
                <w:color w:val="dce8f5"/>
                <w:sz w:val="12"/>
                <w:szCs w:val="12"/>
              </w:rPr>
              <w:t xml:space="preserve">High-Alert Medication Management</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5</w:t>
            </w:r>
          </w:p>
          <w:p>
            <w:pPr>
              <w:spacing w:after="36" w:before="0"/>
            </w:pPr>
            <w:r>
              <w:rPr>
                <w:rFonts w:ascii="Arial" w:cs="Arial" w:eastAsia="Arial" w:hAnsi="Arial"/>
                <w:b w:val="false"/>
                <w:bCs w:val="false"/>
                <w:i/>
                <w:iCs/>
                <w:caps w:val="false"/>
                <w:color w:val="8fa8c8"/>
                <w:sz w:val="9"/>
                <w:szCs w:val="9"/>
              </w:rPr>
              <w:t xml:space="preserve">ASF-CH9-PMM-v2.0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9.2</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High-Alert Medication Management</w:t>
            </w:r>
          </w:p>
          <w:p>
            <w:pPr>
              <w:spacing w:after="36" w:before="0"/>
            </w:pPr>
            <w:r>
              <w:rPr>
                <w:rFonts w:ascii="Arial" w:cs="Arial" w:eastAsia="Arial" w:hAnsi="Arial"/>
                <w:b w:val="false"/>
                <w:bCs w:val="false"/>
                <w:i w:val="false"/>
                <w:iCs w:val="false"/>
                <w:caps w:val="false"/>
                <w:color w:val="4b5563"/>
                <w:sz w:val="15"/>
                <w:szCs w:val="15"/>
              </w:rPr>
              <w:t xml:space="preserve">The hospital has a defined list of high-alert medications, such as insulin, anticoagulants, and concentrated electrolytes, with additional safeguards including independent double-checks and restricted storage.</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hospital-specific list of high-alert medications, based on a recognised reference list?</w:t>
            </w:r>
          </w:p>
          <w:p>
            <w:pPr>
              <w:spacing w:after="7" w:before="0"/>
            </w:pPr>
            <w:r>
              <w:rPr>
                <w:rFonts w:ascii="Arial" w:cs="Arial" w:eastAsia="Arial" w:hAnsi="Arial"/>
                <w:b w:val="false"/>
                <w:bCs w:val="false"/>
                <w:i/>
                <w:iCs/>
                <w:caps w:val="false"/>
                <w:color w:val="4b5563"/>
                <w:sz w:val="15"/>
                <w:szCs w:val="15"/>
              </w:rPr>
              <w:t xml:space="preserve">Check the list is specific to the hospital’s formulary, adapted from a recognised source.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High-alert medication list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high-alert medications subject to an independent double-check before administration?</w:t>
            </w:r>
          </w:p>
          <w:p>
            <w:pPr>
              <w:spacing w:after="7" w:before="0"/>
            </w:pPr>
            <w:r>
              <w:rPr>
                <w:rFonts w:ascii="Arial" w:cs="Arial" w:eastAsia="Arial" w:hAnsi="Arial"/>
                <w:b w:val="false"/>
                <w:bCs w:val="false"/>
                <w:i/>
                <w:iCs/>
                <w:caps w:val="false"/>
                <w:color w:val="4b5563"/>
                <w:sz w:val="15"/>
                <w:szCs w:val="15"/>
              </w:rPr>
              <w:t xml:space="preserve">Check the double-check is performed by two people independently, not one person confirming another’s work passively.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Double-check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concentrated electrolytes and other especially dangerous formulations stored separately, with restricted access?</w:t>
            </w:r>
          </w:p>
          <w:p>
            <w:pPr>
              <w:spacing w:after="36" w:before="0"/>
            </w:pPr>
            <w:r>
              <w:rPr>
                <w:rFonts w:ascii="Arial" w:cs="Arial" w:eastAsia="Arial" w:hAnsi="Arial"/>
                <w:b w:val="false"/>
                <w:bCs w:val="false"/>
                <w:i/>
                <w:iCs/>
                <w:caps w:val="false"/>
                <w:color w:val="4b5563"/>
                <w:sz w:val="15"/>
                <w:szCs w:val="15"/>
              </w:rPr>
              <w:t xml:space="preserve">Check physical separation and access restriction for these specific items.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high-alert medication errors and near-misses tracked separately from general medication errors?</w:t>
            </w:r>
          </w:p>
          <w:p>
            <w:pPr>
              <w:spacing w:after="7" w:before="0"/>
            </w:pPr>
            <w:r>
              <w:rPr>
                <w:rFonts w:ascii="Arial" w:cs="Arial" w:eastAsia="Arial" w:hAnsi="Arial"/>
                <w:b w:val="false"/>
                <w:bCs w:val="false"/>
                <w:i/>
                <w:iCs/>
                <w:caps w:val="false"/>
                <w:color w:val="4b5563"/>
                <w:sz w:val="15"/>
                <w:szCs w:val="15"/>
              </w:rPr>
              <w:t xml:space="preserve">Check the incident log for this specific category.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High-alert medication incident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Have staff received specific training on the hospital’s high-alert medication list and safeguards?</w:t>
            </w:r>
          </w:p>
          <w:p>
            <w:pPr>
              <w:spacing w:after="7" w:before="0"/>
            </w:pPr>
            <w:r>
              <w:rPr>
                <w:rFonts w:ascii="Arial" w:cs="Arial" w:eastAsia="Arial" w:hAnsi="Arial"/>
                <w:b w:val="false"/>
                <w:bCs w:val="false"/>
                <w:i/>
                <w:iCs/>
                <w:caps w:val="false"/>
                <w:color w:val="4b5563"/>
                <w:sz w:val="15"/>
                <w:szCs w:val="15"/>
              </w:rPr>
              <w:t xml:space="preserve">Check training records for this specific content.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Training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High-alert list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hospital-specific high-alert medication list against a recognised reference.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Double-check observation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Where possible, observes or reviews documentation of an independent double-check for a high-alert medication administration.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Storage separation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physical storage of concentrated electrolytes and other especially dangerous formulations for separation and restricted access.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Incident log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log for high-alert medication errors and near-misses tracked as a distinct category.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2rfuclt6g8dez900fngdu">
              <w:r>
                <w:rPr>
                  <w:rFonts w:ascii="Arial" w:cs="Arial" w:eastAsia="Arial" w:hAnsi="Arial"/>
                  <w:b/>
                  <w:bCs/>
                  <w:color w:val="c9a227"/>
                  <w:sz w:val="13"/>
                  <w:szCs w:val="13"/>
                  <w:u w:val="single"/>
                </w:rPr>
                <w:t xml:space="preserve">Institute for Safe Medication Practices. List of high-alert medications in acute care settings. Horsham: ISMP; 2018.</w:t>
              </w:r>
            </w:hyperlink>
            <w:r>
              <w:rPr>
                <w:rFonts w:ascii="Arial" w:cs="Arial" w:eastAsia="Arial" w:hAnsi="Arial"/>
                <w:b/>
                <w:bCs/>
                <w:i w:val="false"/>
                <w:iCs w:val="false"/>
                <w:caps w:val="false"/>
                <w:color w:val="6b778c"/>
                <w:sz w:val="13"/>
                <w:szCs w:val="13"/>
              </w:rPr>
              <w:t xml:space="preserve">   2. </w:t>
            </w:r>
            <w:hyperlink w:history="1" r:id="rIdx6geb07ekzcc2elesbct7">
              <w:r>
                <w:rPr>
                  <w:rFonts w:ascii="Arial" w:cs="Arial" w:eastAsia="Arial" w:hAnsi="Arial"/>
                  <w:b/>
                  <w:bCs/>
                  <w:color w:val="c9a227"/>
                  <w:sz w:val="13"/>
                  <w:szCs w:val="13"/>
                  <w:u w:val="single"/>
                </w:rPr>
                <w:t xml:space="preserve">World Health Organization. Medication Without Harm: WHO Global Patient Safety Challenge. Geneva: WHO; 2017.</w:t>
              </w:r>
            </w:hyperlink>
            <w:r>
              <w:rPr>
                <w:rFonts w:ascii="Arial" w:cs="Arial" w:eastAsia="Arial" w:hAnsi="Arial"/>
                <w:b/>
                <w:bCs/>
                <w:i w:val="false"/>
                <w:iCs w:val="false"/>
                <w:caps w:val="false"/>
                <w:color w:val="6b778c"/>
                <w:sz w:val="13"/>
                <w:szCs w:val="13"/>
              </w:rPr>
              <w:t xml:space="preserve">   3. </w:t>
            </w:r>
            <w:hyperlink w:history="1" r:id="rIdelmvp-rryl_auqhvlmjpv">
              <w:r>
                <w:rPr>
                  <w:rFonts w:ascii="Arial" w:cs="Arial" w:eastAsia="Arial" w:hAnsi="Arial"/>
                  <w:b/>
                  <w:bCs/>
                  <w:color w:val="c9a227"/>
                  <w:sz w:val="13"/>
                  <w:szCs w:val="13"/>
                  <w:u w:val="single"/>
                </w:rPr>
                <w:t xml:space="preserve">Joint Commission International. International Patient Safety Goals — Standards for Hospitals. Oak Brook: JCI; 2020.</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9.2</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9.2</w:t>
            </w:r>
            <w:r>
              <w:rPr>
                <w:rFonts w:ascii="Arial" w:cs="Arial" w:eastAsia="Arial" w:hAnsi="Arial"/>
                <w:b w:val="false"/>
                <w:bCs w:val="false"/>
                <w:i/>
                <w:iCs/>
                <w:caps w:val="false"/>
                <w:color w:val="8fa8c8"/>
                <w:sz w:val="10"/>
                <w:szCs w:val="10"/>
              </w:rPr>
              <w:t xml:space="preserve">  ·  Level 1  ·  Chapter 9: Pharmacy &amp; Medicines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6</w:t>
            </w:r>
          </w:p>
          <w:p>
            <w:pPr>
              <w:spacing w:after="36" w:before="0"/>
            </w:pPr>
            <w:r>
              <w:rPr>
                <w:rFonts w:ascii="Arial" w:cs="Arial" w:eastAsia="Arial" w:hAnsi="Arial"/>
                <w:b w:val="false"/>
                <w:bCs w:val="false"/>
                <w:i/>
                <w:iCs/>
                <w:caps w:val="false"/>
                <w:color w:val="8fa8c8"/>
                <w:sz w:val="9"/>
                <w:szCs w:val="9"/>
              </w:rPr>
              <w:t xml:space="preserve">ASF-CH9-PMM-v2.0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High-alert medications are not necessarily used more often than others, but an error involving one is disproportionately likely to cause serious harm or death — a small dosing error with insulin or a concentrated electrolyte can be fatal in a way that a similar-sized error with many other medications would not be. Treating these specific medications with additional, deliberately redundant safeguards is what matches the level of protection to the actual severity of the risk.</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ISMP high-alert medication guidance — a defined, relatively small list of medications is responsible for a disproportionate share of serious and fatal medication errors, justifying additional safeguards specifically targeted at this category.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hospital-specific high-alert medication list is adapted from a recognised reference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High-alert medications undergo a genuine, independent double-check before administration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Concentrated electrolytes and similarly dangerous formulations are stored separately with restricted access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High-alert medication errors and near-misses are tracked as a distinct category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have received specific training on the high-alert list and its associated safeguards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hospital-specific high-alert medication list exists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Double-checks, if performed, are not genuinely independent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Concentrated electrolytes are stored with general stock, without restriction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High-alert medication errors are not tracked separately from general medication errors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specific training exists on high-alert medications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double-check exists but has become a formality under time pressure.</w:t>
            </w:r>
          </w:p>
          <w:p>
            <w:pPr>
              <w:spacing w:after="20" w:before="0"/>
            </w:pPr>
            <w:r>
              <w:rPr>
                <w:rFonts w:ascii="Arial" w:cs="Arial" w:eastAsia="Arial" w:hAnsi="Arial"/>
                <w:b w:val="false"/>
                <w:bCs w:val="false"/>
                <w:i/>
                <w:iCs/>
                <w:caps w:val="false"/>
                <w:color w:val="4b5563"/>
                <w:sz w:val="15"/>
                <w:szCs w:val="15"/>
              </w:rPr>
              <w:t xml:space="preserve">Two staff members sign off on high-alert medication administration, but observation reveals the second check is often a quick glance rather than a genuine independent verification.</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The high-alert list exists but hasn’t been reviewed against the current formulary.</w:t>
            </w:r>
          </w:p>
          <w:p>
            <w:pPr>
              <w:spacing w:after="20" w:before="0"/>
            </w:pPr>
            <w:r>
              <w:rPr>
                <w:rFonts w:ascii="Arial" w:cs="Arial" w:eastAsia="Arial" w:hAnsi="Arial"/>
                <w:b w:val="false"/>
                <w:bCs w:val="false"/>
                <w:i/>
                <w:iCs/>
                <w:caps w:val="false"/>
                <w:color w:val="4b5563"/>
                <w:sz w:val="15"/>
                <w:szCs w:val="15"/>
              </w:rPr>
              <w:t xml:space="preserve">A list was established at some point, but medications added to the formulary since have not been assessed for high-alert status.</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Storage separation is strong for some high-alert categories but not others.</w:t>
            </w:r>
          </w:p>
          <w:p>
            <w:pPr>
              <w:spacing w:after="36" w:before="0"/>
            </w:pPr>
            <w:r>
              <w:rPr>
                <w:rFonts w:ascii="Arial" w:cs="Arial" w:eastAsia="Arial" w:hAnsi="Arial"/>
                <w:b w:val="false"/>
                <w:bCs w:val="false"/>
                <w:i/>
                <w:iCs/>
                <w:caps w:val="false"/>
                <w:color w:val="4b5563"/>
                <w:sz w:val="15"/>
                <w:szCs w:val="15"/>
              </w:rPr>
              <w:t xml:space="preserve">Concentrated electrolytes are clearly separated and restricted; other high-alert medications on the list receive less consistent physical separation.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establish a hospital-specific high-alert medication list based on a recognised reference.</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Audit the independent double-check process for genuine, active verification, not passive sign-off.</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physical storage separation and access restriction for all listed high-alert medications.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or strengthen tracking of high-alert medication errors as a distinct category.</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Provide and refresh specific high-alert medication training; audit double-check practice periodically.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Observe a real double-check, not just ask whether the policy exists.  </w:t>
            </w:r>
            <w:r>
              <w:rPr>
                <w:rFonts w:ascii="Arial" w:cs="Arial" w:eastAsia="Arial" w:hAnsi="Arial"/>
                <w:b w:val="false"/>
                <w:bCs w:val="false"/>
                <w:i w:val="false"/>
                <w:iCs w:val="false"/>
                <w:caps w:val="false"/>
                <w:color w:val="374151"/>
                <w:sz w:val="16"/>
                <w:szCs w:val="16"/>
              </w:rPr>
              <w:t xml:space="preserve">This is the clearest way to distinguish a genuine independent verification from a formality performed under time pressure.</w:t>
            </w:r>
          </w:p>
          <w:p>
            <w:pPr>
              <w:spacing w:after="16" w:before="0"/>
            </w:pPr>
            <w:r>
              <w:rPr>
                <w:rFonts w:ascii="Arial" w:cs="Arial" w:eastAsia="Arial" w:hAnsi="Arial"/>
                <w:b/>
                <w:bCs/>
                <w:i w:val="false"/>
                <w:iCs w:val="false"/>
                <w:caps w:val="false"/>
                <w:color w:val="b91c1c"/>
                <w:sz w:val="15"/>
                <w:szCs w:val="15"/>
              </w:rPr>
              <w:t xml:space="preserve">Check storage separation for the full high-alert list, not only the most obviously dangerous items.  </w:t>
            </w:r>
            <w:r>
              <w:rPr>
                <w:rFonts w:ascii="Arial" w:cs="Arial" w:eastAsia="Arial" w:hAnsi="Arial"/>
                <w:b w:val="false"/>
                <w:bCs w:val="false"/>
                <w:i w:val="false"/>
                <w:iCs w:val="false"/>
                <w:caps w:val="false"/>
                <w:color w:val="374151"/>
                <w:sz w:val="16"/>
                <w:szCs w:val="16"/>
              </w:rPr>
              <w:t xml:space="preserve">Concentrated electrolytes often receive rigorous separation; other listed high-alert medications can be less consistently managed.</w:t>
            </w:r>
          </w:p>
          <w:p>
            <w:pPr>
              <w:spacing w:after="36" w:before="0"/>
            </w:pPr>
            <w:r>
              <w:rPr>
                <w:rFonts w:ascii="Arial" w:cs="Arial" w:eastAsia="Arial" w:hAnsi="Arial"/>
                <w:b/>
                <w:bCs/>
                <w:i w:val="false"/>
                <w:iCs w:val="false"/>
                <w:caps w:val="false"/>
                <w:color w:val="b91c1c"/>
                <w:sz w:val="15"/>
                <w:szCs w:val="15"/>
              </w:rPr>
              <w:t xml:space="preserve">Ask when the high-alert list was last reviewed against the current formulary.  </w:t>
            </w:r>
            <w:r>
              <w:rPr>
                <w:rFonts w:ascii="Arial" w:cs="Arial" w:eastAsia="Arial" w:hAnsi="Arial"/>
                <w:b w:val="false"/>
                <w:bCs w:val="false"/>
                <w:i w:val="false"/>
                <w:iCs w:val="false"/>
                <w:caps w:val="false"/>
                <w:color w:val="374151"/>
                <w:sz w:val="16"/>
                <w:szCs w:val="16"/>
              </w:rPr>
              <w:t xml:space="preserve">A list that hasn’t kept pace with new medications may be missing genuinely high-risk items.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2kqsffpfmms_co3v-uok8">
              <w:r>
                <w:rPr>
                  <w:rFonts w:ascii="Arial" w:cs="Arial" w:eastAsia="Arial" w:hAnsi="Arial"/>
                  <w:b/>
                  <w:bCs/>
                  <w:color w:val="c9a227"/>
                  <w:sz w:val="13"/>
                  <w:szCs w:val="13"/>
                  <w:u w:val="single"/>
                </w:rPr>
                <w:t xml:space="preserve">academy.gmj.ge/ch9-2-high-alert-medication-management</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9.3</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9: Pharmacy &amp; Medicines Management</w:t>
            </w:r>
          </w:p>
          <w:p>
            <w:pPr>
              <w:spacing w:after="36" w:before="0"/>
            </w:pPr>
            <w:r>
              <w:rPr>
                <w:rFonts w:ascii="Arial" w:cs="Arial" w:eastAsia="Arial" w:hAnsi="Arial"/>
                <w:b/>
                <w:bCs/>
                <w:i w:val="false"/>
                <w:iCs w:val="false"/>
                <w:caps w:val="false"/>
                <w:color w:val="dce8f5"/>
                <w:sz w:val="12"/>
                <w:szCs w:val="12"/>
              </w:rPr>
              <w:t xml:space="preserve">Medication Reconciliation on Admission and Discharge</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7</w:t>
            </w:r>
          </w:p>
          <w:p>
            <w:pPr>
              <w:spacing w:after="36" w:before="0"/>
            </w:pPr>
            <w:r>
              <w:rPr>
                <w:rFonts w:ascii="Arial" w:cs="Arial" w:eastAsia="Arial" w:hAnsi="Arial"/>
                <w:b w:val="false"/>
                <w:bCs w:val="false"/>
                <w:i/>
                <w:iCs/>
                <w:caps w:val="false"/>
                <w:color w:val="8fa8c8"/>
                <w:sz w:val="9"/>
                <w:szCs w:val="9"/>
              </w:rPr>
              <w:t xml:space="preserve">ASF-CH9-PMM-v2.0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9.3</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Medication Reconciliation on Admission and Discharge</w:t>
            </w:r>
          </w:p>
          <w:p>
            <w:pPr>
              <w:spacing w:after="36" w:before="0"/>
            </w:pPr>
            <w:r>
              <w:rPr>
                <w:rFonts w:ascii="Arial" w:cs="Arial" w:eastAsia="Arial" w:hAnsi="Arial"/>
                <w:b w:val="false"/>
                <w:bCs w:val="false"/>
                <w:i w:val="false"/>
                <w:iCs w:val="false"/>
                <w:caps w:val="false"/>
                <w:color w:val="4b5563"/>
                <w:sz w:val="15"/>
                <w:szCs w:val="15"/>
              </w:rPr>
              <w:t xml:space="preserve">The hospital performs and documents medication reconciliation at every admission and discharge, comparing the patient’s actual medication list against what is prescribed to identify and resolve discrepancies.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 structured medication reconciliation process performed at admission for every patient?</w:t>
            </w:r>
          </w:p>
          <w:p>
            <w:pPr>
              <w:spacing w:after="7" w:before="0"/>
            </w:pPr>
            <w:r>
              <w:rPr>
                <w:rFonts w:ascii="Arial" w:cs="Arial" w:eastAsia="Arial" w:hAnsi="Arial"/>
                <w:b w:val="false"/>
                <w:bCs w:val="false"/>
                <w:i/>
                <w:iCs/>
                <w:caps w:val="false"/>
                <w:color w:val="4b5563"/>
                <w:sz w:val="15"/>
                <w:szCs w:val="15"/>
              </w:rPr>
              <w:t xml:space="preserve">Check the process compares actual home medications against what is newly prescribed.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Reconciliation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medication reconciliation also performed at discharge?</w:t>
            </w:r>
          </w:p>
          <w:p>
            <w:pPr>
              <w:spacing w:after="36" w:before="0"/>
            </w:pPr>
            <w:r>
              <w:rPr>
                <w:rFonts w:ascii="Arial" w:cs="Arial" w:eastAsia="Arial" w:hAnsi="Arial"/>
                <w:b w:val="false"/>
                <w:bCs w:val="false"/>
                <w:i/>
                <w:iCs/>
                <w:caps w:val="false"/>
                <w:color w:val="4b5563"/>
                <w:sz w:val="15"/>
                <w:szCs w:val="15"/>
              </w:rPr>
              <w:t xml:space="preserve">Check discharge reconciliation is a distinct, equally structured step, not assumed from admission reconciliation.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discrepancies identified during reconciliation documented and resolved, with the resolution recorded?</w:t>
            </w:r>
          </w:p>
          <w:p>
            <w:pPr>
              <w:spacing w:after="7" w:before="0"/>
            </w:pPr>
            <w:r>
              <w:rPr>
                <w:rFonts w:ascii="Arial" w:cs="Arial" w:eastAsia="Arial" w:hAnsi="Arial"/>
                <w:b w:val="false"/>
                <w:bCs w:val="false"/>
                <w:i/>
                <w:iCs/>
                <w:caps w:val="false"/>
                <w:color w:val="4b5563"/>
                <w:sz w:val="15"/>
                <w:szCs w:val="15"/>
              </w:rPr>
              <w:t xml:space="preserve">Spot-check five records for documented discrepancies and their resolution.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Sample reconciliation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 patient’s actual home medication list obtained from a reliable source, such as the patient, family, or pharmacy record, not assumed from a prior hospital record alone?</w:t>
            </w:r>
          </w:p>
          <w:p>
            <w:pPr>
              <w:spacing w:after="36" w:before="0"/>
            </w:pPr>
            <w:r>
              <w:rPr>
                <w:rFonts w:ascii="Arial" w:cs="Arial" w:eastAsia="Arial" w:hAnsi="Arial"/>
                <w:b w:val="false"/>
                <w:bCs w:val="false"/>
                <w:i/>
                <w:iCs/>
                <w:caps w:val="false"/>
                <w:color w:val="4b5563"/>
                <w:sz w:val="15"/>
                <w:szCs w:val="15"/>
              </w:rPr>
              <w:t xml:space="preserve">Check the source of the home medication list used.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reconciliation completed within a defined timeframe of admission, not delayed to later in the stay?</w:t>
            </w:r>
          </w:p>
          <w:p>
            <w:pPr>
              <w:spacing w:after="36" w:before="0"/>
            </w:pPr>
            <w:r>
              <w:rPr>
                <w:rFonts w:ascii="Arial" w:cs="Arial" w:eastAsia="Arial" w:hAnsi="Arial"/>
                <w:b w:val="false"/>
                <w:bCs w:val="false"/>
                <w:i/>
                <w:iCs/>
                <w:caps w:val="false"/>
                <w:color w:val="4b5563"/>
                <w:sz w:val="15"/>
                <w:szCs w:val="15"/>
              </w:rPr>
              <w:t xml:space="preserve">Check timing against the policy standard for a sample of cases.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Admission reconciliation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 sample of admission records for structured, documented medication reconciliation.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Discharge reconciliation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 sample of discharge records for a distinct, structured reconciliation step.</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Discrepancy resolution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documented discrepancies and their resolution for a sample of cases.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Home medication source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how the actual home medication list is obtained and verified for a new admission.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mm8xrwtnwirk1l5ri0_31">
              <w:r>
                <w:rPr>
                  <w:rFonts w:ascii="Arial" w:cs="Arial" w:eastAsia="Arial" w:hAnsi="Arial"/>
                  <w:b/>
                  <w:bCs/>
                  <w:color w:val="c9a227"/>
                  <w:sz w:val="13"/>
                  <w:szCs w:val="13"/>
                  <w:u w:val="single"/>
                </w:rPr>
                <w:t xml:space="preserve">World Health Organization. Medication Without Harm: WHO Global Patient Safety Challenge (transitions of care provisions). Geneva: WHO; 2017.</w:t>
              </w:r>
            </w:hyperlink>
            <w:r>
              <w:rPr>
                <w:rFonts w:ascii="Arial" w:cs="Arial" w:eastAsia="Arial" w:hAnsi="Arial"/>
                <w:b/>
                <w:bCs/>
                <w:i w:val="false"/>
                <w:iCs w:val="false"/>
                <w:caps w:val="false"/>
                <w:color w:val="6b778c"/>
                <w:sz w:val="13"/>
                <w:szCs w:val="13"/>
              </w:rPr>
              <w:t xml:space="preserve">   2. </w:t>
            </w:r>
            <w:hyperlink w:history="1" r:id="rIduzip6-khifodewmgz02gp">
              <w:r>
                <w:rPr>
                  <w:rFonts w:ascii="Arial" w:cs="Arial" w:eastAsia="Arial" w:hAnsi="Arial"/>
                  <w:b/>
                  <w:bCs/>
                  <w:color w:val="c9a227"/>
                  <w:sz w:val="13"/>
                  <w:szCs w:val="13"/>
                  <w:u w:val="single"/>
                </w:rPr>
                <w:t xml:space="preserve">Institute for Healthcare Improvement. How-to guide: prevent adverse drug events by implementing medication reconciliation. Boston: IHI; 2011.</w:t>
              </w:r>
            </w:hyperlink>
            <w:r>
              <w:rPr>
                <w:rFonts w:ascii="Arial" w:cs="Arial" w:eastAsia="Arial" w:hAnsi="Arial"/>
                <w:b/>
                <w:bCs/>
                <w:i w:val="false"/>
                <w:iCs w:val="false"/>
                <w:caps w:val="false"/>
                <w:color w:val="6b778c"/>
                <w:sz w:val="13"/>
                <w:szCs w:val="13"/>
              </w:rPr>
              <w:t xml:space="preserve">   3. </w:t>
            </w:r>
            <w:hyperlink w:history="1" r:id="rId4i0sgji05hdse0z4nq6vu">
              <w:r>
                <w:rPr>
                  <w:rFonts w:ascii="Arial" w:cs="Arial" w:eastAsia="Arial" w:hAnsi="Arial"/>
                  <w:b/>
                  <w:bCs/>
                  <w:color w:val="c9a227"/>
                  <w:sz w:val="13"/>
                  <w:szCs w:val="13"/>
                  <w:u w:val="single"/>
                </w:rPr>
                <w:t xml:space="preserve">Mueller SK, Sponsler KC, Kripalani S, Schnipper JL. Hospital-based medication reconciliation practices: a systematic review. Arch Intern Med. 2012;172(14):1057-1069.</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9.3</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9.3</w:t>
            </w:r>
            <w:r>
              <w:rPr>
                <w:rFonts w:ascii="Arial" w:cs="Arial" w:eastAsia="Arial" w:hAnsi="Arial"/>
                <w:b w:val="false"/>
                <w:bCs w:val="false"/>
                <w:i/>
                <w:iCs/>
                <w:caps w:val="false"/>
                <w:color w:val="8fa8c8"/>
                <w:sz w:val="10"/>
                <w:szCs w:val="10"/>
              </w:rPr>
              <w:t xml:space="preserve">  ·  Level 1  ·  Chapter 9: Pharmacy &amp; Medicines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8</w:t>
            </w:r>
          </w:p>
          <w:p>
            <w:pPr>
              <w:spacing w:after="36" w:before="0"/>
            </w:pPr>
            <w:r>
              <w:rPr>
                <w:rFonts w:ascii="Arial" w:cs="Arial" w:eastAsia="Arial" w:hAnsi="Arial"/>
                <w:b w:val="false"/>
                <w:bCs w:val="false"/>
                <w:i/>
                <w:iCs/>
                <w:caps w:val="false"/>
                <w:color w:val="8fa8c8"/>
                <w:sz w:val="9"/>
                <w:szCs w:val="9"/>
              </w:rPr>
              <w:t xml:space="preserve">ASF-CH9-PMM-v2.0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The moments when a patient moves between care settings — into the hospital and back out again — are exactly when medication errors most often occur, because the list of medications a patient is actually taking at home rarely matches perfectly with what gets newly prescribed on admission, and discharge is an equally common point for a medication to be duplicated, omitted, or left at the wrong dose. Structured reconciliation at both transitions is what catches these discrepancies before they become an error the patient experiences.</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Mueller et al. 2012 — structured medication reconciliation interventions are associated with significant reductions in unintended medication discrepancies at hospital admission and discharge, the transitions where such errors are most common.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Structured medication reconciliation is performed and documented at every admission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distinct, equally structured reconciliation step occurs at discharge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Identified discrepancies are documented, resolved, and the resolution recorded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home medication list is obtained from a reliable source, not assumed from a prior record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Reconciliation is completed within a defined timeframe of admission, not delayed</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structured reconciliation process exists at admission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Discharge reconciliation is not performed as a distinct step</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Discrepancies, if identified, are not documented or resolved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 home medication list is assumed from an outdated prior record without verification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Reconciliation is inconsistently timed, sometimes completed well into the admission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Admission reconciliation is strong but discharge reconciliation is treated as an afterthought.</w:t>
            </w:r>
          </w:p>
          <w:p>
            <w:pPr>
              <w:spacing w:after="20" w:before="0"/>
            </w:pPr>
            <w:r>
              <w:rPr>
                <w:rFonts w:ascii="Arial" w:cs="Arial" w:eastAsia="Arial" w:hAnsi="Arial"/>
                <w:b w:val="false"/>
                <w:bCs w:val="false"/>
                <w:i/>
                <w:iCs/>
                <w:caps w:val="false"/>
                <w:color w:val="4b5563"/>
                <w:sz w:val="15"/>
                <w:szCs w:val="15"/>
              </w:rPr>
              <w:t xml:space="preserve">A thorough process captures and reconciles medications on arrival, but the equivalent check before the patient leaves is less consistently performed.</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Reconciliation happens but discrepancies are noted without a clear resolution recorded.</w:t>
            </w:r>
          </w:p>
          <w:p>
            <w:pPr>
              <w:spacing w:after="20" w:before="0"/>
            </w:pPr>
            <w:r>
              <w:rPr>
                <w:rFonts w:ascii="Arial" w:cs="Arial" w:eastAsia="Arial" w:hAnsi="Arial"/>
                <w:b w:val="false"/>
                <w:bCs w:val="false"/>
                <w:i/>
                <w:iCs/>
                <w:caps w:val="false"/>
                <w:color w:val="4b5563"/>
                <w:sz w:val="15"/>
                <w:szCs w:val="15"/>
              </w:rPr>
              <w:t xml:space="preserve">Staff identify differences between the home medication list and what is prescribed, but the record does not always show what was actually done to resolve each one.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The home medication list source varies in reliability.</w:t>
            </w:r>
          </w:p>
          <w:p>
            <w:pPr>
              <w:spacing w:after="36" w:before="0"/>
            </w:pPr>
            <w:r>
              <w:rPr>
                <w:rFonts w:ascii="Arial" w:cs="Arial" w:eastAsia="Arial" w:hAnsi="Arial"/>
                <w:b w:val="false"/>
                <w:bCs w:val="false"/>
                <w:i/>
                <w:iCs/>
                <w:caps w:val="false"/>
                <w:color w:val="4b5563"/>
                <w:sz w:val="15"/>
                <w:szCs w:val="15"/>
              </w:rPr>
              <w:t xml:space="preserve">Some patients provide a clear, verified list; for others, particularly those unable to communicate clearly, the list relies on a less reliable source without further verification.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the admission medication reconciliation process is structured and consistently applied.</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Establish or strengthen discharge reconciliation as a distinct, structured step.</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Audit a sample of records for documented discrepancy resolution.</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Strengthen the process for obtaining a reliable home medication list, including for patients who cannot communicate clearly.</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Audit reconciliation timing and completeness at both admission and discharge regularly.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Check discharge reconciliation specifically, not just admission.  </w:t>
            </w:r>
            <w:r>
              <w:rPr>
                <w:rFonts w:ascii="Arial" w:cs="Arial" w:eastAsia="Arial" w:hAnsi="Arial"/>
                <w:b w:val="false"/>
                <w:bCs w:val="false"/>
                <w:i w:val="false"/>
                <w:iCs w:val="false"/>
                <w:caps w:val="false"/>
                <w:color w:val="374151"/>
                <w:sz w:val="16"/>
                <w:szCs w:val="16"/>
              </w:rPr>
              <w:t xml:space="preserve">Discharge reconciliation is a common, easily overlooked gap even in hospitals with strong admission processes.</w:t>
            </w:r>
          </w:p>
          <w:p>
            <w:pPr>
              <w:spacing w:after="16" w:before="0"/>
            </w:pPr>
            <w:r>
              <w:rPr>
                <w:rFonts w:ascii="Arial" w:cs="Arial" w:eastAsia="Arial" w:hAnsi="Arial"/>
                <w:b/>
                <w:bCs/>
                <w:i w:val="false"/>
                <w:iCs w:val="false"/>
                <w:caps w:val="false"/>
                <w:color w:val="b91c1c"/>
                <w:sz w:val="15"/>
                <w:szCs w:val="15"/>
              </w:rPr>
              <w:t xml:space="preserve">Look for the documented resolution, not just the identified discrepancy.  </w:t>
            </w:r>
            <w:r>
              <w:rPr>
                <w:rFonts w:ascii="Arial" w:cs="Arial" w:eastAsia="Arial" w:hAnsi="Arial"/>
                <w:b w:val="false"/>
                <w:bCs w:val="false"/>
                <w:i w:val="false"/>
                <w:iCs w:val="false"/>
                <w:caps w:val="false"/>
                <w:color w:val="374151"/>
                <w:sz w:val="16"/>
                <w:szCs w:val="16"/>
              </w:rPr>
              <w:t xml:space="preserve">A noted discrepancy with no recorded resolution leaves it unclear whether the issue was actually addressed.</w:t>
            </w:r>
          </w:p>
          <w:p>
            <w:pPr>
              <w:spacing w:after="36" w:before="0"/>
            </w:pPr>
            <w:r>
              <w:rPr>
                <w:rFonts w:ascii="Arial" w:cs="Arial" w:eastAsia="Arial" w:hAnsi="Arial"/>
                <w:b/>
                <w:bCs/>
                <w:i w:val="false"/>
                <w:iCs w:val="false"/>
                <w:caps w:val="false"/>
                <w:color w:val="b91c1c"/>
                <w:sz w:val="15"/>
                <w:szCs w:val="15"/>
              </w:rPr>
              <w:t xml:space="preserve">Ask how a home medication list is verified for a patient who cannot communicate clearly.  </w:t>
            </w:r>
            <w:r>
              <w:rPr>
                <w:rFonts w:ascii="Arial" w:cs="Arial" w:eastAsia="Arial" w:hAnsi="Arial"/>
                <w:b w:val="false"/>
                <w:bCs w:val="false"/>
                <w:i w:val="false"/>
                <w:iCs w:val="false"/>
                <w:caps w:val="false"/>
                <w:color w:val="374151"/>
                <w:sz w:val="16"/>
                <w:szCs w:val="16"/>
              </w:rPr>
              <w:t xml:space="preserve">This is where the reliability of the reconciliation process is most tested.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ootiokkjmi6tnrt8bv7ke">
              <w:r>
                <w:rPr>
                  <w:rFonts w:ascii="Arial" w:cs="Arial" w:eastAsia="Arial" w:hAnsi="Arial"/>
                  <w:b/>
                  <w:bCs/>
                  <w:color w:val="c9a227"/>
                  <w:sz w:val="13"/>
                  <w:szCs w:val="13"/>
                  <w:u w:val="single"/>
                </w:rPr>
                <w:t xml:space="preserve">academy.gmj.ge/ch9-3-medication-reconciliation</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9.4</w:t>
            </w:r>
            <w:r>
              <w:rPr>
                <w:rFonts w:ascii="Arial" w:cs="Arial" w:eastAsia="Arial" w:hAnsi="Arial"/>
                <w:b w:val="false"/>
                <w:bCs w:val="false"/>
                <w:i/>
                <w:iCs/>
                <w:caps w:val="false"/>
                <w:color w:val="8fa8c8"/>
                <w:sz w:val="10"/>
                <w:szCs w:val="10"/>
              </w:rPr>
              <w:t xml:space="preserve">  ·  Level 1  ·  Chapter 9: Pharmacy &amp; Medicines Management</w:t>
            </w:r>
          </w:p>
          <w:p>
            <w:pPr>
              <w:spacing w:after="36" w:before="0"/>
            </w:pPr>
            <w:r>
              <w:rPr>
                <w:rFonts w:ascii="Arial" w:cs="Arial" w:eastAsia="Arial" w:hAnsi="Arial"/>
                <w:b/>
                <w:bCs/>
                <w:i w:val="false"/>
                <w:iCs w:val="false"/>
                <w:caps w:val="false"/>
                <w:color w:val="dce8f5"/>
                <w:sz w:val="12"/>
                <w:szCs w:val="12"/>
              </w:rPr>
              <w:t xml:space="preserve">Dispensing Accuracy and Verification</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9</w:t>
            </w:r>
          </w:p>
          <w:p>
            <w:pPr>
              <w:spacing w:after="36" w:before="0"/>
            </w:pPr>
            <w:r>
              <w:rPr>
                <w:rFonts w:ascii="Arial" w:cs="Arial" w:eastAsia="Arial" w:hAnsi="Arial"/>
                <w:b w:val="false"/>
                <w:bCs w:val="false"/>
                <w:i/>
                <w:iCs/>
                <w:caps w:val="false"/>
                <w:color w:val="8fa8c8"/>
                <w:sz w:val="9"/>
                <w:szCs w:val="9"/>
              </w:rPr>
              <w:t xml:space="preserve">ASF-CH9-PMM-v2.0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9.4</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Dispensing Accuracy and Verification</w:t>
            </w:r>
          </w:p>
          <w:p>
            <w:pPr>
              <w:spacing w:after="36" w:before="0"/>
            </w:pPr>
            <w:r>
              <w:rPr>
                <w:rFonts w:ascii="Arial" w:cs="Arial" w:eastAsia="Arial" w:hAnsi="Arial"/>
                <w:b w:val="false"/>
                <w:bCs w:val="false"/>
                <w:i w:val="false"/>
                <w:iCs w:val="false"/>
                <w:caps w:val="false"/>
                <w:color w:val="4b5563"/>
                <w:sz w:val="15"/>
                <w:szCs w:val="15"/>
              </w:rPr>
              <w:t xml:space="preserve">The pharmacy has a structured dispensing verification process, including an independent check before a medication leaves the pharmacy, with dispensing errors tracked and reviewed.</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dispensing verification process, including an independent check before release?</w:t>
            </w:r>
          </w:p>
          <w:p>
            <w:pPr>
              <w:spacing w:after="7" w:before="0"/>
            </w:pPr>
            <w:r>
              <w:rPr>
                <w:rFonts w:ascii="Arial" w:cs="Arial" w:eastAsia="Arial" w:hAnsi="Arial"/>
                <w:b w:val="false"/>
                <w:bCs w:val="false"/>
                <w:i/>
                <w:iCs/>
                <w:caps w:val="false"/>
                <w:color w:val="4b5563"/>
                <w:sz w:val="15"/>
                <w:szCs w:val="15"/>
              </w:rPr>
              <w:t xml:space="preserve">Check the check is performed by someone other than the person who prepared the medication.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Dispensing verification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dispensing errors and near-misses tracked?</w:t>
            </w:r>
          </w:p>
          <w:p>
            <w:pPr>
              <w:spacing w:after="7" w:before="0"/>
            </w:pPr>
            <w:r>
              <w:rPr>
                <w:rFonts w:ascii="Arial" w:cs="Arial" w:eastAsia="Arial" w:hAnsi="Arial"/>
                <w:b w:val="false"/>
                <w:bCs w:val="false"/>
                <w:i/>
                <w:iCs/>
                <w:caps w:val="false"/>
                <w:color w:val="4b5563"/>
                <w:sz w:val="15"/>
                <w:szCs w:val="15"/>
              </w:rPr>
              <w:t xml:space="preserve">Check for a dispensing-specific error log.</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Dispensing error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verification technology, such as barcode scanning, used where available?</w:t>
            </w:r>
          </w:p>
          <w:p>
            <w:pPr>
              <w:spacing w:after="36" w:before="0"/>
            </w:pPr>
            <w:r>
              <w:rPr>
                <w:rFonts w:ascii="Arial" w:cs="Arial" w:eastAsia="Arial" w:hAnsi="Arial"/>
                <w:b w:val="false"/>
                <w:bCs w:val="false"/>
                <w:i/>
                <w:iCs/>
                <w:caps w:val="false"/>
                <w:color w:val="4b5563"/>
                <w:sz w:val="15"/>
                <w:szCs w:val="15"/>
              </w:rPr>
              <w:t xml:space="preserve">Check what verification method is actually used, manual or automated.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dispensing accuracy periodically audited, such as through a tracer or sampling method?</w:t>
            </w:r>
          </w:p>
          <w:p>
            <w:pPr>
              <w:spacing w:after="7" w:before="0"/>
            </w:pPr>
            <w:r>
              <w:rPr>
                <w:rFonts w:ascii="Arial" w:cs="Arial" w:eastAsia="Arial" w:hAnsi="Arial"/>
                <w:b w:val="false"/>
                <w:bCs w:val="false"/>
                <w:i/>
                <w:iCs/>
                <w:caps w:val="false"/>
                <w:color w:val="4b5563"/>
                <w:sz w:val="15"/>
                <w:szCs w:val="15"/>
              </w:rPr>
              <w:t xml:space="preserve">Check for a specific accuracy audit process and its results.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Dispensing accuracy audit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dispensing errors reviewed for root cause and used to improve the process?</w:t>
            </w:r>
          </w:p>
          <w:p>
            <w:pPr>
              <w:spacing w:after="36" w:before="0"/>
            </w:pPr>
            <w:r>
              <w:rPr>
                <w:rFonts w:ascii="Arial" w:cs="Arial" w:eastAsia="Arial" w:hAnsi="Arial"/>
                <w:b w:val="false"/>
                <w:bCs w:val="false"/>
                <w:i/>
                <w:iCs/>
                <w:caps w:val="false"/>
                <w:color w:val="4b5563"/>
                <w:sz w:val="15"/>
                <w:szCs w:val="15"/>
              </w:rPr>
              <w:t xml:space="preserve">Ask for a specific example of a process change resulting from a dispensing error review.</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Verification process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dispensing verification policy for a genuine independent check before release.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Dispensing error log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log for dispensing errors and near-misses and evidence of review.</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Verification method observation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Observes or reviews the actual verification method used, such as barcode scanning or manual double-check.</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Accuracy audit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dispensing accuracy audit data and evidence of resulting process improvement.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6yhfgsgnbnlix9djx2nhl">
              <w:r>
                <w:rPr>
                  <w:rFonts w:ascii="Arial" w:cs="Arial" w:eastAsia="Arial" w:hAnsi="Arial"/>
                  <w:b/>
                  <w:bCs/>
                  <w:color w:val="c9a227"/>
                  <w:sz w:val="13"/>
                  <w:szCs w:val="13"/>
                  <w:u w:val="single"/>
                </w:rPr>
                <w:t xml:space="preserve">World Health Organization. Medication Without Harm: WHO Global Patient Safety Challenge. Geneva: WHO; 2017.</w:t>
              </w:r>
            </w:hyperlink>
            <w:r>
              <w:rPr>
                <w:rFonts w:ascii="Arial" w:cs="Arial" w:eastAsia="Arial" w:hAnsi="Arial"/>
                <w:b/>
                <w:bCs/>
                <w:i w:val="false"/>
                <w:iCs w:val="false"/>
                <w:caps w:val="false"/>
                <w:color w:val="6b778c"/>
                <w:sz w:val="13"/>
                <w:szCs w:val="13"/>
              </w:rPr>
              <w:t xml:space="preserve">   2. </w:t>
            </w:r>
            <w:hyperlink w:history="1" r:id="rId_69yyofyujqvp7eozbvpl">
              <w:r>
                <w:rPr>
                  <w:rFonts w:ascii="Arial" w:cs="Arial" w:eastAsia="Arial" w:hAnsi="Arial"/>
                  <w:b/>
                  <w:bCs/>
                  <w:color w:val="c9a227"/>
                  <w:sz w:val="13"/>
                  <w:szCs w:val="13"/>
                  <w:u w:val="single"/>
                </w:rPr>
                <w:t xml:space="preserve">American Society of Health-System Pharmacists. ASHP Guidelines on Preventing Medication Errors in Pharmacies. Bethesda: ASHP; 2018.</w:t>
              </w:r>
            </w:hyperlink>
            <w:r>
              <w:rPr>
                <w:rFonts w:ascii="Arial" w:cs="Arial" w:eastAsia="Arial" w:hAnsi="Arial"/>
                <w:b/>
                <w:bCs/>
                <w:i w:val="false"/>
                <w:iCs w:val="false"/>
                <w:caps w:val="false"/>
                <w:color w:val="6b778c"/>
                <w:sz w:val="13"/>
                <w:szCs w:val="13"/>
              </w:rPr>
              <w:t xml:space="preserve">   3. </w:t>
            </w:r>
            <w:hyperlink w:history="1" r:id="rId3tfwc5hazrudqyoavsm2l">
              <w:r>
                <w:rPr>
                  <w:rFonts w:ascii="Arial" w:cs="Arial" w:eastAsia="Arial" w:hAnsi="Arial"/>
                  <w:b/>
                  <w:bCs/>
                  <w:color w:val="c9a227"/>
                  <w:sz w:val="13"/>
                  <w:szCs w:val="13"/>
                  <w:u w:val="single"/>
                </w:rPr>
                <w:t xml:space="preserve">Institute for Safe Medication Practices. Guidelines for the safe use of automated dispensing cabinets. Horsham: ISMP; 2019.</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9.4</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9.4</w:t>
            </w:r>
            <w:r>
              <w:rPr>
                <w:rFonts w:ascii="Arial" w:cs="Arial" w:eastAsia="Arial" w:hAnsi="Arial"/>
                <w:b w:val="false"/>
                <w:bCs w:val="false"/>
                <w:i/>
                <w:iCs/>
                <w:caps w:val="false"/>
                <w:color w:val="8fa8c8"/>
                <w:sz w:val="10"/>
                <w:szCs w:val="10"/>
              </w:rPr>
              <w:t xml:space="preserve">  ·  Level 1  ·  Chapter 9: Pharmacy &amp; Medicines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10</w:t>
            </w:r>
          </w:p>
          <w:p>
            <w:pPr>
              <w:spacing w:after="36" w:before="0"/>
            </w:pPr>
            <w:r>
              <w:rPr>
                <w:rFonts w:ascii="Arial" w:cs="Arial" w:eastAsia="Arial" w:hAnsi="Arial"/>
                <w:b w:val="false"/>
                <w:bCs w:val="false"/>
                <w:i/>
                <w:iCs/>
                <w:caps w:val="false"/>
                <w:color w:val="8fa8c8"/>
                <w:sz w:val="9"/>
                <w:szCs w:val="9"/>
              </w:rPr>
              <w:t xml:space="preserve">ASF-CH9-PMM-v2.0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Dispensing is the last opportunity to catch an error before a medication physically reaches a patient, which makes an independent, genuine verification step at this stage one of the highest-value safeguards in the entire medication pathway. A pharmacy that dispenses based on a single person’s work with no independent check is relying entirely on that one person never making a mistake, in a high-volume, repetitive task where mistakes are a well-documented human reality.</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ASHP Guidelines on Preventing Medication Errors — independent double-checking and technology-assisted verification, such as barcode scanning, are both associated with measurable reductions in dispensing error rates compared with unverified single-person dispensing.</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genuine independent check verifies every dispensed medication before release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Dispensing errors and near-misses are tracked as a distinct category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Verification technology, such as barcode scanning, is used where available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Dispensing accuracy is periodically audited with a specific method and reviewed results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Dispensing errors are reviewed for root cause, with evidence of resulting process improvement</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Dispensing relies on a single person with no independent verification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Dispensing errors are not tracked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verification technology is used even where available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Dispensing accuracy is never specifically audited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Dispensing errors, if identified, are not reviewed for root cause or improvement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A double-check exists but has become routine and less attentive over time.</w:t>
            </w:r>
          </w:p>
          <w:p>
            <w:pPr>
              <w:spacing w:after="20" w:before="0"/>
            </w:pPr>
            <w:r>
              <w:rPr>
                <w:rFonts w:ascii="Arial" w:cs="Arial" w:eastAsia="Arial" w:hAnsi="Arial"/>
                <w:b w:val="false"/>
                <w:bCs w:val="false"/>
                <w:i/>
                <w:iCs/>
                <w:caps w:val="false"/>
                <w:color w:val="4b5563"/>
                <w:sz w:val="15"/>
                <w:szCs w:val="15"/>
              </w:rPr>
              <w:t xml:space="preserve">The verification step is performed for every dispensed medication, but under sustained high volume, staff describe it becoming a quicker, less rigorous check than originally intended.</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Verification technology exists but isn’t consistently used.</w:t>
            </w:r>
          </w:p>
          <w:p>
            <w:pPr>
              <w:spacing w:after="20" w:before="0"/>
            </w:pPr>
            <w:r>
              <w:rPr>
                <w:rFonts w:ascii="Arial" w:cs="Arial" w:eastAsia="Arial" w:hAnsi="Arial"/>
                <w:b w:val="false"/>
                <w:bCs w:val="false"/>
                <w:i/>
                <w:iCs/>
                <w:caps w:val="false"/>
                <w:color w:val="4b5563"/>
                <w:sz w:val="15"/>
                <w:szCs w:val="15"/>
              </w:rPr>
              <w:t xml:space="preserve">Barcode scanning capability is available, but staff sometimes bypass it during busy periods, relying on manual verification instead.</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Errors are tracked but root cause review is inconsistent.</w:t>
            </w:r>
          </w:p>
          <w:p>
            <w:pPr>
              <w:spacing w:after="36" w:before="0"/>
            </w:pPr>
            <w:r>
              <w:rPr>
                <w:rFonts w:ascii="Arial" w:cs="Arial" w:eastAsia="Arial" w:hAnsi="Arial"/>
                <w:b w:val="false"/>
                <w:bCs w:val="false"/>
                <w:i/>
                <w:iCs/>
                <w:caps w:val="false"/>
                <w:color w:val="4b5563"/>
                <w:sz w:val="15"/>
                <w:szCs w:val="15"/>
              </w:rPr>
              <w:t xml:space="preserve">A dispensing error log is maintained, but not every entry receives the same depth of review to understand why the error occurred.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the dispensing verification process includes a genuine independent check.</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Establish or strengthen tracking of dispensing errors and near-misses.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consistent use of available verification technology, such as barcode scanning.</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or strengthen a periodic dispensing accuracy audit.</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Review dispensing errors for root cause; track resulting process improvements.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Observe the verification step directly, if possible.  </w:t>
            </w:r>
            <w:r>
              <w:rPr>
                <w:rFonts w:ascii="Arial" w:cs="Arial" w:eastAsia="Arial" w:hAnsi="Arial"/>
                <w:b w:val="false"/>
                <w:bCs w:val="false"/>
                <w:i w:val="false"/>
                <w:iCs w:val="false"/>
                <w:caps w:val="false"/>
                <w:color w:val="374151"/>
                <w:sz w:val="16"/>
                <w:szCs w:val="16"/>
              </w:rPr>
              <w:t xml:space="preserve">Watching whether the independent check is genuinely attentive, rather than a rapid formality, is more reliable than reviewing the policy alone.</w:t>
            </w:r>
          </w:p>
          <w:p>
            <w:pPr>
              <w:spacing w:after="16" w:before="0"/>
            </w:pPr>
            <w:r>
              <w:rPr>
                <w:rFonts w:ascii="Arial" w:cs="Arial" w:eastAsia="Arial" w:hAnsi="Arial"/>
                <w:b/>
                <w:bCs/>
                <w:i w:val="false"/>
                <w:iCs w:val="false"/>
                <w:caps w:val="false"/>
                <w:color w:val="b91c1c"/>
                <w:sz w:val="15"/>
                <w:szCs w:val="15"/>
              </w:rPr>
              <w:t xml:space="preserve">Ask how often verification technology is actually used versus bypassed.  </w:t>
            </w:r>
            <w:r>
              <w:rPr>
                <w:rFonts w:ascii="Arial" w:cs="Arial" w:eastAsia="Arial" w:hAnsi="Arial"/>
                <w:b w:val="false"/>
                <w:bCs w:val="false"/>
                <w:i w:val="false"/>
                <w:iCs w:val="false"/>
                <w:caps w:val="false"/>
                <w:color w:val="374151"/>
                <w:sz w:val="16"/>
                <w:szCs w:val="16"/>
              </w:rPr>
              <w:t xml:space="preserve">Available technology that is frequently bypassed under time pressure provides less protection than its presence would suggest.</w:t>
            </w:r>
          </w:p>
          <w:p>
            <w:pPr>
              <w:spacing w:after="36" w:before="0"/>
            </w:pPr>
            <w:r>
              <w:rPr>
                <w:rFonts w:ascii="Arial" w:cs="Arial" w:eastAsia="Arial" w:hAnsi="Arial"/>
                <w:b/>
                <w:bCs/>
                <w:i w:val="false"/>
                <w:iCs w:val="false"/>
                <w:caps w:val="false"/>
                <w:color w:val="b91c1c"/>
                <w:sz w:val="15"/>
                <w:szCs w:val="15"/>
              </w:rPr>
              <w:t xml:space="preserve">Ask for a specific example of a process change from a dispensing error review.  </w:t>
            </w:r>
            <w:r>
              <w:rPr>
                <w:rFonts w:ascii="Arial" w:cs="Arial" w:eastAsia="Arial" w:hAnsi="Arial"/>
                <w:b w:val="false"/>
                <w:bCs w:val="false"/>
                <w:i w:val="false"/>
                <w:iCs w:val="false"/>
                <w:caps w:val="false"/>
                <w:color w:val="374151"/>
                <w:sz w:val="16"/>
                <w:szCs w:val="16"/>
              </w:rPr>
              <w:t xml:space="preserve">This distinguishes an error log that drives improvement from one that only records incidents.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efx1g6alyyauyfbyujpff">
              <w:r>
                <w:rPr>
                  <w:rFonts w:ascii="Arial" w:cs="Arial" w:eastAsia="Arial" w:hAnsi="Arial"/>
                  <w:b/>
                  <w:bCs/>
                  <w:color w:val="c9a227"/>
                  <w:sz w:val="13"/>
                  <w:szCs w:val="13"/>
                  <w:u w:val="single"/>
                </w:rPr>
                <w:t xml:space="preserve">academy.gmj.ge/ch9-4-dispensing-accuracy-verification</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9.5</w:t>
            </w:r>
            <w:r>
              <w:rPr>
                <w:rFonts w:ascii="Arial" w:cs="Arial" w:eastAsia="Arial" w:hAnsi="Arial"/>
                <w:b w:val="false"/>
                <w:bCs w:val="false"/>
                <w:i/>
                <w:iCs/>
                <w:caps w:val="false"/>
                <w:color w:val="8fa8c8"/>
                <w:sz w:val="10"/>
                <w:szCs w:val="10"/>
              </w:rPr>
              <w:t xml:space="preserve">  ·  Level 1  ·  Chapter 9: Pharmacy &amp; Medicines Management</w:t>
            </w:r>
          </w:p>
          <w:p>
            <w:pPr>
              <w:spacing w:after="36" w:before="0"/>
            </w:pPr>
            <w:r>
              <w:rPr>
                <w:rFonts w:ascii="Arial" w:cs="Arial" w:eastAsia="Arial" w:hAnsi="Arial"/>
                <w:b/>
                <w:bCs/>
                <w:i w:val="false"/>
                <w:iCs w:val="false"/>
                <w:caps w:val="false"/>
                <w:color w:val="dce8f5"/>
                <w:sz w:val="12"/>
                <w:szCs w:val="12"/>
              </w:rPr>
              <w:t xml:space="preserve">Controlled Drugs Management</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11</w:t>
            </w:r>
          </w:p>
          <w:p>
            <w:pPr>
              <w:spacing w:after="36" w:before="0"/>
            </w:pPr>
            <w:r>
              <w:rPr>
                <w:rFonts w:ascii="Arial" w:cs="Arial" w:eastAsia="Arial" w:hAnsi="Arial"/>
                <w:b w:val="false"/>
                <w:bCs w:val="false"/>
                <w:i/>
                <w:iCs/>
                <w:caps w:val="false"/>
                <w:color w:val="8fa8c8"/>
                <w:sz w:val="9"/>
                <w:szCs w:val="9"/>
              </w:rPr>
              <w:t xml:space="preserve">ASF-CH9-PMM-v2.0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9.5</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Controlled Drugs Management</w:t>
            </w:r>
          </w:p>
          <w:p>
            <w:pPr>
              <w:spacing w:after="36" w:before="0"/>
            </w:pPr>
            <w:r>
              <w:rPr>
                <w:rFonts w:ascii="Arial" w:cs="Arial" w:eastAsia="Arial" w:hAnsi="Arial"/>
                <w:b w:val="false"/>
                <w:bCs w:val="false"/>
                <w:i w:val="false"/>
                <w:iCs w:val="false"/>
                <w:caps w:val="false"/>
                <w:color w:val="4b5563"/>
                <w:sz w:val="15"/>
                <w:szCs w:val="15"/>
              </w:rPr>
              <w:t xml:space="preserve">Controlled drugs are stored in a locked, dedicated location with restricted access, and every transaction is logged and reconciled against physical stock on a defined schedule.</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controlled drugs stored in a locked, dedicated location separate from general medication stock?</w:t>
            </w:r>
          </w:p>
          <w:p>
            <w:pPr>
              <w:spacing w:after="7" w:before="0"/>
            </w:pPr>
            <w:r>
              <w:rPr>
                <w:rFonts w:ascii="Arial" w:cs="Arial" w:eastAsia="Arial" w:hAnsi="Arial"/>
                <w:b w:val="false"/>
                <w:bCs w:val="false"/>
                <w:i/>
                <w:iCs/>
                <w:caps w:val="false"/>
                <w:color w:val="4b5563"/>
                <w:sz w:val="15"/>
                <w:szCs w:val="15"/>
              </w:rPr>
              <w:t xml:space="preserve">Check for a distinct, secured storage location.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Controlled drugs storage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access to controlled drug storage restricted to specifically authorised staff?</w:t>
            </w:r>
          </w:p>
          <w:p>
            <w:pPr>
              <w:spacing w:after="36" w:before="0"/>
            </w:pPr>
            <w:r>
              <w:rPr>
                <w:rFonts w:ascii="Arial" w:cs="Arial" w:eastAsia="Arial" w:hAnsi="Arial"/>
                <w:b w:val="false"/>
                <w:bCs w:val="false"/>
                <w:i/>
                <w:iCs/>
                <w:caps w:val="false"/>
                <w:color w:val="4b5563"/>
                <w:sz w:val="15"/>
                <w:szCs w:val="15"/>
              </w:rPr>
              <w:t xml:space="preserve">Check the access list and control mechanism.</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every controlled drug transaction logged, including administration, waste, and return?</w:t>
            </w:r>
          </w:p>
          <w:p>
            <w:pPr>
              <w:spacing w:after="7" w:before="0"/>
            </w:pPr>
            <w:r>
              <w:rPr>
                <w:rFonts w:ascii="Arial" w:cs="Arial" w:eastAsia="Arial" w:hAnsi="Arial"/>
                <w:b w:val="false"/>
                <w:bCs w:val="false"/>
                <w:i/>
                <w:iCs/>
                <w:caps w:val="false"/>
                <w:color w:val="4b5563"/>
                <w:sz w:val="15"/>
                <w:szCs w:val="15"/>
              </w:rPr>
              <w:t xml:space="preserve">Spot-check the log for completeness against actual stock movement.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Controlled drugs register</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physical stock reconciled against the log on a defined schedule?</w:t>
            </w:r>
          </w:p>
          <w:p>
            <w:pPr>
              <w:spacing w:after="7" w:before="0"/>
            </w:pPr>
            <w:r>
              <w:rPr>
                <w:rFonts w:ascii="Arial" w:cs="Arial" w:eastAsia="Arial" w:hAnsi="Arial"/>
                <w:b w:val="false"/>
                <w:bCs w:val="false"/>
                <w:i/>
                <w:iCs/>
                <w:caps w:val="false"/>
                <w:color w:val="4b5563"/>
                <w:sz w:val="15"/>
                <w:szCs w:val="15"/>
              </w:rPr>
              <w:t xml:space="preserve">Check reconciliation frequency and evidence it is performed.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Reconciliation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process for investigating a discrepancy between logged and physical stock?</w:t>
            </w:r>
          </w:p>
          <w:p>
            <w:pPr>
              <w:spacing w:after="7" w:before="0"/>
            </w:pPr>
            <w:r>
              <w:rPr>
                <w:rFonts w:ascii="Arial" w:cs="Arial" w:eastAsia="Arial" w:hAnsi="Arial"/>
                <w:b w:val="false"/>
                <w:bCs w:val="false"/>
                <w:i/>
                <w:iCs/>
                <w:caps w:val="false"/>
                <w:color w:val="4b5563"/>
                <w:sz w:val="15"/>
                <w:szCs w:val="15"/>
              </w:rPr>
              <w:t xml:space="preserve">Ask what happens when a reconciliation finds a discrepancy.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Discrepancy investigation procedure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Storage security observation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the physical storage location for controlled drugs for locked, dedicated, access-restricted conditions.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Transaction log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controlled drugs register for completeness against a sample of actual stock movements.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Reconciliation record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reconciliation records for the defined schedule and evidence it is performed.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Discrepancy investigation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what happens when a controlled drugs reconciliation identifies a discrepancy.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yep-wbxf-g8ethgqn96ds">
              <w:r>
                <w:rPr>
                  <w:rFonts w:ascii="Arial" w:cs="Arial" w:eastAsia="Arial" w:hAnsi="Arial"/>
                  <w:b/>
                  <w:bCs/>
                  <w:color w:val="c9a227"/>
                  <w:sz w:val="13"/>
                  <w:szCs w:val="13"/>
                  <w:u w:val="single"/>
                </w:rPr>
                <w:t xml:space="preserve">World Health Organization. Guidelines for the psychosocially assisted pharmacological treatment of opioid dependence (controlled substance management provisions). Geneva: WHO; 2009.</w:t>
              </w:r>
            </w:hyperlink>
            <w:r>
              <w:rPr>
                <w:rFonts w:ascii="Arial" w:cs="Arial" w:eastAsia="Arial" w:hAnsi="Arial"/>
                <w:b/>
                <w:bCs/>
                <w:i w:val="false"/>
                <w:iCs w:val="false"/>
                <w:caps w:val="false"/>
                <w:color w:val="6b778c"/>
                <w:sz w:val="13"/>
                <w:szCs w:val="13"/>
              </w:rPr>
              <w:t xml:space="preserve">   2. </w:t>
            </w:r>
            <w:hyperlink w:history="1" r:id="rIdvjqrvbvw7nozhdgn9mj87">
              <w:r>
                <w:rPr>
                  <w:rFonts w:ascii="Arial" w:cs="Arial" w:eastAsia="Arial" w:hAnsi="Arial"/>
                  <w:b/>
                  <w:bCs/>
                  <w:color w:val="c9a227"/>
                  <w:sz w:val="13"/>
                  <w:szCs w:val="13"/>
                  <w:u w:val="single"/>
                </w:rPr>
                <w:t xml:space="preserve">International Narcotics Control Board. Guidelines for national controlled substances legislation and administration. Vienna: INCB; 2019.</w:t>
              </w:r>
            </w:hyperlink>
            <w:r>
              <w:rPr>
                <w:rFonts w:ascii="Arial" w:cs="Arial" w:eastAsia="Arial" w:hAnsi="Arial"/>
                <w:b/>
                <w:bCs/>
                <w:i w:val="false"/>
                <w:iCs w:val="false"/>
                <w:caps w:val="false"/>
                <w:color w:val="6b778c"/>
                <w:sz w:val="13"/>
                <w:szCs w:val="13"/>
              </w:rPr>
              <w:t xml:space="preserve">   3. </w:t>
            </w:r>
            <w:hyperlink w:history="1" r:id="rId3yqvh0r7gyhtsv6ho38xz">
              <w:r>
                <w:rPr>
                  <w:rFonts w:ascii="Arial" w:cs="Arial" w:eastAsia="Arial" w:hAnsi="Arial"/>
                  <w:b/>
                  <w:bCs/>
                  <w:color w:val="c9a227"/>
                  <w:sz w:val="13"/>
                  <w:szCs w:val="13"/>
                  <w:u w:val="single"/>
                </w:rPr>
                <w:t xml:space="preserve">World Health Organization. Access to controlled medications programme. Geneva: WHO; 2011.</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9.5</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9.5</w:t>
            </w:r>
            <w:r>
              <w:rPr>
                <w:rFonts w:ascii="Arial" w:cs="Arial" w:eastAsia="Arial" w:hAnsi="Arial"/>
                <w:b w:val="false"/>
                <w:bCs w:val="false"/>
                <w:i/>
                <w:iCs/>
                <w:caps w:val="false"/>
                <w:color w:val="8fa8c8"/>
                <w:sz w:val="10"/>
                <w:szCs w:val="10"/>
              </w:rPr>
              <w:t xml:space="preserve">  ·  Level 1  ·  Chapter 9: Pharmacy &amp; Medicines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12</w:t>
            </w:r>
          </w:p>
          <w:p>
            <w:pPr>
              <w:spacing w:after="36" w:before="0"/>
            </w:pPr>
            <w:r>
              <w:rPr>
                <w:rFonts w:ascii="Arial" w:cs="Arial" w:eastAsia="Arial" w:hAnsi="Arial"/>
                <w:b w:val="false"/>
                <w:bCs w:val="false"/>
                <w:i/>
                <w:iCs/>
                <w:caps w:val="false"/>
                <w:color w:val="8fa8c8"/>
                <w:sz w:val="9"/>
                <w:szCs w:val="9"/>
              </w:rPr>
              <w:t xml:space="preserve">ASF-CH9-PMM-v2.0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Controlled drugs carry both a clinical safety risk if mismanaged and a distinct diversion risk — the possibility that stock is removed for reasons other than legitimate patient care — which means their management requires a level of tracking and reconciliation beyond what applies to general medication stock. A complete transaction log reconciled regularly against physical stock is what makes any discrepancy visible quickly, rather than allowing a pattern of loss to continue undetected.</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INCB guidelines on controlled substances — structured, regularly reconciled record-keeping for controlled substances is a foundational international requirement precisely because it is the primary mechanism for detecting diversion before it becomes a significant pattern.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Controlled drugs are stored in a locked, dedicated location with restricted access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Access is limited to specifically authorised staff</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Every transaction, including administration, waste, and return, is logged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Physical stock is reconciled against the log on a defined, followed schedule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defined process investigates any discrepancy identified during reconciliation</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Controlled drugs are stored with general medication stock, without dedicated security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Access is not specifically restricted to authorised staff</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Transactions are inconsistently logged, with gaps in the record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Reconciliation against physical stock is infrequent or undocumented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process exists for investigating a discrepancy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Storage is secure but the log has occasional gaps.</w:t>
            </w:r>
          </w:p>
          <w:p>
            <w:pPr>
              <w:spacing w:after="20" w:before="0"/>
            </w:pPr>
            <w:r>
              <w:rPr>
                <w:rFonts w:ascii="Arial" w:cs="Arial" w:eastAsia="Arial" w:hAnsi="Arial"/>
                <w:b w:val="false"/>
                <w:bCs w:val="false"/>
                <w:i/>
                <w:iCs/>
                <w:caps w:val="false"/>
                <w:color w:val="4b5563"/>
                <w:sz w:val="15"/>
                <w:szCs w:val="15"/>
              </w:rPr>
              <w:t xml:space="preserve">The physical security of controlled drugs is strong, but spot-checking the register against actual administration reveals occasional missing entries.</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Reconciliation happens but not always on the stated schedule.</w:t>
            </w:r>
          </w:p>
          <w:p>
            <w:pPr>
              <w:spacing w:after="20" w:before="0"/>
            </w:pPr>
            <w:r>
              <w:rPr>
                <w:rFonts w:ascii="Arial" w:cs="Arial" w:eastAsia="Arial" w:hAnsi="Arial"/>
                <w:b w:val="false"/>
                <w:bCs w:val="false"/>
                <w:i/>
                <w:iCs/>
                <w:caps w:val="false"/>
                <w:color w:val="4b5563"/>
                <w:sz w:val="15"/>
                <w:szCs w:val="15"/>
              </w:rPr>
              <w:t xml:space="preserve">A reconciliation process exists and is generally followed, but under staffing pressure it sometimes occurs later than the defined schedule requires.</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Discrepancies are noticed but investigation depth varies.</w:t>
            </w:r>
          </w:p>
          <w:p>
            <w:pPr>
              <w:spacing w:after="36" w:before="0"/>
            </w:pPr>
            <w:r>
              <w:rPr>
                <w:rFonts w:ascii="Arial" w:cs="Arial" w:eastAsia="Arial" w:hAnsi="Arial"/>
                <w:b w:val="false"/>
                <w:bCs w:val="false"/>
                <w:i/>
                <w:iCs/>
                <w:caps w:val="false"/>
                <w:color w:val="4b5563"/>
                <w:sz w:val="15"/>
                <w:szCs w:val="15"/>
              </w:rPr>
              <w:t xml:space="preserve">Staff generally identify when a reconciliation doesn’t balance, but the thoroughness of the follow-up investigation is inconsistent.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controlled drugs are stored in a locked, dedicated, access-restricted location.</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Audit the transaction log for completeness against a sample of actual stock movements.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reconciliation is performed on the defined schedule, with documentation.</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or strengthen the discrepancy investigation procedure.</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Maintain reconciliation on schedule; investigate and document every discrepancy identified.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Spot-check the register against a specific recent administration.  </w:t>
            </w:r>
            <w:r>
              <w:rPr>
                <w:rFonts w:ascii="Arial" w:cs="Arial" w:eastAsia="Arial" w:hAnsi="Arial"/>
                <w:b w:val="false"/>
                <w:bCs w:val="false"/>
                <w:i w:val="false"/>
                <w:iCs w:val="false"/>
                <w:caps w:val="false"/>
                <w:color w:val="374151"/>
                <w:sz w:val="16"/>
                <w:szCs w:val="16"/>
              </w:rPr>
              <w:t xml:space="preserve">Tracing one real transaction through the log is a more reliable check than reviewing the process description alone.</w:t>
            </w:r>
          </w:p>
          <w:p>
            <w:pPr>
              <w:spacing w:after="16" w:before="0"/>
            </w:pPr>
            <w:r>
              <w:rPr>
                <w:rFonts w:ascii="Arial" w:cs="Arial" w:eastAsia="Arial" w:hAnsi="Arial"/>
                <w:b/>
                <w:bCs/>
                <w:i w:val="false"/>
                <w:iCs w:val="false"/>
                <w:caps w:val="false"/>
                <w:color w:val="b91c1c"/>
                <w:sz w:val="15"/>
                <w:szCs w:val="15"/>
              </w:rPr>
              <w:t xml:space="preserve">Ask for the date of the last reconciliation, not just the stated schedule.  </w:t>
            </w:r>
            <w:r>
              <w:rPr>
                <w:rFonts w:ascii="Arial" w:cs="Arial" w:eastAsia="Arial" w:hAnsi="Arial"/>
                <w:b w:val="false"/>
                <w:bCs w:val="false"/>
                <w:i w:val="false"/>
                <w:iCs w:val="false"/>
                <w:caps w:val="false"/>
                <w:color w:val="374151"/>
                <w:sz w:val="16"/>
                <w:szCs w:val="16"/>
              </w:rPr>
              <w:t xml:space="preserve">A schedule that exists on paper but has drifted in practice is a meaningful gap.</w:t>
            </w:r>
          </w:p>
          <w:p>
            <w:pPr>
              <w:spacing w:after="36" w:before="0"/>
            </w:pPr>
            <w:r>
              <w:rPr>
                <w:rFonts w:ascii="Arial" w:cs="Arial" w:eastAsia="Arial" w:hAnsi="Arial"/>
                <w:b/>
                <w:bCs/>
                <w:i w:val="false"/>
                <w:iCs w:val="false"/>
                <w:caps w:val="false"/>
                <w:color w:val="b91c1c"/>
                <w:sz w:val="15"/>
                <w:szCs w:val="15"/>
              </w:rPr>
              <w:t xml:space="preserve">Ask about a real or hypothetical discrepancy and what happens next.  </w:t>
            </w:r>
            <w:r>
              <w:rPr>
                <w:rFonts w:ascii="Arial" w:cs="Arial" w:eastAsia="Arial" w:hAnsi="Arial"/>
                <w:b w:val="false"/>
                <w:bCs w:val="false"/>
                <w:i w:val="false"/>
                <w:iCs w:val="false"/>
                <w:caps w:val="false"/>
                <w:color w:val="374151"/>
                <w:sz w:val="16"/>
                <w:szCs w:val="16"/>
              </w:rPr>
              <w:t xml:space="preserve">A specific, credible investigation process indicates genuine oversight, rather than an assumption that discrepancies would somehow be noticed.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uoo2bfux6uof7qpdoy9fo">
              <w:r>
                <w:rPr>
                  <w:rFonts w:ascii="Arial" w:cs="Arial" w:eastAsia="Arial" w:hAnsi="Arial"/>
                  <w:b/>
                  <w:bCs/>
                  <w:color w:val="c9a227"/>
                  <w:sz w:val="13"/>
                  <w:szCs w:val="13"/>
                  <w:u w:val="single"/>
                </w:rPr>
                <w:t xml:space="preserve">academy.gmj.ge/ch9-5-controlled-drugs-management</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9.6</w:t>
            </w:r>
            <w:r>
              <w:rPr>
                <w:rFonts w:ascii="Arial" w:cs="Arial" w:eastAsia="Arial" w:hAnsi="Arial"/>
                <w:b w:val="false"/>
                <w:bCs w:val="false"/>
                <w:i/>
                <w:iCs/>
                <w:caps w:val="false"/>
                <w:color w:val="8fa8c8"/>
                <w:sz w:val="10"/>
                <w:szCs w:val="10"/>
              </w:rPr>
              <w:t xml:space="preserve">  ·  Level 2  ·  Chapter 9: Pharmacy &amp; Medicines Management</w:t>
            </w:r>
          </w:p>
          <w:p>
            <w:pPr>
              <w:spacing w:after="36" w:before="0"/>
            </w:pPr>
            <w:r>
              <w:rPr>
                <w:rFonts w:ascii="Arial" w:cs="Arial" w:eastAsia="Arial" w:hAnsi="Arial"/>
                <w:b/>
                <w:bCs/>
                <w:i w:val="false"/>
                <w:iCs w:val="false"/>
                <w:caps w:val="false"/>
                <w:color w:val="dce8f5"/>
                <w:sz w:val="12"/>
                <w:szCs w:val="12"/>
              </w:rPr>
              <w:t xml:space="preserve">Adverse Drug Event Reporting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13</w:t>
            </w:r>
          </w:p>
          <w:p>
            <w:pPr>
              <w:spacing w:after="36" w:before="0"/>
            </w:pPr>
            <w:r>
              <w:rPr>
                <w:rFonts w:ascii="Arial" w:cs="Arial" w:eastAsia="Arial" w:hAnsi="Arial"/>
                <w:b w:val="false"/>
                <w:bCs w:val="false"/>
                <w:i/>
                <w:iCs/>
                <w:caps w:val="false"/>
                <w:color w:val="8fa8c8"/>
                <w:sz w:val="9"/>
                <w:szCs w:val="9"/>
              </w:rPr>
              <w:t xml:space="preserve">ASF-CH9-PMM-v2.0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9.6</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Adverse Drug Event Reporting</w:t>
            </w:r>
          </w:p>
          <w:p>
            <w:pPr>
              <w:spacing w:after="36" w:before="0"/>
            </w:pPr>
            <w:r>
              <w:rPr>
                <w:rFonts w:ascii="Arial" w:cs="Arial" w:eastAsia="Arial" w:hAnsi="Arial"/>
                <w:b w:val="false"/>
                <w:bCs w:val="false"/>
                <w:i w:val="false"/>
                <w:iCs w:val="false"/>
                <w:caps w:val="false"/>
                <w:color w:val="4b5563"/>
                <w:sz w:val="15"/>
                <w:szCs w:val="15"/>
              </w:rPr>
              <w:t xml:space="preserve">The hospital has an active adverse drug event and reaction reporting system, encouraging voluntary reporting, with data reviewed regularly to identify patterns and inform practice.</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process for reporting an adverse drug event or reaction?</w:t>
            </w:r>
          </w:p>
          <w:p>
            <w:pPr>
              <w:spacing w:after="7" w:before="0"/>
            </w:pPr>
            <w:r>
              <w:rPr>
                <w:rFonts w:ascii="Arial" w:cs="Arial" w:eastAsia="Arial" w:hAnsi="Arial"/>
                <w:b w:val="false"/>
                <w:bCs w:val="false"/>
                <w:i/>
                <w:iCs/>
                <w:caps w:val="false"/>
                <w:color w:val="4b5563"/>
                <w:sz w:val="15"/>
                <w:szCs w:val="15"/>
              </w:rPr>
              <w:t xml:space="preserve">Check the process is accessible and not overly burdensome to use.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ADE reporting process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staff actively encouraged to report adverse drug events, including near-misses?</w:t>
            </w:r>
          </w:p>
          <w:p>
            <w:pPr>
              <w:spacing w:after="36" w:before="0"/>
            </w:pPr>
            <w:r>
              <w:rPr>
                <w:rFonts w:ascii="Arial" w:cs="Arial" w:eastAsia="Arial" w:hAnsi="Arial"/>
                <w:b w:val="false"/>
                <w:bCs w:val="false"/>
                <w:i/>
                <w:iCs/>
                <w:caps w:val="false"/>
                <w:color w:val="4b5563"/>
                <w:sz w:val="15"/>
                <w:szCs w:val="15"/>
              </w:rPr>
              <w:t xml:space="preserve">Ask staff whether they feel reporting is genuinely encouraged, not discouraged by workload or culture.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reported adverse drug event data reviewed at a defined interval?</w:t>
            </w:r>
          </w:p>
          <w:p>
            <w:pPr>
              <w:spacing w:after="7" w:before="0"/>
            </w:pPr>
            <w:r>
              <w:rPr>
                <w:rFonts w:ascii="Arial" w:cs="Arial" w:eastAsia="Arial" w:hAnsi="Arial"/>
                <w:b w:val="false"/>
                <w:bCs w:val="false"/>
                <w:i/>
                <w:iCs/>
                <w:caps w:val="false"/>
                <w:color w:val="4b5563"/>
                <w:sz w:val="15"/>
                <w:szCs w:val="15"/>
              </w:rPr>
              <w:t xml:space="preserve">Check for a scheduled review process, not only ad hoc handling.</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Review schedule / minutes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evidence that adverse drug event data has informed a specific practice change?</w:t>
            </w:r>
          </w:p>
          <w:p>
            <w:pPr>
              <w:spacing w:after="7" w:before="0"/>
            </w:pPr>
            <w:r>
              <w:rPr>
                <w:rFonts w:ascii="Arial" w:cs="Arial" w:eastAsia="Arial" w:hAnsi="Arial"/>
                <w:b w:val="false"/>
                <w:bCs w:val="false"/>
                <w:i/>
                <w:iCs/>
                <w:caps w:val="false"/>
                <w:color w:val="4b5563"/>
                <w:sz w:val="15"/>
                <w:szCs w:val="15"/>
              </w:rPr>
              <w:t xml:space="preserve">Ask for a concrete example, not a general claim.</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Documented example of practice change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adverse drug event reporting connected to national pharmacovigilance systems where applicable?</w:t>
            </w:r>
          </w:p>
          <w:p>
            <w:pPr>
              <w:spacing w:after="36" w:before="0"/>
            </w:pPr>
            <w:r>
              <w:rPr>
                <w:rFonts w:ascii="Arial" w:cs="Arial" w:eastAsia="Arial" w:hAnsi="Arial"/>
                <w:b w:val="false"/>
                <w:bCs w:val="false"/>
                <w:i/>
                <w:iCs/>
                <w:caps w:val="false"/>
                <w:color w:val="4b5563"/>
                <w:sz w:val="15"/>
                <w:szCs w:val="15"/>
              </w:rPr>
              <w:t xml:space="preserve">Check for a link to any national or regional reporting requirement.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Reporting process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adverse drug event reporting process for accessibility and ease of use.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Reporting culture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staff whether they feel genuinely encouraged to report adverse drug events, including near-misses.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Review schedule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evidence of a defined, followed schedule for reviewing adverse drug event data.</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Practice change example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for a specific example of a practice change resulting from adverse drug event data review.</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k-bvryh-m5af3dbnv4lfb">
              <w:r>
                <w:rPr>
                  <w:rFonts w:ascii="Arial" w:cs="Arial" w:eastAsia="Arial" w:hAnsi="Arial"/>
                  <w:b/>
                  <w:bCs/>
                  <w:color w:val="c9a227"/>
                  <w:sz w:val="13"/>
                  <w:szCs w:val="13"/>
                  <w:u w:val="single"/>
                </w:rPr>
                <w:t xml:space="preserve">World Health Organization. Safety monitoring of medicinal products: guidelines for setting up and running a pharmacovigilance centre. Geneva: WHO; 2000.</w:t>
              </w:r>
            </w:hyperlink>
            <w:r>
              <w:rPr>
                <w:rFonts w:ascii="Arial" w:cs="Arial" w:eastAsia="Arial" w:hAnsi="Arial"/>
                <w:b/>
                <w:bCs/>
                <w:i w:val="false"/>
                <w:iCs w:val="false"/>
                <w:caps w:val="false"/>
                <w:color w:val="6b778c"/>
                <w:sz w:val="13"/>
                <w:szCs w:val="13"/>
              </w:rPr>
              <w:t xml:space="preserve">   2. </w:t>
            </w:r>
            <w:hyperlink w:history="1" r:id="rIdhsdugznwprvznvdrcnabj">
              <w:r>
                <w:rPr>
                  <w:rFonts w:ascii="Arial" w:cs="Arial" w:eastAsia="Arial" w:hAnsi="Arial"/>
                  <w:b/>
                  <w:bCs/>
                  <w:color w:val="c9a227"/>
                  <w:sz w:val="13"/>
                  <w:szCs w:val="13"/>
                  <w:u w:val="single"/>
                </w:rPr>
                <w:t xml:space="preserve">World Health Organization. Medication Without Harm: WHO Global Patient Safety Challenge. Geneva: WHO; 2017.</w:t>
              </w:r>
            </w:hyperlink>
            <w:r>
              <w:rPr>
                <w:rFonts w:ascii="Arial" w:cs="Arial" w:eastAsia="Arial" w:hAnsi="Arial"/>
                <w:b/>
                <w:bCs/>
                <w:i w:val="false"/>
                <w:iCs w:val="false"/>
                <w:caps w:val="false"/>
                <w:color w:val="6b778c"/>
                <w:sz w:val="13"/>
                <w:szCs w:val="13"/>
              </w:rPr>
              <w:t xml:space="preserve">   3. </w:t>
            </w:r>
            <w:hyperlink w:history="1" r:id="rIdf_zd13vvw5lb0diit_-tu">
              <w:r>
                <w:rPr>
                  <w:rFonts w:ascii="Arial" w:cs="Arial" w:eastAsia="Arial" w:hAnsi="Arial"/>
                  <w:b/>
                  <w:bCs/>
                  <w:color w:val="c9a227"/>
                  <w:sz w:val="13"/>
                  <w:szCs w:val="13"/>
                  <w:u w:val="single"/>
                </w:rPr>
                <w:t xml:space="preserve">Institute for Safe Medication Practices. National Vaccine Errors Reporting Program and adverse event reporting principles. Horsham: ISMP; 2020.</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9.6</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9.6</w:t>
            </w:r>
            <w:r>
              <w:rPr>
                <w:rFonts w:ascii="Arial" w:cs="Arial" w:eastAsia="Arial" w:hAnsi="Arial"/>
                <w:b w:val="false"/>
                <w:bCs w:val="false"/>
                <w:i/>
                <w:iCs/>
                <w:caps w:val="false"/>
                <w:color w:val="8fa8c8"/>
                <w:sz w:val="10"/>
                <w:szCs w:val="10"/>
              </w:rPr>
              <w:t xml:space="preserve">  ·  Level 2  ·  Chapter 9: Pharmacy &amp; Medicines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14</w:t>
            </w:r>
          </w:p>
          <w:p>
            <w:pPr>
              <w:spacing w:after="36" w:before="0"/>
            </w:pPr>
            <w:r>
              <w:rPr>
                <w:rFonts w:ascii="Arial" w:cs="Arial" w:eastAsia="Arial" w:hAnsi="Arial"/>
                <w:b w:val="false"/>
                <w:bCs w:val="false"/>
                <w:i/>
                <w:iCs/>
                <w:caps w:val="false"/>
                <w:color w:val="8fa8c8"/>
                <w:sz w:val="9"/>
                <w:szCs w:val="9"/>
              </w:rPr>
              <w:t xml:space="preserve">ASF-CH9-PMM-v2.0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Many adverse drug events are only recognised as a pattern when individual reports, each seemingly isolated, are collected and reviewed together — a single unusual reaction might be dismissed as an outlier, but the same reaction reported by several patients on the same medication reveals a genuine signal. A reporting system that staff actually use, because it is accessible and genuinely encouraged rather than quietly discouraged by blame or burden, is what allows a hospital to detect these patterns before they cause repeated, preventable harm.</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pharmacovigilance guidelines — systematic collection and review of adverse drug event reports is the primary mechanism by which safety signals affecting specific medications or patient populations are detected in real-world clinical use, beyond what pre-approval trials can identify.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defined, accessible process exists for reporting adverse drug events and reactions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genuinely feel encouraged to report, including near-misses, without fear of blame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Reported data is reviewed on a defined, followed schedule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At least one specific practice change can be traced to adverse drug event data review</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Reporting connects to national pharmacovigilance systems where applicable</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process exists for reporting adverse drug events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describe reporting as discouraged or burdensome, leading to under-reporting</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Reported data, if collected, is not reviewed on any schedule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practice change has ever resulted from adverse drug event review</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connection exists to any national pharmacovigilance system</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A reporting process exists but is rarely used in practice.</w:t>
            </w:r>
          </w:p>
          <w:p>
            <w:pPr>
              <w:spacing w:after="20" w:before="0"/>
            </w:pPr>
            <w:r>
              <w:rPr>
                <w:rFonts w:ascii="Arial" w:cs="Arial" w:eastAsia="Arial" w:hAnsi="Arial"/>
                <w:b w:val="false"/>
                <w:bCs w:val="false"/>
                <w:i/>
                <w:iCs/>
                <w:caps w:val="false"/>
                <w:color w:val="4b5563"/>
                <w:sz w:val="15"/>
                <w:szCs w:val="15"/>
              </w:rPr>
              <w:t xml:space="preserve">Staff know the reporting mechanism exists, but describe it as cumbersome enough that they often do not bother for anything short of a serious event.</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Data is reviewed but rarely connects back to a specific practice change.</w:t>
            </w:r>
          </w:p>
          <w:p>
            <w:pPr>
              <w:spacing w:after="20" w:before="0"/>
            </w:pPr>
            <w:r>
              <w:rPr>
                <w:rFonts w:ascii="Arial" w:cs="Arial" w:eastAsia="Arial" w:hAnsi="Arial"/>
                <w:b w:val="false"/>
                <w:bCs w:val="false"/>
                <w:i/>
                <w:iCs/>
                <w:caps w:val="false"/>
                <w:color w:val="4b5563"/>
                <w:sz w:val="15"/>
                <w:szCs w:val="15"/>
              </w:rPr>
              <w:t xml:space="preserve">Adverse drug event data is examined at scheduled intervals, but the review rarely produces a traceable action or policy adjustment.</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Reporting culture is strong among pharmacy staff but weaker among nursing and medical staff.</w:t>
            </w:r>
          </w:p>
          <w:p>
            <w:pPr>
              <w:spacing w:after="36" w:before="0"/>
            </w:pPr>
            <w:r>
              <w:rPr>
                <w:rFonts w:ascii="Arial" w:cs="Arial" w:eastAsia="Arial" w:hAnsi="Arial"/>
                <w:b w:val="false"/>
                <w:bCs w:val="false"/>
                <w:i/>
                <w:iCs/>
                <w:caps w:val="false"/>
                <w:color w:val="4b5563"/>
                <w:sz w:val="15"/>
                <w:szCs w:val="15"/>
              </w:rPr>
              <w:t xml:space="preserve">Pharmacists report reliably and are comfortable doing so; other clinical staff are less consistently engaged with the reporting system.</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Review the adverse drug event reporting process for accessibility and ease of use.</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Reinforce a genuinely non-punitive reporting culture through communication to all clinical staff.</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Establish or confirm a defined, regular schedule for reviewing reported data.</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Identify and implement at least one practice change based on reported data; document it.</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reporting volume and review outcomes; connect to national pharmacovigilance systems where applicable.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staff directly whether they feel comfortable reporting a near-miss.  </w:t>
            </w:r>
            <w:r>
              <w:rPr>
                <w:rFonts w:ascii="Arial" w:cs="Arial" w:eastAsia="Arial" w:hAnsi="Arial"/>
                <w:b w:val="false"/>
                <w:bCs w:val="false"/>
                <w:i w:val="false"/>
                <w:iCs w:val="false"/>
                <w:caps w:val="false"/>
                <w:color w:val="374151"/>
                <w:sz w:val="16"/>
                <w:szCs w:val="16"/>
              </w:rPr>
              <w:t xml:space="preserve">This is a more reliable indicator of genuine reporting culture than the existence of a formal process alone.</w:t>
            </w:r>
          </w:p>
          <w:p>
            <w:pPr>
              <w:spacing w:after="16" w:before="0"/>
            </w:pPr>
            <w:r>
              <w:rPr>
                <w:rFonts w:ascii="Arial" w:cs="Arial" w:eastAsia="Arial" w:hAnsi="Arial"/>
                <w:b/>
                <w:bCs/>
                <w:i w:val="false"/>
                <w:iCs w:val="false"/>
                <w:caps w:val="false"/>
                <w:color w:val="b91c1c"/>
                <w:sz w:val="15"/>
                <w:szCs w:val="15"/>
              </w:rPr>
              <w:t xml:space="preserve">Ask for a specific example of a change resulting from adverse drug event review.  </w:t>
            </w:r>
            <w:r>
              <w:rPr>
                <w:rFonts w:ascii="Arial" w:cs="Arial" w:eastAsia="Arial" w:hAnsi="Arial"/>
                <w:b w:val="false"/>
                <w:bCs w:val="false"/>
                <w:i w:val="false"/>
                <w:iCs w:val="false"/>
                <w:caps w:val="false"/>
                <w:color w:val="374151"/>
                <w:sz w:val="16"/>
                <w:szCs w:val="16"/>
              </w:rPr>
              <w:t xml:space="preserve">This distinguishes a functioning safety signal detection system from a passive data collection exercise.</w:t>
            </w:r>
          </w:p>
          <w:p>
            <w:pPr>
              <w:spacing w:after="36" w:before="0"/>
            </w:pPr>
            <w:r>
              <w:rPr>
                <w:rFonts w:ascii="Arial" w:cs="Arial" w:eastAsia="Arial" w:hAnsi="Arial"/>
                <w:b/>
                <w:bCs/>
                <w:i w:val="false"/>
                <w:iCs w:val="false"/>
                <w:caps w:val="false"/>
                <w:color w:val="b91c1c"/>
                <w:sz w:val="15"/>
                <w:szCs w:val="15"/>
              </w:rPr>
              <w:t xml:space="preserve">Check reporting engagement across professions, not just pharmacy.  </w:t>
            </w:r>
            <w:r>
              <w:rPr>
                <w:rFonts w:ascii="Arial" w:cs="Arial" w:eastAsia="Arial" w:hAnsi="Arial"/>
                <w:b w:val="false"/>
                <w:bCs w:val="false"/>
                <w:i w:val="false"/>
                <w:iCs w:val="false"/>
                <w:caps w:val="false"/>
                <w:color w:val="374151"/>
                <w:sz w:val="16"/>
                <w:szCs w:val="16"/>
              </w:rPr>
              <w:t xml:space="preserve">Reporting culture often varies significantly between pharmacy staff and nursing or medical staff.</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6v9uvzb60xiwumvyp8-dz">
              <w:r>
                <w:rPr>
                  <w:rFonts w:ascii="Arial" w:cs="Arial" w:eastAsia="Arial" w:hAnsi="Arial"/>
                  <w:b/>
                  <w:bCs/>
                  <w:color w:val="c9a227"/>
                  <w:sz w:val="13"/>
                  <w:szCs w:val="13"/>
                  <w:u w:val="single"/>
                </w:rPr>
                <w:t xml:space="preserve">academy.gmj.ge/ch9-6-adverse-drug-event-reporting</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9.7</w:t>
            </w:r>
            <w:r>
              <w:rPr>
                <w:rFonts w:ascii="Arial" w:cs="Arial" w:eastAsia="Arial" w:hAnsi="Arial"/>
                <w:b w:val="false"/>
                <w:bCs w:val="false"/>
                <w:i/>
                <w:iCs/>
                <w:caps w:val="false"/>
                <w:color w:val="8fa8c8"/>
                <w:sz w:val="10"/>
                <w:szCs w:val="10"/>
              </w:rPr>
              <w:t xml:space="preserve">  ·  Level 2  ·  Chapter 9: Pharmacy &amp; Medicines Management</w:t>
            </w:r>
          </w:p>
          <w:p>
            <w:pPr>
              <w:spacing w:after="36" w:before="0"/>
            </w:pPr>
            <w:r>
              <w:rPr>
                <w:rFonts w:ascii="Arial" w:cs="Arial" w:eastAsia="Arial" w:hAnsi="Arial"/>
                <w:b/>
                <w:bCs/>
                <w:i w:val="false"/>
                <w:iCs w:val="false"/>
                <w:caps w:val="false"/>
                <w:color w:val="dce8f5"/>
                <w:sz w:val="12"/>
                <w:szCs w:val="12"/>
              </w:rPr>
              <w:t xml:space="preserve">Pharmacy Cold Chain and Vaccine Storage</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15</w:t>
            </w:r>
          </w:p>
          <w:p>
            <w:pPr>
              <w:spacing w:after="36" w:before="0"/>
            </w:pPr>
            <w:r>
              <w:rPr>
                <w:rFonts w:ascii="Arial" w:cs="Arial" w:eastAsia="Arial" w:hAnsi="Arial"/>
                <w:b w:val="false"/>
                <w:bCs w:val="false"/>
                <w:i/>
                <w:iCs/>
                <w:caps w:val="false"/>
                <w:color w:val="8fa8c8"/>
                <w:sz w:val="9"/>
                <w:szCs w:val="9"/>
              </w:rPr>
              <w:t xml:space="preserve">ASF-CH9-PMM-v2.0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9.7</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Pharmacy Cold Chain and Vaccine Storage</w:t>
            </w:r>
          </w:p>
          <w:p>
            <w:pPr>
              <w:spacing w:after="36" w:before="0"/>
            </w:pPr>
            <w:r>
              <w:rPr>
                <w:rFonts w:ascii="Arial" w:cs="Arial" w:eastAsia="Arial" w:hAnsi="Arial"/>
                <w:b w:val="false"/>
                <w:bCs w:val="false"/>
                <w:i w:val="false"/>
                <w:iCs w:val="false"/>
                <w:caps w:val="false"/>
                <w:color w:val="4b5563"/>
                <w:sz w:val="15"/>
                <w:szCs w:val="15"/>
              </w:rPr>
              <w:t xml:space="preserve">The hospital maintains a documented cold chain for temperature-sensitive medications and vaccines, with continuous monitoring, alarm systems, and a defined response to a temperature excursion.</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cold chain storage temperature continuously monitored, with a documented record?</w:t>
            </w:r>
          </w:p>
          <w:p>
            <w:pPr>
              <w:spacing w:after="7" w:before="0"/>
            </w:pPr>
            <w:r>
              <w:rPr>
                <w:rFonts w:ascii="Arial" w:cs="Arial" w:eastAsia="Arial" w:hAnsi="Arial"/>
                <w:b w:val="false"/>
                <w:bCs w:val="false"/>
                <w:i/>
                <w:iCs/>
                <w:caps w:val="false"/>
                <w:color w:val="4b5563"/>
                <w:sz w:val="15"/>
                <w:szCs w:val="15"/>
              </w:rPr>
              <w:t xml:space="preserve">Check for continuous monitoring, not periodic manual spot-checks alone.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Cold chain monitoring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an alarm system that alerts staff to a temperature excursion outside the safe range?</w:t>
            </w:r>
          </w:p>
          <w:p>
            <w:pPr>
              <w:spacing w:after="7" w:before="0"/>
            </w:pPr>
            <w:r>
              <w:rPr>
                <w:rFonts w:ascii="Arial" w:cs="Arial" w:eastAsia="Arial" w:hAnsi="Arial"/>
                <w:b w:val="false"/>
                <w:bCs w:val="false"/>
                <w:i/>
                <w:iCs/>
                <w:caps w:val="false"/>
                <w:color w:val="4b5563"/>
                <w:sz w:val="15"/>
                <w:szCs w:val="15"/>
              </w:rPr>
              <w:t xml:space="preserve">Check the alarm functions and who is notified.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Alarm system documentation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response protocol for a temperature excursion, including product disposition decisions?</w:t>
            </w:r>
          </w:p>
          <w:p>
            <w:pPr>
              <w:spacing w:after="7" w:before="0"/>
            </w:pPr>
            <w:r>
              <w:rPr>
                <w:rFonts w:ascii="Arial" w:cs="Arial" w:eastAsia="Arial" w:hAnsi="Arial"/>
                <w:b w:val="false"/>
                <w:bCs w:val="false"/>
                <w:i/>
                <w:iCs/>
                <w:caps w:val="false"/>
                <w:color w:val="4b5563"/>
                <w:sz w:val="15"/>
                <w:szCs w:val="15"/>
              </w:rPr>
              <w:t xml:space="preserve">Check the protocol specifies what happens to affected stock.</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Excursion response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backup power or an alternative cold storage plan in place for a power failure?</w:t>
            </w:r>
          </w:p>
          <w:p>
            <w:pPr>
              <w:spacing w:after="36" w:before="0"/>
            </w:pPr>
            <w:r>
              <w:rPr>
                <w:rFonts w:ascii="Arial" w:cs="Arial" w:eastAsia="Arial" w:hAnsi="Arial"/>
                <w:b w:val="false"/>
                <w:bCs w:val="false"/>
                <w:i/>
                <w:iCs/>
                <w:caps w:val="false"/>
                <w:color w:val="4b5563"/>
                <w:sz w:val="15"/>
                <w:szCs w:val="15"/>
              </w:rPr>
              <w:t xml:space="preserve">Ask what happens to cold chain stock during a power outage.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cold chain equipment and monitoring devices calibrated and maintained on a defined schedule?</w:t>
            </w:r>
          </w:p>
          <w:p>
            <w:pPr>
              <w:spacing w:after="7" w:before="0"/>
            </w:pPr>
            <w:r>
              <w:rPr>
                <w:rFonts w:ascii="Arial" w:cs="Arial" w:eastAsia="Arial" w:hAnsi="Arial"/>
                <w:b w:val="false"/>
                <w:bCs w:val="false"/>
                <w:i/>
                <w:iCs/>
                <w:caps w:val="false"/>
                <w:color w:val="4b5563"/>
                <w:sz w:val="15"/>
                <w:szCs w:val="15"/>
              </w:rPr>
              <w:t xml:space="preserve">Check calibration records for cold chain-specific equipment.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Calibration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Monitoring log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continuous temperature monitoring log for the cold chain storage system.</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Alarm system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or tests the alarm system for functionality and notification reach.</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Excursion response protocol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protocol for handling a temperature excursion, including product disposition.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Power failure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what happens to cold chain stock during a power failure, and whether backup arrangements have been tested.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vdr3n9acjkcyt-xngedqp">
              <w:r>
                <w:rPr>
                  <w:rFonts w:ascii="Arial" w:cs="Arial" w:eastAsia="Arial" w:hAnsi="Arial"/>
                  <w:b/>
                  <w:bCs/>
                  <w:color w:val="c9a227"/>
                  <w:sz w:val="13"/>
                  <w:szCs w:val="13"/>
                  <w:u w:val="single"/>
                </w:rPr>
                <w:t xml:space="preserve">World Health Organization. WHO/UNICEF joint statement on effective vaccine management. Geneva: WHO; 2018.</w:t>
              </w:r>
            </w:hyperlink>
            <w:r>
              <w:rPr>
                <w:rFonts w:ascii="Arial" w:cs="Arial" w:eastAsia="Arial" w:hAnsi="Arial"/>
                <w:b/>
                <w:bCs/>
                <w:i w:val="false"/>
                <w:iCs w:val="false"/>
                <w:caps w:val="false"/>
                <w:color w:val="6b778c"/>
                <w:sz w:val="13"/>
                <w:szCs w:val="13"/>
              </w:rPr>
              <w:t xml:space="preserve">   2. </w:t>
            </w:r>
            <w:hyperlink w:history="1" r:id="rIdxn3qppjvfgr_pgsmwi31f">
              <w:r>
                <w:rPr>
                  <w:rFonts w:ascii="Arial" w:cs="Arial" w:eastAsia="Arial" w:hAnsi="Arial"/>
                  <w:b/>
                  <w:bCs/>
                  <w:color w:val="c9a227"/>
                  <w:sz w:val="13"/>
                  <w:szCs w:val="13"/>
                  <w:u w:val="single"/>
                </w:rPr>
                <w:t xml:space="preserve">World Health Organization. Guidelines on the international packaging and shipping of vaccines. Geneva: WHO; 2005.</w:t>
              </w:r>
            </w:hyperlink>
            <w:r>
              <w:rPr>
                <w:rFonts w:ascii="Arial" w:cs="Arial" w:eastAsia="Arial" w:hAnsi="Arial"/>
                <w:b/>
                <w:bCs/>
                <w:i w:val="false"/>
                <w:iCs w:val="false"/>
                <w:caps w:val="false"/>
                <w:color w:val="6b778c"/>
                <w:sz w:val="13"/>
                <w:szCs w:val="13"/>
              </w:rPr>
              <w:t xml:space="preserve">   3. </w:t>
            </w:r>
            <w:hyperlink w:history="1" r:id="rId2zf8blgb9aqhldr09ynhh">
              <w:r>
                <w:rPr>
                  <w:rFonts w:ascii="Arial" w:cs="Arial" w:eastAsia="Arial" w:hAnsi="Arial"/>
                  <w:b/>
                  <w:bCs/>
                  <w:color w:val="c9a227"/>
                  <w:sz w:val="13"/>
                  <w:szCs w:val="13"/>
                  <w:u w:val="single"/>
                </w:rPr>
                <w:t xml:space="preserve">Pan American Health Organization. Cold chain guidelines for immunization programmes. Washington DC: PAHO; 2019.</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9.7</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9.7</w:t>
            </w:r>
            <w:r>
              <w:rPr>
                <w:rFonts w:ascii="Arial" w:cs="Arial" w:eastAsia="Arial" w:hAnsi="Arial"/>
                <w:b w:val="false"/>
                <w:bCs w:val="false"/>
                <w:i/>
                <w:iCs/>
                <w:caps w:val="false"/>
                <w:color w:val="8fa8c8"/>
                <w:sz w:val="10"/>
                <w:szCs w:val="10"/>
              </w:rPr>
              <w:t xml:space="preserve">  ·  Level 2  ·  Chapter 9: Pharmacy &amp; Medicines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16</w:t>
            </w:r>
          </w:p>
          <w:p>
            <w:pPr>
              <w:spacing w:after="36" w:before="0"/>
            </w:pPr>
            <w:r>
              <w:rPr>
                <w:rFonts w:ascii="Arial" w:cs="Arial" w:eastAsia="Arial" w:hAnsi="Arial"/>
                <w:b w:val="false"/>
                <w:bCs w:val="false"/>
                <w:i/>
                <w:iCs/>
                <w:caps w:val="false"/>
                <w:color w:val="8fa8c8"/>
                <w:sz w:val="9"/>
                <w:szCs w:val="9"/>
              </w:rPr>
              <w:t xml:space="preserve">ASF-CH9-PMM-v2.0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vaccine or temperature-sensitive medication that experiences a cold chain excursion may lose potency without any visible change to the product, meaning a compromised dose can be administered with no outward sign that it will not work as expected. Continuous monitoring with an active alarm, rather than periodic manual checks, is what catches an excursion while it is still happening, in time to intervene before affected stock is used on patients.</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WHO/UNICEF Effective Vaccine Management guidance — continuous cold chain temperature monitoring with automated alerting is significantly more effective at detecting and limiting the impact of temperature excursions than periodic manual temperature checks alone.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Cold chain storage temperature is continuously monitored with a documented record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An alarm system actively alerts staff to a temperature excursion outside the safe range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defined response protocol governs product disposition following an excursion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Backup power or an alternative cold storage plan exists and has been tested for power failure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Cold chain equipment and monitoring devices are calibrated and maintained on a defined schedule</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Temperature is checked only periodically, without continuous monitoring</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alarm system exists to alert staff to a temperature excursion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protocol addresses what happens to stock following an excursion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backup plan exists for cold chain storage during a power failure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Cold chain equipment calibration is inconsistent or unverified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Monitoring is continuous but the alarm doesn’t reliably reach staff outside working hours.</w:t>
            </w:r>
          </w:p>
          <w:p>
            <w:pPr>
              <w:spacing w:after="20" w:before="0"/>
            </w:pPr>
            <w:r>
              <w:rPr>
                <w:rFonts w:ascii="Arial" w:cs="Arial" w:eastAsia="Arial" w:hAnsi="Arial"/>
                <w:b w:val="false"/>
                <w:bCs w:val="false"/>
                <w:i/>
                <w:iCs/>
                <w:caps w:val="false"/>
                <w:color w:val="4b5563"/>
                <w:sz w:val="15"/>
                <w:szCs w:val="15"/>
              </w:rPr>
              <w:t xml:space="preserve">The system logs temperature continuously and would show an excursion, but the alert notification does not consistently reach someone able to respond overnight.</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A response protocol exists but hasn’t been tested with an actual excursion.</w:t>
            </w:r>
          </w:p>
          <w:p>
            <w:pPr>
              <w:spacing w:after="20" w:before="0"/>
            </w:pPr>
            <w:r>
              <w:rPr>
                <w:rFonts w:ascii="Arial" w:cs="Arial" w:eastAsia="Arial" w:hAnsi="Arial"/>
                <w:b w:val="false"/>
                <w:bCs w:val="false"/>
                <w:i/>
                <w:iCs/>
                <w:caps w:val="false"/>
                <w:color w:val="4b5563"/>
                <w:sz w:val="15"/>
                <w:szCs w:val="15"/>
              </w:rPr>
              <w:t xml:space="preserve">Staff can describe what the protocol says should happen, but there is no record of it having been exercised in a real or simulated excursion.</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Backup power exists but has never been tested specifically for cold chain continuity.</w:t>
            </w:r>
          </w:p>
          <w:p>
            <w:pPr>
              <w:spacing w:after="36" w:before="0"/>
            </w:pPr>
            <w:r>
              <w:rPr>
                <w:rFonts w:ascii="Arial" w:cs="Arial" w:eastAsia="Arial" w:hAnsi="Arial"/>
                <w:b w:val="false"/>
                <w:bCs w:val="false"/>
                <w:i/>
                <w:iCs/>
                <w:caps w:val="false"/>
                <w:color w:val="4b5563"/>
                <w:sz w:val="15"/>
                <w:szCs w:val="15"/>
              </w:rPr>
              <w:t xml:space="preserve">Emergency power infrastructure is in place hospital-wide, but no one has specifically verified it maintains the cold chain storage units during an outage.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continuous temperature monitoring is in place and documented for all cold chain storage.</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Test the alarm system, including out-of-hours notification reach.</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or establish a defined excursion response protocol, including product disposition.</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Test backup power or alternative cold storage arrangements specifically for cold chain continuity.</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Maintain calibration of cold chain equipment; review monitoring data and excursion response readiness.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when the alarm system was last tested, including overnight notification.  </w:t>
            </w:r>
            <w:r>
              <w:rPr>
                <w:rFonts w:ascii="Arial" w:cs="Arial" w:eastAsia="Arial" w:hAnsi="Arial"/>
                <w:b w:val="false"/>
                <w:bCs w:val="false"/>
                <w:i w:val="false"/>
                <w:iCs w:val="false"/>
                <w:caps w:val="false"/>
                <w:color w:val="374151"/>
                <w:sz w:val="16"/>
                <w:szCs w:val="16"/>
              </w:rPr>
              <w:t xml:space="preserve">A system that works logically but has never been tested for actual out-of-hours alerting may have an untested gap.</w:t>
            </w:r>
          </w:p>
          <w:p>
            <w:pPr>
              <w:spacing w:after="16" w:before="0"/>
            </w:pPr>
            <w:r>
              <w:rPr>
                <w:rFonts w:ascii="Arial" w:cs="Arial" w:eastAsia="Arial" w:hAnsi="Arial"/>
                <w:b/>
                <w:bCs/>
                <w:i w:val="false"/>
                <w:iCs w:val="false"/>
                <w:caps w:val="false"/>
                <w:color w:val="b91c1c"/>
                <w:sz w:val="15"/>
                <w:szCs w:val="15"/>
              </w:rPr>
              <w:t xml:space="preserve">Ask for a specific example of an excursion response, if one has occurred.  </w:t>
            </w:r>
            <w:r>
              <w:rPr>
                <w:rFonts w:ascii="Arial" w:cs="Arial" w:eastAsia="Arial" w:hAnsi="Arial"/>
                <w:b w:val="false"/>
                <w:bCs w:val="false"/>
                <w:i w:val="false"/>
                <w:iCs w:val="false"/>
                <w:caps w:val="false"/>
                <w:color w:val="374151"/>
                <w:sz w:val="16"/>
                <w:szCs w:val="16"/>
              </w:rPr>
              <w:t xml:space="preserve">A real example demonstrates the protocol functions in practice, not only on paper.</w:t>
            </w:r>
          </w:p>
          <w:p>
            <w:pPr>
              <w:spacing w:after="36" w:before="0"/>
            </w:pPr>
            <w:r>
              <w:rPr>
                <w:rFonts w:ascii="Arial" w:cs="Arial" w:eastAsia="Arial" w:hAnsi="Arial"/>
                <w:b/>
                <w:bCs/>
                <w:i w:val="false"/>
                <w:iCs w:val="false"/>
                <w:caps w:val="false"/>
                <w:color w:val="b91c1c"/>
                <w:sz w:val="15"/>
                <w:szCs w:val="15"/>
              </w:rPr>
              <w:t xml:space="preserve">Ask specifically whether backup power has been tested for the cold chain units.  </w:t>
            </w:r>
            <w:r>
              <w:rPr>
                <w:rFonts w:ascii="Arial" w:cs="Arial" w:eastAsia="Arial" w:hAnsi="Arial"/>
                <w:b w:val="false"/>
                <w:bCs w:val="false"/>
                <w:i w:val="false"/>
                <w:iCs w:val="false"/>
                <w:caps w:val="false"/>
                <w:color w:val="374151"/>
                <w:sz w:val="16"/>
                <w:szCs w:val="16"/>
              </w:rPr>
              <w:t xml:space="preserve">General hospital backup power capability does not guarantee it has been verified for this specific, sensitive use.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kl_luluni78mnm_-ddccy">
              <w:r>
                <w:rPr>
                  <w:rFonts w:ascii="Arial" w:cs="Arial" w:eastAsia="Arial" w:hAnsi="Arial"/>
                  <w:b/>
                  <w:bCs/>
                  <w:color w:val="c9a227"/>
                  <w:sz w:val="13"/>
                  <w:szCs w:val="13"/>
                  <w:u w:val="single"/>
                </w:rPr>
                <w:t xml:space="preserve">academy.gmj.ge/ch9-7-pharmacy-cold-chain-vaccine</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9.8</w:t>
            </w:r>
            <w:r>
              <w:rPr>
                <w:rFonts w:ascii="Arial" w:cs="Arial" w:eastAsia="Arial" w:hAnsi="Arial"/>
                <w:b w:val="false"/>
                <w:bCs w:val="false"/>
                <w:i/>
                <w:iCs/>
                <w:caps w:val="false"/>
                <w:color w:val="8fa8c8"/>
                <w:sz w:val="10"/>
                <w:szCs w:val="10"/>
              </w:rPr>
              <w:t xml:space="preserve">  ·  Level 2  ·  Chapter 9: Pharmacy &amp; Medicines Management</w:t>
            </w:r>
          </w:p>
          <w:p>
            <w:pPr>
              <w:spacing w:after="36" w:before="0"/>
            </w:pPr>
            <w:r>
              <w:rPr>
                <w:rFonts w:ascii="Arial" w:cs="Arial" w:eastAsia="Arial" w:hAnsi="Arial"/>
                <w:b/>
                <w:bCs/>
                <w:i w:val="false"/>
                <w:iCs w:val="false"/>
                <w:caps w:val="false"/>
                <w:color w:val="dce8f5"/>
                <w:sz w:val="12"/>
                <w:szCs w:val="12"/>
              </w:rPr>
              <w:t xml:space="preserve">Medication Error Review and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17</w:t>
            </w:r>
          </w:p>
          <w:p>
            <w:pPr>
              <w:spacing w:after="36" w:before="0"/>
            </w:pPr>
            <w:r>
              <w:rPr>
                <w:rFonts w:ascii="Arial" w:cs="Arial" w:eastAsia="Arial" w:hAnsi="Arial"/>
                <w:b w:val="false"/>
                <w:bCs w:val="false"/>
                <w:i/>
                <w:iCs/>
                <w:caps w:val="false"/>
                <w:color w:val="8fa8c8"/>
                <w:sz w:val="9"/>
                <w:szCs w:val="9"/>
              </w:rPr>
              <w:t xml:space="preserve">ASF-CH9-PMM-v2.0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9.8</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Medication Error Review and Learning</w:t>
            </w:r>
          </w:p>
          <w:p>
            <w:pPr>
              <w:spacing w:after="36" w:before="0"/>
            </w:pPr>
            <w:r>
              <w:rPr>
                <w:rFonts w:ascii="Arial" w:cs="Arial" w:eastAsia="Arial" w:hAnsi="Arial"/>
                <w:b w:val="false"/>
                <w:bCs w:val="false"/>
                <w:i w:val="false"/>
                <w:iCs w:val="false"/>
                <w:caps w:val="false"/>
                <w:color w:val="4b5563"/>
                <w:sz w:val="15"/>
                <w:szCs w:val="15"/>
              </w:rPr>
              <w:t xml:space="preserve">The hospital conducts structured review of medication errors, including a root cause analysis for serious events, with findings translated into specific system-level practice changes.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medication errors reviewed using a structured method, not only informal discussion?</w:t>
            </w:r>
          </w:p>
          <w:p>
            <w:pPr>
              <w:spacing w:after="7" w:before="0"/>
            </w:pPr>
            <w:r>
              <w:rPr>
                <w:rFonts w:ascii="Arial" w:cs="Arial" w:eastAsia="Arial" w:hAnsi="Arial"/>
                <w:b w:val="false"/>
                <w:bCs w:val="false"/>
                <w:i/>
                <w:iCs/>
                <w:caps w:val="false"/>
                <w:color w:val="4b5563"/>
                <w:sz w:val="15"/>
                <w:szCs w:val="15"/>
              </w:rPr>
              <w:t xml:space="preserve">Check for a defined review methodology.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Medication error review process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 serious medication events receive a root cause analysis?</w:t>
            </w:r>
          </w:p>
          <w:p>
            <w:pPr>
              <w:spacing w:after="7" w:before="0"/>
            </w:pPr>
            <w:r>
              <w:rPr>
                <w:rFonts w:ascii="Arial" w:cs="Arial" w:eastAsia="Arial" w:hAnsi="Arial"/>
                <w:b w:val="false"/>
                <w:bCs w:val="false"/>
                <w:i/>
                <w:iCs/>
                <w:caps w:val="false"/>
                <w:color w:val="4b5563"/>
                <w:sz w:val="15"/>
                <w:szCs w:val="15"/>
              </w:rPr>
              <w:t xml:space="preserve">Check for evidence of RCA specifically for serious events, distinct from routine error logging.</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Root cause analysis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 error reviews focus on system factors rather than only individual blame?</w:t>
            </w:r>
          </w:p>
          <w:p>
            <w:pPr>
              <w:spacing w:after="36" w:before="0"/>
            </w:pPr>
            <w:r>
              <w:rPr>
                <w:rFonts w:ascii="Arial" w:cs="Arial" w:eastAsia="Arial" w:hAnsi="Arial"/>
                <w:b w:val="false"/>
                <w:bCs w:val="false"/>
                <w:i/>
                <w:iCs/>
                <w:caps w:val="false"/>
                <w:color w:val="4b5563"/>
                <w:sz w:val="15"/>
                <w:szCs w:val="15"/>
              </w:rPr>
              <w:t xml:space="preserve">Ask how the review process approaches an error involving an individual staff member.</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evidence of specific system-level practice changes resulting from error review?</w:t>
            </w:r>
          </w:p>
          <w:p>
            <w:pPr>
              <w:spacing w:after="7" w:before="0"/>
            </w:pPr>
            <w:r>
              <w:rPr>
                <w:rFonts w:ascii="Arial" w:cs="Arial" w:eastAsia="Arial" w:hAnsi="Arial"/>
                <w:b w:val="false"/>
                <w:bCs w:val="false"/>
                <w:i/>
                <w:iCs/>
                <w:caps w:val="false"/>
                <w:color w:val="4b5563"/>
                <w:sz w:val="15"/>
                <w:szCs w:val="15"/>
              </w:rPr>
              <w:t xml:space="preserve">Ask for a concrete example, not a general claim.</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Documented example of practice change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medication error trends tracked over time to evaluate whether changes are actually reducing error rates?</w:t>
            </w:r>
          </w:p>
          <w:p>
            <w:pPr>
              <w:spacing w:after="7" w:before="0"/>
            </w:pPr>
            <w:r>
              <w:rPr>
                <w:rFonts w:ascii="Arial" w:cs="Arial" w:eastAsia="Arial" w:hAnsi="Arial"/>
                <w:b w:val="false"/>
                <w:bCs w:val="false"/>
                <w:i/>
                <w:iCs/>
                <w:caps w:val="false"/>
                <w:color w:val="4b5563"/>
                <w:sz w:val="15"/>
                <w:szCs w:val="15"/>
              </w:rPr>
              <w:t xml:space="preserve">Check for trend data following implemented changes.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Error trend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Review methodology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structured method used for medication error review.</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Root cause analysis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RCA records for serious medication events.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System-focus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how a medication error review approaches an event involving an identifiable individual staff member.</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Trend data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medication error trend data over time, including after implemented changes.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qfkbnctagrr1gra2tgldw">
              <w:r>
                <w:rPr>
                  <w:rFonts w:ascii="Arial" w:cs="Arial" w:eastAsia="Arial" w:hAnsi="Arial"/>
                  <w:b/>
                  <w:bCs/>
                  <w:color w:val="c9a227"/>
                  <w:sz w:val="13"/>
                  <w:szCs w:val="13"/>
                  <w:u w:val="single"/>
                </w:rPr>
                <w:t xml:space="preserve">World Health Organization. Medication Without Harm: WHO Global Patient Safety Challenge. Geneva: WHO; 2017.</w:t>
              </w:r>
            </w:hyperlink>
            <w:r>
              <w:rPr>
                <w:rFonts w:ascii="Arial" w:cs="Arial" w:eastAsia="Arial" w:hAnsi="Arial"/>
                <w:b/>
                <w:bCs/>
                <w:i w:val="false"/>
                <w:iCs w:val="false"/>
                <w:caps w:val="false"/>
                <w:color w:val="6b778c"/>
                <w:sz w:val="13"/>
                <w:szCs w:val="13"/>
              </w:rPr>
              <w:t xml:space="preserve">   2. </w:t>
            </w:r>
            <w:hyperlink w:history="1" r:id="rIdyavopjvh8tcpajkqmawai">
              <w:r>
                <w:rPr>
                  <w:rFonts w:ascii="Arial" w:cs="Arial" w:eastAsia="Arial" w:hAnsi="Arial"/>
                  <w:b/>
                  <w:bCs/>
                  <w:color w:val="c9a227"/>
                  <w:sz w:val="13"/>
                  <w:szCs w:val="13"/>
                  <w:u w:val="single"/>
                </w:rPr>
                <w:t xml:space="preserve">Institute for Safe Medication Practices. Guidelines for a root cause analysis and action plan following a medication error. Horsham: ISMP; 2020.</w:t>
              </w:r>
            </w:hyperlink>
            <w:r>
              <w:rPr>
                <w:rFonts w:ascii="Arial" w:cs="Arial" w:eastAsia="Arial" w:hAnsi="Arial"/>
                <w:b/>
                <w:bCs/>
                <w:i w:val="false"/>
                <w:iCs w:val="false"/>
                <w:caps w:val="false"/>
                <w:color w:val="6b778c"/>
                <w:sz w:val="13"/>
                <w:szCs w:val="13"/>
              </w:rPr>
              <w:t xml:space="preserve">   3. </w:t>
            </w:r>
            <w:hyperlink w:history="1" r:id="rIdu1n5hueyagj1nw1tmhivq">
              <w:r>
                <w:rPr>
                  <w:rFonts w:ascii="Arial" w:cs="Arial" w:eastAsia="Arial" w:hAnsi="Arial"/>
                  <w:b/>
                  <w:bCs/>
                  <w:color w:val="c9a227"/>
                  <w:sz w:val="13"/>
                  <w:szCs w:val="13"/>
                  <w:u w:val="single"/>
                </w:rPr>
                <w:t xml:space="preserve">Reason J. Human error: models and management. BMJ. 2000;320(7237):768-770.</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9.8</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9.8</w:t>
            </w:r>
            <w:r>
              <w:rPr>
                <w:rFonts w:ascii="Arial" w:cs="Arial" w:eastAsia="Arial" w:hAnsi="Arial"/>
                <w:b w:val="false"/>
                <w:bCs w:val="false"/>
                <w:i/>
                <w:iCs/>
                <w:caps w:val="false"/>
                <w:color w:val="8fa8c8"/>
                <w:sz w:val="10"/>
                <w:szCs w:val="10"/>
              </w:rPr>
              <w:t xml:space="preserve">  ·  Level 2  ·  Chapter 9: Pharmacy &amp; Medicines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18</w:t>
            </w:r>
          </w:p>
          <w:p>
            <w:pPr>
              <w:spacing w:after="36" w:before="0"/>
            </w:pPr>
            <w:r>
              <w:rPr>
                <w:rFonts w:ascii="Arial" w:cs="Arial" w:eastAsia="Arial" w:hAnsi="Arial"/>
                <w:b w:val="false"/>
                <w:bCs w:val="false"/>
                <w:i/>
                <w:iCs/>
                <w:caps w:val="false"/>
                <w:color w:val="8fa8c8"/>
                <w:sz w:val="9"/>
                <w:szCs w:val="9"/>
              </w:rPr>
              <w:t xml:space="preserve">ASF-CH9-PMM-v2.0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medication error reviewed only informally, or one that ends with an individual being blamed and the case closed, teaches the system nothing — the same conditions that produced this error remain in place, ready to produce the same error again with a different person next time. A structured review that examines system factors, applies root cause analysis to serious events, and translates findings into an actual practice change is what turns an error from a one-off incident into an opportunity to make the whole system safer.</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Reason 2000 — the "human error" framework demonstrates that most errors are the product of system conditions rather than individual carelessness, meaning system-focused review produces more effective, durable safety improvement than blame-focused approaches.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Medication errors are reviewed using a defined, structured methodology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Serious medication events receive a root cause analysis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Reviews focus on system factors rather than defaulting to individual blame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Specific system-level practice changes can be traced to error review findings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Error trends are tracked over time to confirm whether changes are actually reducing error rates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Medication errors are discussed informally with no structured review method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root cause analysis is performed even for serious events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Reviews focus primarily on identifying and blaming an individual</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practice change has ever resulted from a medication error review</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Error trends are not tracked to evaluate whether changes have had any effect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Root cause analysis is performed for the most severe events but not consistently for moderately serious ones.</w:t>
            </w:r>
          </w:p>
          <w:p>
            <w:pPr>
              <w:spacing w:after="20" w:before="0"/>
            </w:pPr>
            <w:r>
              <w:rPr>
                <w:rFonts w:ascii="Arial" w:cs="Arial" w:eastAsia="Arial" w:hAnsi="Arial"/>
                <w:b w:val="false"/>
                <w:bCs w:val="false"/>
                <w:i/>
                <w:iCs/>
                <w:caps w:val="false"/>
                <w:color w:val="4b5563"/>
                <w:sz w:val="15"/>
                <w:szCs w:val="15"/>
              </w:rPr>
              <w:t xml:space="preserve">The most catastrophic events reliably trigger a full RCA; events causing moderate harm receive a lighter review that may miss systemic contributing factors.</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Reviews are system-focused in principle but individual blame still surfaces in practice.</w:t>
            </w:r>
          </w:p>
          <w:p>
            <w:pPr>
              <w:spacing w:after="20" w:before="0"/>
            </w:pPr>
            <w:r>
              <w:rPr>
                <w:rFonts w:ascii="Arial" w:cs="Arial" w:eastAsia="Arial" w:hAnsi="Arial"/>
                <w:b w:val="false"/>
                <w:bCs w:val="false"/>
                <w:i/>
                <w:iCs/>
                <w:caps w:val="false"/>
                <w:color w:val="4b5563"/>
                <w:sz w:val="15"/>
                <w:szCs w:val="15"/>
              </w:rPr>
              <w:t xml:space="preserve">The stated review methodology emphasises system factors, but staff describe feeling that individual performance is still implicitly scrutinised during the process.</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Changes are implemented but their actual effect on error rates is never confirmed.</w:t>
            </w:r>
          </w:p>
          <w:p>
            <w:pPr>
              <w:spacing w:after="36" w:before="0"/>
            </w:pPr>
            <w:r>
              <w:rPr>
                <w:rFonts w:ascii="Arial" w:cs="Arial" w:eastAsia="Arial" w:hAnsi="Arial"/>
                <w:b w:val="false"/>
                <w:bCs w:val="false"/>
                <w:i/>
                <w:iCs/>
                <w:caps w:val="false"/>
                <w:color w:val="4b5563"/>
                <w:sz w:val="15"/>
                <w:szCs w:val="15"/>
              </w:rPr>
              <w:t xml:space="preserve">A specific process change follows a review, but no one goes back to check whether medication error trends actually improved as a result.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establish a structured medication error review methodology.</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Confirm root cause analysis is applied consistently to serious medication events.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Reinforce a genuinely system-focused review culture, distinct from individual blame.</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Identify and implement at least one system-level practice change from a review finding; document it.</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medication error trends over time to confirm whether implemented changes are having the intended effect.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how a review handled an error involving a specific, identifiable staff member.  </w:t>
            </w:r>
            <w:r>
              <w:rPr>
                <w:rFonts w:ascii="Arial" w:cs="Arial" w:eastAsia="Arial" w:hAnsi="Arial"/>
                <w:b w:val="false"/>
                <w:bCs w:val="false"/>
                <w:i w:val="false"/>
                <w:iCs w:val="false"/>
                <w:caps w:val="false"/>
                <w:color w:val="374151"/>
                <w:sz w:val="16"/>
                <w:szCs w:val="16"/>
              </w:rPr>
              <w:t xml:space="preserve">This reveals whether the process genuinely focuses on system factors or defaults to individual scrutiny in practice.</w:t>
            </w:r>
          </w:p>
          <w:p>
            <w:pPr>
              <w:spacing w:after="16" w:before="0"/>
            </w:pPr>
            <w:r>
              <w:rPr>
                <w:rFonts w:ascii="Arial" w:cs="Arial" w:eastAsia="Arial" w:hAnsi="Arial"/>
                <w:b/>
                <w:bCs/>
                <w:i w:val="false"/>
                <w:iCs w:val="false"/>
                <w:caps w:val="false"/>
                <w:color w:val="b91c1c"/>
                <w:sz w:val="15"/>
                <w:szCs w:val="15"/>
              </w:rPr>
              <w:t xml:space="preserve">Ask for a specific system-level change traced to a review finding.  </w:t>
            </w:r>
            <w:r>
              <w:rPr>
                <w:rFonts w:ascii="Arial" w:cs="Arial" w:eastAsia="Arial" w:hAnsi="Arial"/>
                <w:b w:val="false"/>
                <w:bCs w:val="false"/>
                <w:i w:val="false"/>
                <w:iCs w:val="false"/>
                <w:caps w:val="false"/>
                <w:color w:val="374151"/>
                <w:sz w:val="16"/>
                <w:szCs w:val="16"/>
              </w:rPr>
              <w:t xml:space="preserve">This distinguishes a functioning learning system from one that reviews errors without translating findings into action.</w:t>
            </w:r>
          </w:p>
          <w:p>
            <w:pPr>
              <w:spacing w:after="36" w:before="0"/>
            </w:pPr>
            <w:r>
              <w:rPr>
                <w:rFonts w:ascii="Arial" w:cs="Arial" w:eastAsia="Arial" w:hAnsi="Arial"/>
                <w:b/>
                <w:bCs/>
                <w:i w:val="false"/>
                <w:iCs w:val="false"/>
                <w:caps w:val="false"/>
                <w:color w:val="b91c1c"/>
                <w:sz w:val="15"/>
                <w:szCs w:val="15"/>
              </w:rPr>
              <w:t xml:space="preserve">Check whether error trends were tracked after a change was implemented.  </w:t>
            </w:r>
            <w:r>
              <w:rPr>
                <w:rFonts w:ascii="Arial" w:cs="Arial" w:eastAsia="Arial" w:hAnsi="Arial"/>
                <w:b w:val="false"/>
                <w:bCs w:val="false"/>
                <w:i w:val="false"/>
                <w:iCs w:val="false"/>
                <w:caps w:val="false"/>
                <w:color w:val="374151"/>
                <w:sz w:val="16"/>
                <w:szCs w:val="16"/>
              </w:rPr>
              <w:t xml:space="preserve">Confirming an intervention actually reduced errors, rather than assuming it did, is the final and often-missing step in the improvement cycle.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wdt1brhce4tosktxr4nf5">
              <w:r>
                <w:rPr>
                  <w:rFonts w:ascii="Arial" w:cs="Arial" w:eastAsia="Arial" w:hAnsi="Arial"/>
                  <w:b/>
                  <w:bCs/>
                  <w:color w:val="c9a227"/>
                  <w:sz w:val="13"/>
                  <w:szCs w:val="13"/>
                  <w:u w:val="single"/>
                </w:rPr>
                <w:t xml:space="preserve">academy.gmj.ge/ch9-8-medication-error-review-learning</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9.9</w:t>
            </w:r>
            <w:r>
              <w:rPr>
                <w:rFonts w:ascii="Arial" w:cs="Arial" w:eastAsia="Arial" w:hAnsi="Arial"/>
                <w:b w:val="false"/>
                <w:bCs w:val="false"/>
                <w:i/>
                <w:iCs/>
                <w:caps w:val="false"/>
                <w:color w:val="8fa8c8"/>
                <w:sz w:val="10"/>
                <w:szCs w:val="10"/>
              </w:rPr>
              <w:t xml:space="preserve">  ·  Level 3  ·  Chapter 9: Pharmacy &amp; Medicines Management</w:t>
            </w:r>
          </w:p>
          <w:p>
            <w:pPr>
              <w:spacing w:after="36" w:before="0"/>
            </w:pPr>
            <w:r>
              <w:rPr>
                <w:rFonts w:ascii="Arial" w:cs="Arial" w:eastAsia="Arial" w:hAnsi="Arial"/>
                <w:b/>
                <w:bCs/>
                <w:i w:val="false"/>
                <w:iCs w:val="false"/>
                <w:caps w:val="false"/>
                <w:color w:val="dce8f5"/>
                <w:sz w:val="12"/>
                <w:szCs w:val="12"/>
              </w:rPr>
              <w:t xml:space="preserve">Clinical Pharmacy and Therapeutic Review</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19</w:t>
            </w:r>
          </w:p>
          <w:p>
            <w:pPr>
              <w:spacing w:after="36" w:before="0"/>
            </w:pPr>
            <w:r>
              <w:rPr>
                <w:rFonts w:ascii="Arial" w:cs="Arial" w:eastAsia="Arial" w:hAnsi="Arial"/>
                <w:b w:val="false"/>
                <w:bCs w:val="false"/>
                <w:i/>
                <w:iCs/>
                <w:caps w:val="false"/>
                <w:color w:val="8fa8c8"/>
                <w:sz w:val="9"/>
                <w:szCs w:val="9"/>
              </w:rPr>
              <w:t xml:space="preserve">ASF-CH9-PMM-v2.0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9.9</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L3</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Clinical Pharmacy and Therapeutic Review</w:t>
            </w:r>
          </w:p>
          <w:p>
            <w:pPr>
              <w:spacing w:after="36" w:before="0"/>
            </w:pPr>
            <w:r>
              <w:rPr>
                <w:rFonts w:ascii="Arial" w:cs="Arial" w:eastAsia="Arial" w:hAnsi="Arial"/>
                <w:b w:val="false"/>
                <w:bCs w:val="false"/>
                <w:i w:val="false"/>
                <w:iCs w:val="false"/>
                <w:caps w:val="false"/>
                <w:color w:val="4b5563"/>
                <w:sz w:val="15"/>
                <w:szCs w:val="15"/>
              </w:rPr>
              <w:t xml:space="preserve">A clinical pharmacist actively reviews inpatient medication regimens for appropriateness, interactions, and dose optimisation, with findings communicated directly to the prescribing team.</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a clinical pharmacist actively review inpatient medication regimens, not only dispense what is prescribed?</w:t>
            </w:r>
          </w:p>
          <w:p>
            <w:pPr>
              <w:spacing w:after="7" w:before="0"/>
            </w:pPr>
            <w:r>
              <w:rPr>
                <w:rFonts w:ascii="Arial" w:cs="Arial" w:eastAsia="Arial" w:hAnsi="Arial"/>
                <w:b w:val="false"/>
                <w:bCs w:val="false"/>
                <w:i/>
                <w:iCs/>
                <w:caps w:val="false"/>
                <w:color w:val="4b5563"/>
                <w:sz w:val="15"/>
                <w:szCs w:val="15"/>
              </w:rPr>
              <w:t xml:space="preserve">Check for a defined clinical review role, distinct from dispensing function.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Clinical pharmacy service description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 review conducted at a defined frequency appropriate to patient risk, such as daily for complex patients?</w:t>
            </w:r>
          </w:p>
          <w:p>
            <w:pPr>
              <w:spacing w:after="36" w:before="0"/>
            </w:pPr>
            <w:r>
              <w:rPr>
                <w:rFonts w:ascii="Arial" w:cs="Arial" w:eastAsia="Arial" w:hAnsi="Arial"/>
                <w:b w:val="false"/>
                <w:bCs w:val="false"/>
                <w:i/>
                <w:iCs/>
                <w:caps w:val="false"/>
                <w:color w:val="4b5563"/>
                <w:sz w:val="15"/>
                <w:szCs w:val="15"/>
              </w:rPr>
              <w:t xml:space="preserve">Check the review frequency against patient complexity.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pharmacist recommendations communicated directly to the prescribing team, not only documented passively?</w:t>
            </w:r>
          </w:p>
          <w:p>
            <w:pPr>
              <w:spacing w:after="7" w:before="0"/>
            </w:pPr>
            <w:r>
              <w:rPr>
                <w:rFonts w:ascii="Arial" w:cs="Arial" w:eastAsia="Arial" w:hAnsi="Arial"/>
                <w:b w:val="false"/>
                <w:bCs w:val="false"/>
                <w:i/>
                <w:iCs/>
                <w:caps w:val="false"/>
                <w:color w:val="4b5563"/>
                <w:sz w:val="15"/>
                <w:szCs w:val="15"/>
              </w:rPr>
              <w:t xml:space="preserve">Ask how a pharmacist recommendation actually reaches the prescriber.</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Communication pathway description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evidence that pharmacist recommendations are acted on, at least in a meaningful proportion of cases?</w:t>
            </w:r>
          </w:p>
          <w:p>
            <w:pPr>
              <w:spacing w:after="7" w:before="0"/>
            </w:pPr>
            <w:r>
              <w:rPr>
                <w:rFonts w:ascii="Arial" w:cs="Arial" w:eastAsia="Arial" w:hAnsi="Arial"/>
                <w:b w:val="false"/>
                <w:bCs w:val="false"/>
                <w:i/>
                <w:iCs/>
                <w:caps w:val="false"/>
                <w:color w:val="4b5563"/>
                <w:sz w:val="15"/>
                <w:szCs w:val="15"/>
              </w:rPr>
              <w:t xml:space="preserve">Check for tracked acceptance rate or specific examples.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Recommendation acceptance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clinical pharmacy review prioritise high-risk patients, such as those with polypharmacy or renal impairment?</w:t>
            </w:r>
          </w:p>
          <w:p>
            <w:pPr>
              <w:spacing w:after="36" w:before="0"/>
            </w:pPr>
            <w:r>
              <w:rPr>
                <w:rFonts w:ascii="Arial" w:cs="Arial" w:eastAsia="Arial" w:hAnsi="Arial"/>
                <w:b w:val="false"/>
                <w:bCs w:val="false"/>
                <w:i/>
                <w:iCs/>
                <w:caps w:val="false"/>
                <w:color w:val="4b5563"/>
                <w:sz w:val="15"/>
                <w:szCs w:val="15"/>
              </w:rPr>
              <w:t xml:space="preserve">Check for a risk-based prioritisation approach.</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Clinical pharmacy service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service description for an active clinical review function, distinct from dispensing.</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Review frequency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review frequency against patient complexity and risk.</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Communication pathway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how a pharmacist’s recommendation actually reaches and is considered by the prescribing team.</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Acceptance data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data or examples showing pharmacist recommendations are acted 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0tc50evapd2stwhjarnlu">
              <w:r>
                <w:rPr>
                  <w:rFonts w:ascii="Arial" w:cs="Arial" w:eastAsia="Arial" w:hAnsi="Arial"/>
                  <w:b/>
                  <w:bCs/>
                  <w:color w:val="c9a227"/>
                  <w:sz w:val="13"/>
                  <w:szCs w:val="13"/>
                  <w:u w:val="single"/>
                </w:rPr>
                <w:t xml:space="preserve">World Health Organization. Developing pharmacy practice: a focus on patient care. Geneva: WHO; 2006.</w:t>
              </w:r>
            </w:hyperlink>
            <w:r>
              <w:rPr>
                <w:rFonts w:ascii="Arial" w:cs="Arial" w:eastAsia="Arial" w:hAnsi="Arial"/>
                <w:b/>
                <w:bCs/>
                <w:i w:val="false"/>
                <w:iCs w:val="false"/>
                <w:caps w:val="false"/>
                <w:color w:val="6b778c"/>
                <w:sz w:val="13"/>
                <w:szCs w:val="13"/>
              </w:rPr>
              <w:t xml:space="preserve">   2. </w:t>
            </w:r>
            <w:hyperlink w:history="1" r:id="rIdkvbrradro7ftqsc93gptg">
              <w:r>
                <w:rPr>
                  <w:rFonts w:ascii="Arial" w:cs="Arial" w:eastAsia="Arial" w:hAnsi="Arial"/>
                  <w:b/>
                  <w:bCs/>
                  <w:color w:val="c9a227"/>
                  <w:sz w:val="13"/>
                  <w:szCs w:val="13"/>
                  <w:u w:val="single"/>
                </w:rPr>
                <w:t xml:space="preserve">International Pharmaceutical Federation. Statement of policy on clinical pharmacy services. The Hague: FIP; 2019.</w:t>
              </w:r>
            </w:hyperlink>
            <w:r>
              <w:rPr>
                <w:rFonts w:ascii="Arial" w:cs="Arial" w:eastAsia="Arial" w:hAnsi="Arial"/>
                <w:b/>
                <w:bCs/>
                <w:i w:val="false"/>
                <w:iCs w:val="false"/>
                <w:caps w:val="false"/>
                <w:color w:val="6b778c"/>
                <w:sz w:val="13"/>
                <w:szCs w:val="13"/>
              </w:rPr>
              <w:t xml:space="preserve">   3. </w:t>
            </w:r>
            <w:hyperlink w:history="1" r:id="rIdrikw63zx9fmxsvko-gphu">
              <w:r>
                <w:rPr>
                  <w:rFonts w:ascii="Arial" w:cs="Arial" w:eastAsia="Arial" w:hAnsi="Arial"/>
                  <w:b/>
                  <w:bCs/>
                  <w:color w:val="c9a227"/>
                  <w:sz w:val="13"/>
                  <w:szCs w:val="13"/>
                  <w:u w:val="single"/>
                </w:rPr>
                <w:t xml:space="preserve">Kaboli PJ, Hoth AB, McClimon BJ, Schnipper JL. Clinical pharmacists and inpatient medical care: a systematic review. Arch Intern Med. 2006;166(9):955-964.</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9.9</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9.9</w:t>
            </w:r>
            <w:r>
              <w:rPr>
                <w:rFonts w:ascii="Arial" w:cs="Arial" w:eastAsia="Arial" w:hAnsi="Arial"/>
                <w:b w:val="false"/>
                <w:bCs w:val="false"/>
                <w:i/>
                <w:iCs/>
                <w:caps w:val="false"/>
                <w:color w:val="8fa8c8"/>
                <w:sz w:val="10"/>
                <w:szCs w:val="10"/>
              </w:rPr>
              <w:t xml:space="preserve">  ·  Level 3  ·  Chapter 9: Pharmacy &amp; Medicines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20</w:t>
            </w:r>
          </w:p>
          <w:p>
            <w:pPr>
              <w:spacing w:after="36" w:before="0"/>
            </w:pPr>
            <w:r>
              <w:rPr>
                <w:rFonts w:ascii="Arial" w:cs="Arial" w:eastAsia="Arial" w:hAnsi="Arial"/>
                <w:b w:val="false"/>
                <w:bCs w:val="false"/>
                <w:i/>
                <w:iCs/>
                <w:caps w:val="false"/>
                <w:color w:val="8fa8c8"/>
                <w:sz w:val="9"/>
                <w:szCs w:val="9"/>
              </w:rPr>
              <w:t xml:space="preserve">ASF-CH9-PMM-v2.0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pharmacy that only dispenses what is prescribed, without a clinical pharmacist actively reviewing regimens for appropriateness, interactions, and dose optimisation, misses a significant proportion of medication problems that a prescriber under time pressure may not catch — a drug interaction across specialties, a dose that needs adjustment for declining renal function, an unnecessary duplication. Active clinical pharmacy review adds a second, differently trained set of eyes specifically focused on the medication regimen as a whole, not just each individual order in isolation.</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Kaboli et al. 2006 — clinical pharmacist participation in inpatient medical care is associated with significant reductions in adverse drug events and improved appropriateness of prescribing across multiple studies.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clinical pharmacist actively reviews inpatient medication regimens, beyond dispensing</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Review frequency is matched to patient risk, with more frequent review for complex patients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Pharmacist recommendations are communicated directly to the prescribing team</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meaningful proportion of pharmacist recommendations are acted on, with this tracked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Clinical pharmacy review is prioritised for high-risk patients, such as those with polypharmacy</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Pharmacy function is limited to dispensing, with no active clinical review</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Review, if it occurs, has no defined frequency related to patient risk</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Pharmacist findings are documented but not actively communicated to prescribers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data exists on whether pharmacist recommendations are acted 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risk-based prioritisation exists for clinical pharmacy attention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Clinical review happens but communication to the prescribing team is passive.</w:t>
            </w:r>
          </w:p>
          <w:p>
            <w:pPr>
              <w:spacing w:after="20" w:before="0"/>
            </w:pPr>
            <w:r>
              <w:rPr>
                <w:rFonts w:ascii="Arial" w:cs="Arial" w:eastAsia="Arial" w:hAnsi="Arial"/>
                <w:b w:val="false"/>
                <w:bCs w:val="false"/>
                <w:i/>
                <w:iCs/>
                <w:caps w:val="false"/>
                <w:color w:val="4b5563"/>
                <w:sz w:val="15"/>
                <w:szCs w:val="15"/>
              </w:rPr>
              <w:t xml:space="preserve">A pharmacist reviews regimens and notes concerns in the record, but there is no active step ensuring the prescriber actually sees and considers the recommendation.</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High-risk patients receive review, but coverage is inconsistent when pharmacy staffing is stretched.</w:t>
            </w:r>
          </w:p>
          <w:p>
            <w:pPr>
              <w:spacing w:after="20" w:before="0"/>
            </w:pPr>
            <w:r>
              <w:rPr>
                <w:rFonts w:ascii="Arial" w:cs="Arial" w:eastAsia="Arial" w:hAnsi="Arial"/>
                <w:b w:val="false"/>
                <w:bCs w:val="false"/>
                <w:i/>
                <w:iCs/>
                <w:caps w:val="false"/>
                <w:color w:val="4b5563"/>
                <w:sz w:val="15"/>
                <w:szCs w:val="15"/>
              </w:rPr>
              <w:t xml:space="preserve">Prioritisation logic exists and is sound in principle, but during periods of pharmacist shortage, even high-risk patients sometimes miss a review cycle.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Recommendations are made but acceptance is never tracked.</w:t>
            </w:r>
          </w:p>
          <w:p>
            <w:pPr>
              <w:spacing w:after="36" w:before="0"/>
            </w:pPr>
            <w:r>
              <w:rPr>
                <w:rFonts w:ascii="Arial" w:cs="Arial" w:eastAsia="Arial" w:hAnsi="Arial"/>
                <w:b w:val="false"/>
                <w:bCs w:val="false"/>
                <w:i/>
                <w:iCs/>
                <w:caps w:val="false"/>
                <w:color w:val="4b5563"/>
                <w:sz w:val="15"/>
                <w:szCs w:val="15"/>
              </w:rPr>
              <w:t xml:space="preserve">Pharmacists make clinical recommendations regularly, but no one monitors how often they are actually accepted and acted on by the prescribing team.</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establish a defined clinical pharmacy review function, distinct from dispensing.</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Set review frequency standards matched to patient risk and complexity.</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Establish a direct, active communication pathway from pharmacist recommendations to prescribers.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Begin tracking pharmacist recommendation acceptance as a quality indicator.</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Prioritise clinical pharmacy review for high-risk patients; review acceptance trends regularly.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how a pharmacist recommendation actually reaches a prescriber, step by step.  </w:t>
            </w:r>
            <w:r>
              <w:rPr>
                <w:rFonts w:ascii="Arial" w:cs="Arial" w:eastAsia="Arial" w:hAnsi="Arial"/>
                <w:b w:val="false"/>
                <w:bCs w:val="false"/>
                <w:i w:val="false"/>
                <w:iCs w:val="false"/>
                <w:caps w:val="false"/>
                <w:color w:val="374151"/>
                <w:sz w:val="16"/>
                <w:szCs w:val="16"/>
              </w:rPr>
              <w:t xml:space="preserve">A recommendation only documented passively in the record may never be seen or considered, however sound the underlying clinical judgement.</w:t>
            </w:r>
          </w:p>
          <w:p>
            <w:pPr>
              <w:spacing w:after="16" w:before="0"/>
            </w:pPr>
            <w:r>
              <w:rPr>
                <w:rFonts w:ascii="Arial" w:cs="Arial" w:eastAsia="Arial" w:hAnsi="Arial"/>
                <w:b/>
                <w:bCs/>
                <w:i w:val="false"/>
                <w:iCs w:val="false"/>
                <w:caps w:val="false"/>
                <w:color w:val="b91c1c"/>
                <w:sz w:val="15"/>
                <w:szCs w:val="15"/>
              </w:rPr>
              <w:t xml:space="preserve">Check review frequency for a genuinely complex, high-risk patient.  </w:t>
            </w:r>
            <w:r>
              <w:rPr>
                <w:rFonts w:ascii="Arial" w:cs="Arial" w:eastAsia="Arial" w:hAnsi="Arial"/>
                <w:b w:val="false"/>
                <w:bCs w:val="false"/>
                <w:i w:val="false"/>
                <w:iCs w:val="false"/>
                <w:caps w:val="false"/>
                <w:color w:val="374151"/>
                <w:sz w:val="16"/>
                <w:szCs w:val="16"/>
              </w:rPr>
              <w:t xml:space="preserve">This is the strongest test of whether risk-based prioritisation functions in practice, not only in policy.</w:t>
            </w:r>
          </w:p>
          <w:p>
            <w:pPr>
              <w:spacing w:after="36" w:before="0"/>
            </w:pPr>
            <w:r>
              <w:rPr>
                <w:rFonts w:ascii="Arial" w:cs="Arial" w:eastAsia="Arial" w:hAnsi="Arial"/>
                <w:b/>
                <w:bCs/>
                <w:i w:val="false"/>
                <w:iCs w:val="false"/>
                <w:caps w:val="false"/>
                <w:color w:val="b91c1c"/>
                <w:sz w:val="15"/>
                <w:szCs w:val="15"/>
              </w:rPr>
              <w:t xml:space="preserve">Ask for the recommendation acceptance rate, not just examples of acceptance.  </w:t>
            </w:r>
            <w:r>
              <w:rPr>
                <w:rFonts w:ascii="Arial" w:cs="Arial" w:eastAsia="Arial" w:hAnsi="Arial"/>
                <w:b w:val="false"/>
                <w:bCs w:val="false"/>
                <w:i w:val="false"/>
                <w:iCs w:val="false"/>
                <w:caps w:val="false"/>
                <w:color w:val="374151"/>
                <w:sz w:val="16"/>
                <w:szCs w:val="16"/>
              </w:rPr>
              <w:t xml:space="preserve">Aggregate data provides a more reliable picture than a small number of favourable anecdotes.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pi63hhoinfq3hxgui3n8c">
              <w:r>
                <w:rPr>
                  <w:rFonts w:ascii="Arial" w:cs="Arial" w:eastAsia="Arial" w:hAnsi="Arial"/>
                  <w:b/>
                  <w:bCs/>
                  <w:color w:val="c9a227"/>
                  <w:sz w:val="13"/>
                  <w:szCs w:val="13"/>
                  <w:u w:val="single"/>
                </w:rPr>
                <w:t xml:space="preserve">academy.gmj.ge/ch9-9-clinical-pharmacy-therapeutic-review</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9.10</w:t>
            </w:r>
            <w:r>
              <w:rPr>
                <w:rFonts w:ascii="Arial" w:cs="Arial" w:eastAsia="Arial" w:hAnsi="Arial"/>
                <w:b w:val="false"/>
                <w:bCs w:val="false"/>
                <w:i/>
                <w:iCs/>
                <w:caps w:val="false"/>
                <w:color w:val="8fa8c8"/>
                <w:sz w:val="10"/>
                <w:szCs w:val="10"/>
              </w:rPr>
              <w:t xml:space="preserve">  ·  Level 3  ·  Chapter 9: Pharmacy &amp; Medicines Management</w:t>
            </w:r>
          </w:p>
          <w:p>
            <w:pPr>
              <w:spacing w:after="36" w:before="0"/>
            </w:pPr>
            <w:r>
              <w:rPr>
                <w:rFonts w:ascii="Arial" w:cs="Arial" w:eastAsia="Arial" w:hAnsi="Arial"/>
                <w:b/>
                <w:bCs/>
                <w:i w:val="false"/>
                <w:iCs w:val="false"/>
                <w:caps w:val="false"/>
                <w:color w:val="dce8f5"/>
                <w:sz w:val="12"/>
                <w:szCs w:val="12"/>
              </w:rPr>
              <w:t xml:space="preserve">Formulary Management and Rational Use</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21</w:t>
            </w:r>
          </w:p>
          <w:p>
            <w:pPr>
              <w:spacing w:after="36" w:before="0"/>
            </w:pPr>
            <w:r>
              <w:rPr>
                <w:rFonts w:ascii="Arial" w:cs="Arial" w:eastAsia="Arial" w:hAnsi="Arial"/>
                <w:b w:val="false"/>
                <w:bCs w:val="false"/>
                <w:i/>
                <w:iCs/>
                <w:caps w:val="false"/>
                <w:color w:val="8fa8c8"/>
                <w:sz w:val="9"/>
                <w:szCs w:val="9"/>
              </w:rPr>
              <w:t xml:space="preserve">ASF-CH9-PMM-v2.0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9.10</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L3</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Formulary Management and Rational Use</w:t>
            </w:r>
          </w:p>
          <w:p>
            <w:pPr>
              <w:spacing w:after="36" w:before="0"/>
            </w:pPr>
            <w:r>
              <w:rPr>
                <w:rFonts w:ascii="Arial" w:cs="Arial" w:eastAsia="Arial" w:hAnsi="Arial"/>
                <w:b w:val="false"/>
                <w:bCs w:val="false"/>
                <w:i w:val="false"/>
                <w:iCs w:val="false"/>
                <w:caps w:val="false"/>
                <w:color w:val="4b5563"/>
                <w:sz w:val="15"/>
                <w:szCs w:val="15"/>
              </w:rPr>
              <w:t xml:space="preserve">The hospital maintains a managed formulary based on evidence and cost-effectiveness, with a defined process for adding or removing medications, and monitors prescribing patterns to promote rational medicine use.</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managed formulary, rather than unrestricted access to any medication a prescriber requests?</w:t>
            </w:r>
          </w:p>
          <w:p>
            <w:pPr>
              <w:spacing w:after="7" w:before="0"/>
            </w:pPr>
            <w:r>
              <w:rPr>
                <w:rFonts w:ascii="Arial" w:cs="Arial" w:eastAsia="Arial" w:hAnsi="Arial"/>
                <w:b w:val="false"/>
                <w:bCs w:val="false"/>
                <w:i/>
                <w:iCs/>
                <w:caps w:val="false"/>
                <w:color w:val="4b5563"/>
                <w:sz w:val="15"/>
                <w:szCs w:val="15"/>
              </w:rPr>
              <w:t xml:space="preserve">Check for a defined, maintained list rather than an open, unmanaged approach.</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Formulary document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process, including a pharmacy and therapeutics committee or equivalent, for adding or removing formulary medications?</w:t>
            </w:r>
          </w:p>
          <w:p>
            <w:pPr>
              <w:spacing w:after="7" w:before="0"/>
            </w:pPr>
            <w:r>
              <w:rPr>
                <w:rFonts w:ascii="Arial" w:cs="Arial" w:eastAsia="Arial" w:hAnsi="Arial"/>
                <w:b w:val="false"/>
                <w:bCs w:val="false"/>
                <w:i/>
                <w:iCs/>
                <w:caps w:val="false"/>
                <w:color w:val="4b5563"/>
                <w:sz w:val="15"/>
                <w:szCs w:val="15"/>
              </w:rPr>
              <w:t xml:space="preserve">Check the process is evidence-based and structured, not ad hoc.</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Formulary review process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non-formulary medication requests subject to a specific justification and approval process?</w:t>
            </w:r>
          </w:p>
          <w:p>
            <w:pPr>
              <w:spacing w:after="7" w:before="0"/>
            </w:pPr>
            <w:r>
              <w:rPr>
                <w:rFonts w:ascii="Arial" w:cs="Arial" w:eastAsia="Arial" w:hAnsi="Arial"/>
                <w:b w:val="false"/>
                <w:bCs w:val="false"/>
                <w:i/>
                <w:iCs/>
                <w:caps w:val="false"/>
                <w:color w:val="4b5563"/>
                <w:sz w:val="15"/>
                <w:szCs w:val="15"/>
              </w:rPr>
              <w:t xml:space="preserve">Check what happens when a prescriber requests a medication not on the formulary.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Non-formulary request process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prescribing patterns monitored to identify irrational or inappropriate use, such as unnecessary antibiotic or polypharmacy patterns?</w:t>
            </w:r>
          </w:p>
          <w:p>
            <w:pPr>
              <w:spacing w:after="7" w:before="0"/>
            </w:pPr>
            <w:r>
              <w:rPr>
                <w:rFonts w:ascii="Arial" w:cs="Arial" w:eastAsia="Arial" w:hAnsi="Arial"/>
                <w:b w:val="false"/>
                <w:bCs w:val="false"/>
                <w:i/>
                <w:iCs/>
                <w:caps w:val="false"/>
                <w:color w:val="4b5563"/>
                <w:sz w:val="15"/>
                <w:szCs w:val="15"/>
              </w:rPr>
              <w:t xml:space="preserve">Check for prescribing pattern data reviewed over time.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Prescribing pattern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the formulary process consider cost-effectiveness alongside clinical evidence?</w:t>
            </w:r>
          </w:p>
          <w:p>
            <w:pPr>
              <w:spacing w:after="36" w:before="0"/>
            </w:pPr>
            <w:r>
              <w:rPr>
                <w:rFonts w:ascii="Arial" w:cs="Arial" w:eastAsia="Arial" w:hAnsi="Arial"/>
                <w:b w:val="false"/>
                <w:bCs w:val="false"/>
                <w:i/>
                <w:iCs/>
                <w:caps w:val="false"/>
                <w:color w:val="4b5563"/>
                <w:sz w:val="15"/>
                <w:szCs w:val="15"/>
              </w:rPr>
              <w:t xml:space="preserve">Ask how a cost-effectiveness consideration factors into a formulary decision.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Formulary document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formulary for evidence of active management rather than unrestricted access.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Review process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formulary addition/removal process for a structured, evidence-based committee approach.</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Non-formulary request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what happens when a prescriber requests a medication not on the formulary.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Prescribing pattern data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data on prescribing patterns tracked over time to identify irrational or inappropriate use.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ubkga5mnzphmawufdqljq">
              <w:r>
                <w:rPr>
                  <w:rFonts w:ascii="Arial" w:cs="Arial" w:eastAsia="Arial" w:hAnsi="Arial"/>
                  <w:b/>
                  <w:bCs/>
                  <w:color w:val="c9a227"/>
                  <w:sz w:val="13"/>
                  <w:szCs w:val="13"/>
                  <w:u w:val="single"/>
                </w:rPr>
                <w:t xml:space="preserve">World Health Organization. WHO Model List of Essential Medicines. Geneva: WHO; 2023.</w:t>
              </w:r>
            </w:hyperlink>
            <w:r>
              <w:rPr>
                <w:rFonts w:ascii="Arial" w:cs="Arial" w:eastAsia="Arial" w:hAnsi="Arial"/>
                <w:b/>
                <w:bCs/>
                <w:i w:val="false"/>
                <w:iCs w:val="false"/>
                <w:caps w:val="false"/>
                <w:color w:val="6b778c"/>
                <w:sz w:val="13"/>
                <w:szCs w:val="13"/>
              </w:rPr>
              <w:t xml:space="preserve">   2. </w:t>
            </w:r>
            <w:hyperlink w:history="1" r:id="rId_j_inokfxvj3sjwxfnrly">
              <w:r>
                <w:rPr>
                  <w:rFonts w:ascii="Arial" w:cs="Arial" w:eastAsia="Arial" w:hAnsi="Arial"/>
                  <w:b/>
                  <w:bCs/>
                  <w:color w:val="c9a227"/>
                  <w:sz w:val="13"/>
                  <w:szCs w:val="13"/>
                  <w:u w:val="single"/>
                </w:rPr>
                <w:t xml:space="preserve">World Health Organization. Promoting rational use of medicines: core components. Geneva: WHO; 2002.</w:t>
              </w:r>
            </w:hyperlink>
            <w:r>
              <w:rPr>
                <w:rFonts w:ascii="Arial" w:cs="Arial" w:eastAsia="Arial" w:hAnsi="Arial"/>
                <w:b/>
                <w:bCs/>
                <w:i w:val="false"/>
                <w:iCs w:val="false"/>
                <w:caps w:val="false"/>
                <w:color w:val="6b778c"/>
                <w:sz w:val="13"/>
                <w:szCs w:val="13"/>
              </w:rPr>
              <w:t xml:space="preserve">   3. </w:t>
            </w:r>
            <w:hyperlink w:history="1" r:id="rIdewfggpm_z_prj9brsv-v8">
              <w:r>
                <w:rPr>
                  <w:rFonts w:ascii="Arial" w:cs="Arial" w:eastAsia="Arial" w:hAnsi="Arial"/>
                  <w:b/>
                  <w:bCs/>
                  <w:color w:val="c9a227"/>
                  <w:sz w:val="13"/>
                  <w:szCs w:val="13"/>
                  <w:u w:val="single"/>
                </w:rPr>
                <w:t xml:space="preserve">Management Sciences for Health. Managing access to medicines and health technologies. Arlington: MSH; 2012.</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9.10</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9.10</w:t>
            </w:r>
            <w:r>
              <w:rPr>
                <w:rFonts w:ascii="Arial" w:cs="Arial" w:eastAsia="Arial" w:hAnsi="Arial"/>
                <w:b w:val="false"/>
                <w:bCs w:val="false"/>
                <w:i/>
                <w:iCs/>
                <w:caps w:val="false"/>
                <w:color w:val="8fa8c8"/>
                <w:sz w:val="10"/>
                <w:szCs w:val="10"/>
              </w:rPr>
              <w:t xml:space="preserve">  ·  Level 3  ·  Chapter 9: Pharmacy &amp; Medicines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22</w:t>
            </w:r>
          </w:p>
          <w:p>
            <w:pPr>
              <w:spacing w:after="36" w:before="0"/>
            </w:pPr>
            <w:r>
              <w:rPr>
                <w:rFonts w:ascii="Arial" w:cs="Arial" w:eastAsia="Arial" w:hAnsi="Arial"/>
                <w:b w:val="false"/>
                <w:bCs w:val="false"/>
                <w:i/>
                <w:iCs/>
                <w:caps w:val="false"/>
                <w:color w:val="8fa8c8"/>
                <w:sz w:val="9"/>
                <w:szCs w:val="9"/>
              </w:rPr>
              <w:t xml:space="preserve">ASF-CH9-PMM-v2.0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An unmanaged formulary, where any prescriber can request essentially any medication without structured review, leads to unnecessary therapeutic duplication, higher costs without corresponding clinical benefit, and inconsistent prescribing that makes rational use difficult to monitor or improve. A managed formulary, grounded in evidence and cost-effectiveness with a structured review process, is what allows a hospital to actively steer prescribing toward medicines proven to work well, rather than simply accommodating whatever is requested.</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Promoting Rational Use of Medicines — a functioning pharmacy and therapeutics committee overseeing a managed formulary is identified as one of the core structural components most strongly associated with rational medicine use at the facility level.</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managed formulary exists, based on evidence and cost-effectiveness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structured process, involving a pharmacy and therapeutics committee or equivalent, governs formulary changes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Non-formulary medication requests require specific justification and approval</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Prescribing patterns are monitored over time to identify irrational or inappropriate use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Cost-effectiveness is explicitly considered alongside clinical evidence in formulary decisions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managed formulary exists; prescribers can request any medication without structured review</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Formulary changes happen without any structured, evidence-based process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Non-formulary requests are approved routinely without justification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Prescribing patterns are not monitored for irrational or inappropriate use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Formulary decisions consider only clinical evidence, or only cost, but not both together</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A formulary exists but the review process has become largely inactive.</w:t>
            </w:r>
          </w:p>
          <w:p>
            <w:pPr>
              <w:spacing w:after="20" w:before="0"/>
            </w:pPr>
            <w:r>
              <w:rPr>
                <w:rFonts w:ascii="Arial" w:cs="Arial" w:eastAsia="Arial" w:hAnsi="Arial"/>
                <w:b w:val="false"/>
                <w:bCs w:val="false"/>
                <w:i/>
                <w:iCs/>
                <w:caps w:val="false"/>
                <w:color w:val="4b5563"/>
                <w:sz w:val="15"/>
                <w:szCs w:val="15"/>
              </w:rPr>
              <w:t xml:space="preserve">A formulary document was established and is technically maintained, but the committee meant to review and update it meets rarely, if at all.</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Non-formulary requests require approval but the process is a formality.</w:t>
            </w:r>
          </w:p>
          <w:p>
            <w:pPr>
              <w:spacing w:after="20" w:before="0"/>
            </w:pPr>
            <w:r>
              <w:rPr>
                <w:rFonts w:ascii="Arial" w:cs="Arial" w:eastAsia="Arial" w:hAnsi="Arial"/>
                <w:b w:val="false"/>
                <w:bCs w:val="false"/>
                <w:i/>
                <w:iCs/>
                <w:caps w:val="false"/>
                <w:color w:val="4b5563"/>
                <w:sz w:val="15"/>
                <w:szCs w:val="15"/>
              </w:rPr>
              <w:t xml:space="preserve">A justification form exists for non-formulary requests, but approval is granted routinely without substantive review.</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Prescribing patterns are tracked for antibiotics but not more broadly.</w:t>
            </w:r>
          </w:p>
          <w:p>
            <w:pPr>
              <w:spacing w:after="36" w:before="0"/>
            </w:pPr>
            <w:r>
              <w:rPr>
                <w:rFonts w:ascii="Arial" w:cs="Arial" w:eastAsia="Arial" w:hAnsi="Arial"/>
                <w:b w:val="false"/>
                <w:bCs w:val="false"/>
                <w:i/>
                <w:iCs/>
                <w:caps w:val="false"/>
                <w:color w:val="4b5563"/>
                <w:sz w:val="15"/>
                <w:szCs w:val="15"/>
              </w:rPr>
              <w:t xml:space="preserve">Antimicrobial prescribing is monitored closely, reflecting stewardship priorities, but broader rational use monitoring across other medication categories is less developed.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the formulary is actively managed, with a defined, evidence-based process.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Confirm or reactivate the pharmacy and therapeutics committee or equivalent review function.</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Review the non-formulary request process for genuine, substantive justification and approval.</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or broaden prescribing pattern monitoring beyond antimicrobials to other medication categories.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Review formulary content and prescribing patterns regularly; ensure cost-effectiveness is considered alongside evidence.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when the formulary committee last met and what it decided.  </w:t>
            </w:r>
            <w:r>
              <w:rPr>
                <w:rFonts w:ascii="Arial" w:cs="Arial" w:eastAsia="Arial" w:hAnsi="Arial"/>
                <w:b w:val="false"/>
                <w:bCs w:val="false"/>
                <w:i w:val="false"/>
                <w:iCs w:val="false"/>
                <w:caps w:val="false"/>
                <w:color w:val="374151"/>
                <w:sz w:val="16"/>
                <w:szCs w:val="16"/>
              </w:rPr>
              <w:t xml:space="preserve">A specific, recent, substantive decision indicates an active process; vagueness suggests the committee exists mainly on paper.</w:t>
            </w:r>
          </w:p>
          <w:p>
            <w:pPr>
              <w:spacing w:after="16" w:before="0"/>
            </w:pPr>
            <w:r>
              <w:rPr>
                <w:rFonts w:ascii="Arial" w:cs="Arial" w:eastAsia="Arial" w:hAnsi="Arial"/>
                <w:b/>
                <w:bCs/>
                <w:i w:val="false"/>
                <w:iCs w:val="false"/>
                <w:caps w:val="false"/>
                <w:color w:val="b91c1c"/>
                <w:sz w:val="15"/>
                <w:szCs w:val="15"/>
              </w:rPr>
              <w:t xml:space="preserve">Ask for an example of a rejected non-formulary request.  </w:t>
            </w:r>
            <w:r>
              <w:rPr>
                <w:rFonts w:ascii="Arial" w:cs="Arial" w:eastAsia="Arial" w:hAnsi="Arial"/>
                <w:b w:val="false"/>
                <w:bCs w:val="false"/>
                <w:i w:val="false"/>
                <w:iCs w:val="false"/>
                <w:caps w:val="false"/>
                <w:color w:val="374151"/>
                <w:sz w:val="16"/>
                <w:szCs w:val="16"/>
              </w:rPr>
              <w:t xml:space="preserve">A process that has never actually declined a request may not be providing genuine oversight.</w:t>
            </w:r>
          </w:p>
          <w:p>
            <w:pPr>
              <w:spacing w:after="36" w:before="0"/>
            </w:pPr>
            <w:r>
              <w:rPr>
                <w:rFonts w:ascii="Arial" w:cs="Arial" w:eastAsia="Arial" w:hAnsi="Arial"/>
                <w:b/>
                <w:bCs/>
                <w:i w:val="false"/>
                <w:iCs w:val="false"/>
                <w:caps w:val="false"/>
                <w:color w:val="b91c1c"/>
                <w:sz w:val="15"/>
                <w:szCs w:val="15"/>
              </w:rPr>
              <w:t xml:space="preserve">Check prescribing pattern monitoring beyond antimicrobials.  </w:t>
            </w:r>
            <w:r>
              <w:rPr>
                <w:rFonts w:ascii="Arial" w:cs="Arial" w:eastAsia="Arial" w:hAnsi="Arial"/>
                <w:b w:val="false"/>
                <w:bCs w:val="false"/>
                <w:i w:val="false"/>
                <w:iCs w:val="false"/>
                <w:caps w:val="false"/>
                <w:color w:val="374151"/>
                <w:sz w:val="16"/>
                <w:szCs w:val="16"/>
              </w:rPr>
              <w:t xml:space="preserve">Antibiotic stewardship often receives focused attention while broader rational use monitoring across other medication categories lags behind.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ojtnajo4edu7-5xi2g75a">
              <w:r>
                <w:rPr>
                  <w:rFonts w:ascii="Arial" w:cs="Arial" w:eastAsia="Arial" w:hAnsi="Arial"/>
                  <w:b/>
                  <w:bCs/>
                  <w:color w:val="c9a227"/>
                  <w:sz w:val="13"/>
                  <w:szCs w:val="13"/>
                  <w:u w:val="single"/>
                </w:rPr>
                <w:t xml:space="preserve">academy.gmj.ge/ch9-10-formulary-management-rational-use</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9: PMM  —  COMBINED REFERENCES</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Vancouver Style  |  30</w:t>
            </w:r>
          </w:p>
          <w:p>
            <w:pPr>
              <w:spacing w:after="36" w:before="0"/>
            </w:pPr>
            <w:r>
              <w:rPr>
                <w:rFonts w:ascii="Arial" w:cs="Arial" w:eastAsia="Arial" w:hAnsi="Arial"/>
                <w:b w:val="false"/>
                <w:bCs w:val="false"/>
                <w:i/>
                <w:iCs/>
                <w:caps w:val="false"/>
                <w:color w:val="6b778c"/>
                <w:sz w:val="11"/>
                <w:szCs w:val="11"/>
              </w:rPr>
              <w:t xml:space="preserve">citations  |  Version 2.0</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REFERENCES</w:t>
            </w:r>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9.1 — Medication Storage and Security</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Guidelines for the storage of essential medicines and other health commodities. Geneva: WHO; 2003.</w:t>
            </w:r>
          </w:p>
          <w:p>
            <w:pPr>
              <w:spacing w:after="36" w:before="0"/>
            </w:pPr>
            <w:r>
              <w:rPr>
                <w:rFonts w:ascii="Arial" w:cs="Arial" w:eastAsia="Arial" w:hAnsi="Arial"/>
                <w:b/>
                <w:bCs/>
                <w:i w:val="false"/>
                <w:iCs w:val="false"/>
                <w:caps w:val="false"/>
                <w:color w:val="6b778c"/>
                <w:sz w:val="12"/>
                <w:szCs w:val="12"/>
              </w:rPr>
              <w:t xml:space="preserve">URL: </w:t>
            </w:r>
            <w:hyperlink w:history="1" r:id="rId8uy3tsty2hdhe6l0xxbma">
              <w:r>
                <w:rPr>
                  <w:rFonts w:ascii="Arial" w:cs="Arial" w:eastAsia="Arial" w:hAnsi="Arial"/>
                  <w:b/>
                  <w:bCs/>
                  <w:color w:val="c9a227"/>
                  <w:sz w:val="12"/>
                  <w:szCs w:val="12"/>
                  <w:u w:val="single"/>
                </w:rPr>
                <w:t xml:space="preserve">https://www.who.int/publications/i/item/9789241593727</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Pharmaceutical Federation. Good Pharmacy Practice guidelines. The Hague: FIP; 2020.</w:t>
            </w:r>
          </w:p>
          <w:p>
            <w:pPr>
              <w:spacing w:after="36" w:before="0"/>
            </w:pPr>
            <w:r>
              <w:rPr>
                <w:rFonts w:ascii="Arial" w:cs="Arial" w:eastAsia="Arial" w:hAnsi="Arial"/>
                <w:b/>
                <w:bCs/>
                <w:i w:val="false"/>
                <w:iCs w:val="false"/>
                <w:caps w:val="false"/>
                <w:color w:val="6b778c"/>
                <w:sz w:val="12"/>
                <w:szCs w:val="12"/>
              </w:rPr>
              <w:t xml:space="preserve">URL: </w:t>
            </w:r>
            <w:hyperlink w:history="1" r:id="rIdmckcfhnqljvri8wwv7nxa">
              <w:r>
                <w:rPr>
                  <w:rFonts w:ascii="Arial" w:cs="Arial" w:eastAsia="Arial" w:hAnsi="Arial"/>
                  <w:b/>
                  <w:bCs/>
                  <w:color w:val="c9a227"/>
                  <w:sz w:val="12"/>
                  <w:szCs w:val="12"/>
                  <w:u w:val="single"/>
                </w:rPr>
                <w:t xml:space="preserve">https://www.fip.org/good-pharmacy-practice</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Institute for Safe Medication Practices. Guidelines for safe storage of medications. Horsham: ISMP; 2019.</w:t>
            </w:r>
          </w:p>
          <w:p>
            <w:pPr>
              <w:spacing w:after="36" w:before="0"/>
            </w:pPr>
            <w:r>
              <w:rPr>
                <w:rFonts w:ascii="Arial" w:cs="Arial" w:eastAsia="Arial" w:hAnsi="Arial"/>
                <w:b/>
                <w:bCs/>
                <w:i w:val="false"/>
                <w:iCs w:val="false"/>
                <w:caps w:val="false"/>
                <w:color w:val="6b778c"/>
                <w:sz w:val="12"/>
                <w:szCs w:val="12"/>
              </w:rPr>
              <w:t xml:space="preserve">URL: </w:t>
            </w:r>
            <w:hyperlink w:history="1" r:id="rIdriylh6yzz2hwt-gko5lfb">
              <w:r>
                <w:rPr>
                  <w:rFonts w:ascii="Arial" w:cs="Arial" w:eastAsia="Arial" w:hAnsi="Arial"/>
                  <w:b/>
                  <w:bCs/>
                  <w:color w:val="c9a227"/>
                  <w:sz w:val="12"/>
                  <w:szCs w:val="12"/>
                  <w:u w:val="single"/>
                </w:rPr>
                <w:t xml:space="preserve">https://www.ismp.org/guidelines</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9.2 — High-Alert Medication Management</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Institute for Safe Medication Practices. List of high-alert medications in acute care settings. Horsham: ISMP; 2018.</w:t>
            </w:r>
          </w:p>
          <w:p>
            <w:pPr>
              <w:spacing w:after="36" w:before="0"/>
            </w:pPr>
            <w:r>
              <w:rPr>
                <w:rFonts w:ascii="Arial" w:cs="Arial" w:eastAsia="Arial" w:hAnsi="Arial"/>
                <w:b/>
                <w:bCs/>
                <w:i w:val="false"/>
                <w:iCs w:val="false"/>
                <w:caps w:val="false"/>
                <w:color w:val="6b778c"/>
                <w:sz w:val="12"/>
                <w:szCs w:val="12"/>
              </w:rPr>
              <w:t xml:space="preserve">URL: </w:t>
            </w:r>
            <w:hyperlink w:history="1" r:id="rIdkujoizbqr9ibmyxkcfy01">
              <w:r>
                <w:rPr>
                  <w:rFonts w:ascii="Arial" w:cs="Arial" w:eastAsia="Arial" w:hAnsi="Arial"/>
                  <w:b/>
                  <w:bCs/>
                  <w:color w:val="c9a227"/>
                  <w:sz w:val="12"/>
                  <w:szCs w:val="12"/>
                  <w:u w:val="single"/>
                </w:rPr>
                <w:t xml:space="preserve">https://www.ismp.org/recommendations/high-alert-medications-acute-list</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Medication Without Harm: WHO Global Patient Safety Challenge. Geneva: WHO; 2017.</w:t>
            </w:r>
          </w:p>
          <w:p>
            <w:pPr>
              <w:spacing w:after="36" w:before="0"/>
            </w:pPr>
            <w:r>
              <w:rPr>
                <w:rFonts w:ascii="Arial" w:cs="Arial" w:eastAsia="Arial" w:hAnsi="Arial"/>
                <w:b/>
                <w:bCs/>
                <w:i w:val="false"/>
                <w:iCs w:val="false"/>
                <w:caps w:val="false"/>
                <w:color w:val="6b778c"/>
                <w:sz w:val="12"/>
                <w:szCs w:val="12"/>
              </w:rPr>
              <w:t xml:space="preserve">URL: </w:t>
            </w:r>
            <w:hyperlink w:history="1" r:id="rIdwoyzhcstxfdcddphbeml1">
              <w:r>
                <w:rPr>
                  <w:rFonts w:ascii="Arial" w:cs="Arial" w:eastAsia="Arial" w:hAnsi="Arial"/>
                  <w:b/>
                  <w:bCs/>
                  <w:color w:val="c9a227"/>
                  <w:sz w:val="12"/>
                  <w:szCs w:val="12"/>
                  <w:u w:val="single"/>
                </w:rPr>
                <w:t xml:space="preserve">https://www.who.int/initiatives/medication-without-harm</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Joint Commission International. International Patient Safety Goals — Standards for Hospitals. Oak Brook: JCI; 2020.</w:t>
            </w:r>
          </w:p>
          <w:p>
            <w:pPr>
              <w:spacing w:after="36" w:before="0"/>
            </w:pPr>
            <w:r>
              <w:rPr>
                <w:rFonts w:ascii="Arial" w:cs="Arial" w:eastAsia="Arial" w:hAnsi="Arial"/>
                <w:b/>
                <w:bCs/>
                <w:i w:val="false"/>
                <w:iCs w:val="false"/>
                <w:caps w:val="false"/>
                <w:color w:val="6b778c"/>
                <w:sz w:val="12"/>
                <w:szCs w:val="12"/>
              </w:rPr>
              <w:t xml:space="preserve">URL: </w:t>
            </w:r>
            <w:hyperlink w:history="1" r:id="rIdzgaodgjwayct1qtxmn8am">
              <w:r>
                <w:rPr>
                  <w:rFonts w:ascii="Arial" w:cs="Arial" w:eastAsia="Arial" w:hAnsi="Arial"/>
                  <w:b/>
                  <w:bCs/>
                  <w:color w:val="c9a227"/>
                  <w:sz w:val="12"/>
                  <w:szCs w:val="12"/>
                  <w:u w:val="single"/>
                </w:rPr>
                <w:t xml:space="preserve">https://www.jointcommissioninternational.org</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9.3 — Medication Reconciliation on Admission and Discharge</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Medication Without Harm: WHO Global Patient Safety Challenge (transitions of care provisions). Geneva: WHO; 2017.</w:t>
            </w:r>
          </w:p>
          <w:p>
            <w:pPr>
              <w:spacing w:after="36" w:before="0"/>
            </w:pPr>
            <w:r>
              <w:rPr>
                <w:rFonts w:ascii="Arial" w:cs="Arial" w:eastAsia="Arial" w:hAnsi="Arial"/>
                <w:b/>
                <w:bCs/>
                <w:i w:val="false"/>
                <w:iCs w:val="false"/>
                <w:caps w:val="false"/>
                <w:color w:val="6b778c"/>
                <w:sz w:val="12"/>
                <w:szCs w:val="12"/>
              </w:rPr>
              <w:t xml:space="preserve">URL: </w:t>
            </w:r>
            <w:hyperlink w:history="1" r:id="rIdtqcyysxppeqhvapi4x1hi">
              <w:r>
                <w:rPr>
                  <w:rFonts w:ascii="Arial" w:cs="Arial" w:eastAsia="Arial" w:hAnsi="Arial"/>
                  <w:b/>
                  <w:bCs/>
                  <w:color w:val="c9a227"/>
                  <w:sz w:val="12"/>
                  <w:szCs w:val="12"/>
                  <w:u w:val="single"/>
                </w:rPr>
                <w:t xml:space="preserve">https://www.who.int/initiatives/medication-without-harm</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Institute for Healthcare Improvement. How-to guide: prevent adverse drug events by implementing medication reconciliation. Boston: IHI; 2011.</w:t>
            </w:r>
          </w:p>
          <w:p>
            <w:pPr>
              <w:spacing w:after="36" w:before="0"/>
            </w:pPr>
            <w:r>
              <w:rPr>
                <w:rFonts w:ascii="Arial" w:cs="Arial" w:eastAsia="Arial" w:hAnsi="Arial"/>
                <w:b/>
                <w:bCs/>
                <w:i w:val="false"/>
                <w:iCs w:val="false"/>
                <w:caps w:val="false"/>
                <w:color w:val="6b778c"/>
                <w:sz w:val="12"/>
                <w:szCs w:val="12"/>
              </w:rPr>
              <w:t xml:space="preserve">URL: </w:t>
            </w:r>
            <w:hyperlink w:history="1" r:id="rId1jk-8ingbx9hbstmrnbah">
              <w:r>
                <w:rPr>
                  <w:rFonts w:ascii="Arial" w:cs="Arial" w:eastAsia="Arial" w:hAnsi="Arial"/>
                  <w:b/>
                  <w:bCs/>
                  <w:color w:val="c9a227"/>
                  <w:sz w:val="12"/>
                  <w:szCs w:val="12"/>
                  <w:u w:val="single"/>
                </w:rPr>
                <w:t xml:space="preserve">http://www.ihi.org/resources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Mueller SK, Sponsler KC, Kripalani S, Schnipper JL. Hospital-based medication reconciliation practices: a systematic review. Arch Intern Med. 2012;172(14):1057-1069.</w:t>
            </w:r>
          </w:p>
          <w:p>
            <w:pPr>
              <w:spacing w:after="36" w:before="0"/>
            </w:pPr>
            <w:r>
              <w:rPr>
                <w:rFonts w:ascii="Arial" w:cs="Arial" w:eastAsia="Arial" w:hAnsi="Arial"/>
                <w:b/>
                <w:bCs/>
                <w:i w:val="false"/>
                <w:iCs w:val="false"/>
                <w:caps w:val="false"/>
                <w:color w:val="6b778c"/>
                <w:sz w:val="12"/>
                <w:szCs w:val="12"/>
              </w:rPr>
              <w:t xml:space="preserve">URL: </w:t>
            </w:r>
            <w:hyperlink w:history="1" r:id="rIdhqz7xantlmrnzmlonagca">
              <w:r>
                <w:rPr>
                  <w:rFonts w:ascii="Arial" w:cs="Arial" w:eastAsia="Arial" w:hAnsi="Arial"/>
                  <w:b/>
                  <w:bCs/>
                  <w:color w:val="c9a227"/>
                  <w:sz w:val="12"/>
                  <w:szCs w:val="12"/>
                  <w:u w:val="single"/>
                </w:rPr>
                <w:t xml:space="preserve">https://doi.org/10.1001/archinternmed.2012.2246</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9.4 — Dispensing Accuracy and Verification</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Medication Without Harm: WHO Global Patient Safety Challenge. Geneva: WHO; 2017.</w:t>
            </w:r>
          </w:p>
          <w:p>
            <w:pPr>
              <w:spacing w:after="36" w:before="0"/>
            </w:pPr>
            <w:r>
              <w:rPr>
                <w:rFonts w:ascii="Arial" w:cs="Arial" w:eastAsia="Arial" w:hAnsi="Arial"/>
                <w:b/>
                <w:bCs/>
                <w:i w:val="false"/>
                <w:iCs w:val="false"/>
                <w:caps w:val="false"/>
                <w:color w:val="6b778c"/>
                <w:sz w:val="12"/>
                <w:szCs w:val="12"/>
              </w:rPr>
              <w:t xml:space="preserve">URL: </w:t>
            </w:r>
            <w:hyperlink w:history="1" r:id="rIdz4syqe6vagmaq-pxwnhu4">
              <w:r>
                <w:rPr>
                  <w:rFonts w:ascii="Arial" w:cs="Arial" w:eastAsia="Arial" w:hAnsi="Arial"/>
                  <w:b/>
                  <w:bCs/>
                  <w:color w:val="c9a227"/>
                  <w:sz w:val="12"/>
                  <w:szCs w:val="12"/>
                  <w:u w:val="single"/>
                </w:rPr>
                <w:t xml:space="preserve">https://www.who.int/initiatives/medication-without-harm</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American Society of Health-System Pharmacists. ASHP Guidelines on Preventing Medication Errors in Pharmacies. Bethesda: ASHP; 2018.</w:t>
            </w:r>
          </w:p>
          <w:p>
            <w:pPr>
              <w:spacing w:after="36" w:before="0"/>
            </w:pPr>
            <w:r>
              <w:rPr>
                <w:rFonts w:ascii="Arial" w:cs="Arial" w:eastAsia="Arial" w:hAnsi="Arial"/>
                <w:b/>
                <w:bCs/>
                <w:i w:val="false"/>
                <w:iCs w:val="false"/>
                <w:caps w:val="false"/>
                <w:color w:val="6b778c"/>
                <w:sz w:val="12"/>
                <w:szCs w:val="12"/>
              </w:rPr>
              <w:t xml:space="preserve">URL: </w:t>
            </w:r>
            <w:hyperlink w:history="1" r:id="rId6kuvlnahoeq5ghrm9-kj2">
              <w:r>
                <w:rPr>
                  <w:rFonts w:ascii="Arial" w:cs="Arial" w:eastAsia="Arial" w:hAnsi="Arial"/>
                  <w:b/>
                  <w:bCs/>
                  <w:color w:val="c9a227"/>
                  <w:sz w:val="12"/>
                  <w:szCs w:val="12"/>
                  <w:u w:val="single"/>
                </w:rPr>
                <w:t xml:space="preserve">https://www.ashp.org/pharmacy-practice/policy-positions-and-guidelines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Institute for Safe Medication Practices. Guidelines for the safe use of automated dispensing cabinets. Horsham: ISMP; 2019.</w:t>
            </w:r>
          </w:p>
          <w:p>
            <w:pPr>
              <w:spacing w:after="36" w:before="0"/>
            </w:pPr>
            <w:r>
              <w:rPr>
                <w:rFonts w:ascii="Arial" w:cs="Arial" w:eastAsia="Arial" w:hAnsi="Arial"/>
                <w:b/>
                <w:bCs/>
                <w:i w:val="false"/>
                <w:iCs w:val="false"/>
                <w:caps w:val="false"/>
                <w:color w:val="6b778c"/>
                <w:sz w:val="12"/>
                <w:szCs w:val="12"/>
              </w:rPr>
              <w:t xml:space="preserve">URL: </w:t>
            </w:r>
            <w:hyperlink w:history="1" r:id="rIdtrdjmabyqanb1zuxoqkkz">
              <w:r>
                <w:rPr>
                  <w:rFonts w:ascii="Arial" w:cs="Arial" w:eastAsia="Arial" w:hAnsi="Arial"/>
                  <w:b/>
                  <w:bCs/>
                  <w:color w:val="c9a227"/>
                  <w:sz w:val="12"/>
                  <w:szCs w:val="12"/>
                  <w:u w:val="single"/>
                </w:rPr>
                <w:t xml:space="preserve">https://www.ismp.org/guidelines</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9.5 — Controlled Drugs Management</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Guidelines for the psychosocially assisted pharmacological treatment of opioid dependence (controlled substance management provisions). Geneva: WHO; 2009.</w:t>
            </w:r>
          </w:p>
          <w:p>
            <w:pPr>
              <w:spacing w:after="36" w:before="0"/>
            </w:pPr>
            <w:r>
              <w:rPr>
                <w:rFonts w:ascii="Arial" w:cs="Arial" w:eastAsia="Arial" w:hAnsi="Arial"/>
                <w:b/>
                <w:bCs/>
                <w:i w:val="false"/>
                <w:iCs w:val="false"/>
                <w:caps w:val="false"/>
                <w:color w:val="6b778c"/>
                <w:sz w:val="12"/>
                <w:szCs w:val="12"/>
              </w:rPr>
              <w:t xml:space="preserve">URL: </w:t>
            </w:r>
            <w:hyperlink w:history="1" r:id="rIdurc5kj8gejujhbwdvckt_">
              <w:r>
                <w:rPr>
                  <w:rFonts w:ascii="Arial" w:cs="Arial" w:eastAsia="Arial" w:hAnsi="Arial"/>
                  <w:b/>
                  <w:bCs/>
                  <w:color w:val="c9a227"/>
                  <w:sz w:val="12"/>
                  <w:szCs w:val="12"/>
                  <w:u w:val="single"/>
                </w:rPr>
                <w:t xml:space="preserve">https://www.who.int/publications/i/item/9789241547543</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Narcotics Control Board. Guidelines for national controlled substances legislation and administration. Vienna: INCB; 2019.</w:t>
            </w:r>
          </w:p>
          <w:p>
            <w:pPr>
              <w:spacing w:after="36" w:before="0"/>
            </w:pPr>
            <w:r>
              <w:rPr>
                <w:rFonts w:ascii="Arial" w:cs="Arial" w:eastAsia="Arial" w:hAnsi="Arial"/>
                <w:b/>
                <w:bCs/>
                <w:i w:val="false"/>
                <w:iCs w:val="false"/>
                <w:caps w:val="false"/>
                <w:color w:val="6b778c"/>
                <w:sz w:val="12"/>
                <w:szCs w:val="12"/>
              </w:rPr>
              <w:t xml:space="preserve">URL: </w:t>
            </w:r>
            <w:hyperlink w:history="1" r:id="rIdg9kz6qypwjqr_uh90tqvy">
              <w:r>
                <w:rPr>
                  <w:rFonts w:ascii="Arial" w:cs="Arial" w:eastAsia="Arial" w:hAnsi="Arial"/>
                  <w:b/>
                  <w:bCs/>
                  <w:color w:val="c9a227"/>
                  <w:sz w:val="12"/>
                  <w:szCs w:val="12"/>
                  <w:u w:val="single"/>
                </w:rPr>
                <w:t xml:space="preserve">https://www.incb.org</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Access to controlled medications programme. Geneva: WHO; 2011.</w:t>
            </w:r>
          </w:p>
          <w:p>
            <w:pPr>
              <w:spacing w:after="36" w:before="0"/>
            </w:pPr>
            <w:r>
              <w:rPr>
                <w:rFonts w:ascii="Arial" w:cs="Arial" w:eastAsia="Arial" w:hAnsi="Arial"/>
                <w:b/>
                <w:bCs/>
                <w:i w:val="false"/>
                <w:iCs w:val="false"/>
                <w:caps w:val="false"/>
                <w:color w:val="6b778c"/>
                <w:sz w:val="12"/>
                <w:szCs w:val="12"/>
              </w:rPr>
              <w:t xml:space="preserve">URL: </w:t>
            </w:r>
            <w:hyperlink w:history="1" r:id="rIdehed29rjgovnnl_1icmmk">
              <w:r>
                <w:rPr>
                  <w:rFonts w:ascii="Arial" w:cs="Arial" w:eastAsia="Arial" w:hAnsi="Arial"/>
                  <w:b/>
                  <w:bCs/>
                  <w:color w:val="c9a227"/>
                  <w:sz w:val="12"/>
                  <w:szCs w:val="12"/>
                  <w:u w:val="single"/>
                </w:rPr>
                <w:t xml:space="preserve">https://www.who.int/teams/mental-health-and-substance-use</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9.6 — Adverse Drug Event Reporting</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Safety monitoring of medicinal products: guidelines for setting up and running a pharmacovigilance centre. Geneva: WHO; 2000.</w:t>
            </w:r>
          </w:p>
          <w:p>
            <w:pPr>
              <w:spacing w:after="36" w:before="0"/>
            </w:pPr>
            <w:r>
              <w:rPr>
                <w:rFonts w:ascii="Arial" w:cs="Arial" w:eastAsia="Arial" w:hAnsi="Arial"/>
                <w:b/>
                <w:bCs/>
                <w:i w:val="false"/>
                <w:iCs w:val="false"/>
                <w:caps w:val="false"/>
                <w:color w:val="6b778c"/>
                <w:sz w:val="12"/>
                <w:szCs w:val="12"/>
              </w:rPr>
              <w:t xml:space="preserve">URL: </w:t>
            </w:r>
            <w:hyperlink w:history="1" r:id="rIdbqgwlhuyd7v0m61fg9grq">
              <w:r>
                <w:rPr>
                  <w:rFonts w:ascii="Arial" w:cs="Arial" w:eastAsia="Arial" w:hAnsi="Arial"/>
                  <w:b/>
                  <w:bCs/>
                  <w:color w:val="c9a227"/>
                  <w:sz w:val="12"/>
                  <w:szCs w:val="12"/>
                  <w:u w:val="single"/>
                </w:rPr>
                <w:t xml:space="preserve">https://www.who.int/publications/i/item/9241545100</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Medication Without Harm: WHO Global Patient Safety Challenge. Geneva: WHO; 2017.</w:t>
            </w:r>
          </w:p>
          <w:p>
            <w:pPr>
              <w:spacing w:after="36" w:before="0"/>
            </w:pPr>
            <w:r>
              <w:rPr>
                <w:rFonts w:ascii="Arial" w:cs="Arial" w:eastAsia="Arial" w:hAnsi="Arial"/>
                <w:b/>
                <w:bCs/>
                <w:i w:val="false"/>
                <w:iCs w:val="false"/>
                <w:caps w:val="false"/>
                <w:color w:val="6b778c"/>
                <w:sz w:val="12"/>
                <w:szCs w:val="12"/>
              </w:rPr>
              <w:t xml:space="preserve">URL: </w:t>
            </w:r>
            <w:hyperlink w:history="1" r:id="rIdxypo_xgvwdv0tftxltytz">
              <w:r>
                <w:rPr>
                  <w:rFonts w:ascii="Arial" w:cs="Arial" w:eastAsia="Arial" w:hAnsi="Arial"/>
                  <w:b/>
                  <w:bCs/>
                  <w:color w:val="c9a227"/>
                  <w:sz w:val="12"/>
                  <w:szCs w:val="12"/>
                  <w:u w:val="single"/>
                </w:rPr>
                <w:t xml:space="preserve">https://www.who.int/initiatives/medication-without-harm</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Institute for Safe Medication Practices. National Vaccine Errors Reporting Program and adverse event reporting principles. Horsham: ISMP; 2020.</w:t>
            </w:r>
          </w:p>
          <w:p>
            <w:pPr>
              <w:spacing w:after="36" w:before="0"/>
            </w:pPr>
            <w:r>
              <w:rPr>
                <w:rFonts w:ascii="Arial" w:cs="Arial" w:eastAsia="Arial" w:hAnsi="Arial"/>
                <w:b/>
                <w:bCs/>
                <w:i w:val="false"/>
                <w:iCs w:val="false"/>
                <w:caps w:val="false"/>
                <w:color w:val="6b778c"/>
                <w:sz w:val="12"/>
                <w:szCs w:val="12"/>
              </w:rPr>
              <w:t xml:space="preserve">URL: </w:t>
            </w:r>
            <w:hyperlink w:history="1" r:id="rIdm-an-wxekjojw43tu-mn4">
              <w:r>
                <w:rPr>
                  <w:rFonts w:ascii="Arial" w:cs="Arial" w:eastAsia="Arial" w:hAnsi="Arial"/>
                  <w:b/>
                  <w:bCs/>
                  <w:color w:val="c9a227"/>
                  <w:sz w:val="12"/>
                  <w:szCs w:val="12"/>
                  <w:u w:val="single"/>
                </w:rPr>
                <w:t xml:space="preserve">https://www.ismp.org</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9.7 — Pharmacy Cold Chain and Vaccine Storage</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WHO/UNICEF joint statement on effective vaccine management. Geneva: WHO; 2018.</w:t>
            </w:r>
          </w:p>
          <w:p>
            <w:pPr>
              <w:spacing w:after="36" w:before="0"/>
            </w:pPr>
            <w:r>
              <w:rPr>
                <w:rFonts w:ascii="Arial" w:cs="Arial" w:eastAsia="Arial" w:hAnsi="Arial"/>
                <w:b/>
                <w:bCs/>
                <w:i w:val="false"/>
                <w:iCs w:val="false"/>
                <w:caps w:val="false"/>
                <w:color w:val="6b778c"/>
                <w:sz w:val="12"/>
                <w:szCs w:val="12"/>
              </w:rPr>
              <w:t xml:space="preserve">URL: </w:t>
            </w:r>
            <w:hyperlink w:history="1" r:id="rIdl1hsafsc1exhxyiv2thol">
              <w:r>
                <w:rPr>
                  <w:rFonts w:ascii="Arial" w:cs="Arial" w:eastAsia="Arial" w:hAnsi="Arial"/>
                  <w:b/>
                  <w:bCs/>
                  <w:color w:val="c9a227"/>
                  <w:sz w:val="12"/>
                  <w:szCs w:val="12"/>
                  <w:u w:val="single"/>
                </w:rPr>
                <w:t xml:space="preserve">https://www.who.int/publications/i/item/effective-vaccine-management</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Guidelines on the international packaging and shipping of vaccines. Geneva: WHO; 2005.</w:t>
            </w:r>
          </w:p>
          <w:p>
            <w:pPr>
              <w:spacing w:after="36" w:before="0"/>
            </w:pPr>
            <w:r>
              <w:rPr>
                <w:rFonts w:ascii="Arial" w:cs="Arial" w:eastAsia="Arial" w:hAnsi="Arial"/>
                <w:b/>
                <w:bCs/>
                <w:i w:val="false"/>
                <w:iCs w:val="false"/>
                <w:caps w:val="false"/>
                <w:color w:val="6b778c"/>
                <w:sz w:val="12"/>
                <w:szCs w:val="12"/>
              </w:rPr>
              <w:t xml:space="preserve">URL: </w:t>
            </w:r>
            <w:hyperlink w:history="1" r:id="rIdwplqu2yi8cvkl4xmhvpim">
              <w:r>
                <w:rPr>
                  <w:rFonts w:ascii="Arial" w:cs="Arial" w:eastAsia="Arial" w:hAnsi="Arial"/>
                  <w:b/>
                  <w:bCs/>
                  <w:color w:val="c9a227"/>
                  <w:sz w:val="12"/>
                  <w:szCs w:val="12"/>
                  <w:u w:val="single"/>
                </w:rPr>
                <w:t xml:space="preserve">https://www.who.int/publications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Pan American Health Organization. Cold chain guidelines for immunization programmes. Washington DC: PAHO; 2019.</w:t>
            </w:r>
          </w:p>
          <w:p>
            <w:pPr>
              <w:spacing w:after="36" w:before="0"/>
            </w:pPr>
            <w:r>
              <w:rPr>
                <w:rFonts w:ascii="Arial" w:cs="Arial" w:eastAsia="Arial" w:hAnsi="Arial"/>
                <w:b/>
                <w:bCs/>
                <w:i w:val="false"/>
                <w:iCs w:val="false"/>
                <w:caps w:val="false"/>
                <w:color w:val="6b778c"/>
                <w:sz w:val="12"/>
                <w:szCs w:val="12"/>
              </w:rPr>
              <w:t xml:space="preserve">URL: </w:t>
            </w:r>
            <w:hyperlink w:history="1" r:id="rIdg6t6axydbfwfqb1ichy1d">
              <w:r>
                <w:rPr>
                  <w:rFonts w:ascii="Arial" w:cs="Arial" w:eastAsia="Arial" w:hAnsi="Arial"/>
                  <w:b/>
                  <w:bCs/>
                  <w:color w:val="c9a227"/>
                  <w:sz w:val="12"/>
                  <w:szCs w:val="12"/>
                  <w:u w:val="single"/>
                </w:rPr>
                <w:t xml:space="preserve">https://www.paho.org</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9.8 — Medication Error Review and Learning</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Medication Without Harm: WHO Global Patient Safety Challenge. Geneva: WHO; 2017.</w:t>
            </w:r>
          </w:p>
          <w:p>
            <w:pPr>
              <w:spacing w:after="36" w:before="0"/>
            </w:pPr>
            <w:r>
              <w:rPr>
                <w:rFonts w:ascii="Arial" w:cs="Arial" w:eastAsia="Arial" w:hAnsi="Arial"/>
                <w:b/>
                <w:bCs/>
                <w:i w:val="false"/>
                <w:iCs w:val="false"/>
                <w:caps w:val="false"/>
                <w:color w:val="6b778c"/>
                <w:sz w:val="12"/>
                <w:szCs w:val="12"/>
              </w:rPr>
              <w:t xml:space="preserve">URL: </w:t>
            </w:r>
            <w:hyperlink w:history="1" r:id="rId1ptc4lapilue9dszxira-">
              <w:r>
                <w:rPr>
                  <w:rFonts w:ascii="Arial" w:cs="Arial" w:eastAsia="Arial" w:hAnsi="Arial"/>
                  <w:b/>
                  <w:bCs/>
                  <w:color w:val="c9a227"/>
                  <w:sz w:val="12"/>
                  <w:szCs w:val="12"/>
                  <w:u w:val="single"/>
                </w:rPr>
                <w:t xml:space="preserve">https://www.who.int/initiatives/medication-without-harm</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Institute for Safe Medication Practices. Guidelines for a root cause analysis and action plan following a medication error. Horsham: ISMP; 2020.</w:t>
            </w:r>
          </w:p>
          <w:p>
            <w:pPr>
              <w:spacing w:after="36" w:before="0"/>
            </w:pPr>
            <w:r>
              <w:rPr>
                <w:rFonts w:ascii="Arial" w:cs="Arial" w:eastAsia="Arial" w:hAnsi="Arial"/>
                <w:b/>
                <w:bCs/>
                <w:i w:val="false"/>
                <w:iCs w:val="false"/>
                <w:caps w:val="false"/>
                <w:color w:val="6b778c"/>
                <w:sz w:val="12"/>
                <w:szCs w:val="12"/>
              </w:rPr>
              <w:t xml:space="preserve">URL: </w:t>
            </w:r>
            <w:hyperlink w:history="1" r:id="rIdxtpywkn1wyfpcwxt_mtrv">
              <w:r>
                <w:rPr>
                  <w:rFonts w:ascii="Arial" w:cs="Arial" w:eastAsia="Arial" w:hAnsi="Arial"/>
                  <w:b/>
                  <w:bCs/>
                  <w:color w:val="c9a227"/>
                  <w:sz w:val="12"/>
                  <w:szCs w:val="12"/>
                  <w:u w:val="single"/>
                </w:rPr>
                <w:t xml:space="preserve">https://www.ismp.org/guidelines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Reason J. Human error: models and management. BMJ. 2000;320(7237):768-770.</w:t>
            </w:r>
          </w:p>
          <w:p>
            <w:pPr>
              <w:spacing w:after="36" w:before="0"/>
            </w:pPr>
            <w:r>
              <w:rPr>
                <w:rFonts w:ascii="Arial" w:cs="Arial" w:eastAsia="Arial" w:hAnsi="Arial"/>
                <w:b/>
                <w:bCs/>
                <w:i w:val="false"/>
                <w:iCs w:val="false"/>
                <w:caps w:val="false"/>
                <w:color w:val="6b778c"/>
                <w:sz w:val="12"/>
                <w:szCs w:val="12"/>
              </w:rPr>
              <w:t xml:space="preserve">URL: </w:t>
            </w:r>
            <w:hyperlink w:history="1" r:id="rId13ub8utoed_9ljmlns3iy">
              <w:r>
                <w:rPr>
                  <w:rFonts w:ascii="Arial" w:cs="Arial" w:eastAsia="Arial" w:hAnsi="Arial"/>
                  <w:b/>
                  <w:bCs/>
                  <w:color w:val="c9a227"/>
                  <w:sz w:val="12"/>
                  <w:szCs w:val="12"/>
                  <w:u w:val="single"/>
                </w:rPr>
                <w:t xml:space="preserve">https://doi.org/10.1136/bmj.320.7237.768</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9.9 — Clinical Pharmacy and Therapeutic Review</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Developing pharmacy practice: a focus on patient care. Geneva: WHO; 2006.</w:t>
            </w:r>
          </w:p>
          <w:p>
            <w:pPr>
              <w:spacing w:after="36" w:before="0"/>
            </w:pPr>
            <w:r>
              <w:rPr>
                <w:rFonts w:ascii="Arial" w:cs="Arial" w:eastAsia="Arial" w:hAnsi="Arial"/>
                <w:b/>
                <w:bCs/>
                <w:i w:val="false"/>
                <w:iCs w:val="false"/>
                <w:caps w:val="false"/>
                <w:color w:val="6b778c"/>
                <w:sz w:val="12"/>
                <w:szCs w:val="12"/>
              </w:rPr>
              <w:t xml:space="preserve">URL: </w:t>
            </w:r>
            <w:hyperlink w:history="1" r:id="rIdjgkugysi9boi-jqxnqbe4">
              <w:r>
                <w:rPr>
                  <w:rFonts w:ascii="Arial" w:cs="Arial" w:eastAsia="Arial" w:hAnsi="Arial"/>
                  <w:b/>
                  <w:bCs/>
                  <w:color w:val="c9a227"/>
                  <w:sz w:val="12"/>
                  <w:szCs w:val="12"/>
                  <w:u w:val="single"/>
                </w:rPr>
                <w:t xml:space="preserve">https://www.who.int/publications/i/item/9789241547034</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Pharmaceutical Federation. Statement of policy on clinical pharmacy services. The Hague: FIP; 2019.</w:t>
            </w:r>
          </w:p>
          <w:p>
            <w:pPr>
              <w:spacing w:after="36" w:before="0"/>
            </w:pPr>
            <w:r>
              <w:rPr>
                <w:rFonts w:ascii="Arial" w:cs="Arial" w:eastAsia="Arial" w:hAnsi="Arial"/>
                <w:b/>
                <w:bCs/>
                <w:i w:val="false"/>
                <w:iCs w:val="false"/>
                <w:caps w:val="false"/>
                <w:color w:val="6b778c"/>
                <w:sz w:val="12"/>
                <w:szCs w:val="12"/>
              </w:rPr>
              <w:t xml:space="preserve">URL: </w:t>
            </w:r>
            <w:hyperlink w:history="1" r:id="rIdmvh7ivnxdbywmzszgavfz">
              <w:r>
                <w:rPr>
                  <w:rFonts w:ascii="Arial" w:cs="Arial" w:eastAsia="Arial" w:hAnsi="Arial"/>
                  <w:b/>
                  <w:bCs/>
                  <w:color w:val="c9a227"/>
                  <w:sz w:val="12"/>
                  <w:szCs w:val="12"/>
                  <w:u w:val="single"/>
                </w:rPr>
                <w:t xml:space="preserve">https://www.fip.org</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Kaboli PJ, Hoth AB, McClimon BJ, Schnipper JL. Clinical pharmacists and inpatient medical care: a systematic review. Arch Intern Med. 2006;166(9):955-964.</w:t>
            </w:r>
          </w:p>
          <w:p>
            <w:pPr>
              <w:spacing w:after="36" w:before="0"/>
            </w:pPr>
            <w:r>
              <w:rPr>
                <w:rFonts w:ascii="Arial" w:cs="Arial" w:eastAsia="Arial" w:hAnsi="Arial"/>
                <w:b/>
                <w:bCs/>
                <w:i w:val="false"/>
                <w:iCs w:val="false"/>
                <w:caps w:val="false"/>
                <w:color w:val="6b778c"/>
                <w:sz w:val="12"/>
                <w:szCs w:val="12"/>
              </w:rPr>
              <w:t xml:space="preserve">URL: </w:t>
            </w:r>
            <w:hyperlink w:history="1" r:id="rIdvn0xktpxi-3oitfvghv0v">
              <w:r>
                <w:rPr>
                  <w:rFonts w:ascii="Arial" w:cs="Arial" w:eastAsia="Arial" w:hAnsi="Arial"/>
                  <w:b/>
                  <w:bCs/>
                  <w:color w:val="c9a227"/>
                  <w:sz w:val="12"/>
                  <w:szCs w:val="12"/>
                  <w:u w:val="single"/>
                </w:rPr>
                <w:t xml:space="preserve">https://doi.org/10.1001/archinte.166.9.955</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9.10 — Formulary Management and Rational Use</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Model List of Essential Medicines. Geneva: WHO; 2023.</w:t>
            </w:r>
          </w:p>
          <w:p>
            <w:pPr>
              <w:spacing w:after="36" w:before="0"/>
            </w:pPr>
            <w:r>
              <w:rPr>
                <w:rFonts w:ascii="Arial" w:cs="Arial" w:eastAsia="Arial" w:hAnsi="Arial"/>
                <w:b/>
                <w:bCs/>
                <w:i w:val="false"/>
                <w:iCs w:val="false"/>
                <w:caps w:val="false"/>
                <w:color w:val="6b778c"/>
                <w:sz w:val="12"/>
                <w:szCs w:val="12"/>
              </w:rPr>
              <w:t xml:space="preserve">URL: </w:t>
            </w:r>
            <w:hyperlink w:history="1" r:id="rId4bv3n8weezurrqwccwm7o">
              <w:r>
                <w:rPr>
                  <w:rFonts w:ascii="Arial" w:cs="Arial" w:eastAsia="Arial" w:hAnsi="Arial"/>
                  <w:b/>
                  <w:bCs/>
                  <w:color w:val="c9a227"/>
                  <w:sz w:val="12"/>
                  <w:szCs w:val="12"/>
                  <w:u w:val="single"/>
                </w:rPr>
                <w:t xml:space="preserve">https://www.who.int/publications/i/item/WHO-MHP-HPS-EML-2023.02</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Promoting rational use of medicines: core components. Geneva: WHO; 2002.</w:t>
            </w:r>
          </w:p>
          <w:p>
            <w:pPr>
              <w:spacing w:after="36" w:before="0"/>
            </w:pPr>
            <w:r>
              <w:rPr>
                <w:rFonts w:ascii="Arial" w:cs="Arial" w:eastAsia="Arial" w:hAnsi="Arial"/>
                <w:b/>
                <w:bCs/>
                <w:i w:val="false"/>
                <w:iCs w:val="false"/>
                <w:caps w:val="false"/>
                <w:color w:val="6b778c"/>
                <w:sz w:val="12"/>
                <w:szCs w:val="12"/>
              </w:rPr>
              <w:t xml:space="preserve">URL: </w:t>
            </w:r>
            <w:hyperlink w:history="1" r:id="rIdk72aduf7l44wperwvkz7i">
              <w:r>
                <w:rPr>
                  <w:rFonts w:ascii="Arial" w:cs="Arial" w:eastAsia="Arial" w:hAnsi="Arial"/>
                  <w:b/>
                  <w:bCs/>
                  <w:color w:val="c9a227"/>
                  <w:sz w:val="12"/>
                  <w:szCs w:val="12"/>
                  <w:u w:val="single"/>
                </w:rPr>
                <w:t xml:space="preserve">https://www.who.int/publications/i/item/WHO-EDM-2002.3</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30.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Management Sciences for Health. Managing access to medicines and health technologies. Arlington: MSH; 2012.</w:t>
            </w:r>
          </w:p>
          <w:p>
            <w:pPr>
              <w:spacing w:after="36" w:before="0"/>
            </w:pPr>
            <w:r>
              <w:rPr>
                <w:rFonts w:ascii="Arial" w:cs="Arial" w:eastAsia="Arial" w:hAnsi="Arial"/>
                <w:b/>
                <w:bCs/>
                <w:i w:val="false"/>
                <w:iCs w:val="false"/>
                <w:caps w:val="false"/>
                <w:color w:val="6b778c"/>
                <w:sz w:val="12"/>
                <w:szCs w:val="12"/>
              </w:rPr>
              <w:t xml:space="preserve">URL: </w:t>
            </w:r>
            <w:hyperlink w:history="1" r:id="rIdbj9npvoay0wkes1jbov92">
              <w:r>
                <w:rPr>
                  <w:rFonts w:ascii="Arial" w:cs="Arial" w:eastAsia="Arial" w:hAnsi="Arial"/>
                  <w:b/>
                  <w:bCs/>
                  <w:color w:val="c9a227"/>
                  <w:sz w:val="12"/>
                  <w:szCs w:val="12"/>
                  <w:u w:val="single"/>
                </w:rPr>
                <w:t xml:space="preserve">https://www.msh.org</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9: PMM  —  KEYWORD INDEX</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Alphabetical  |  29</w:t>
            </w:r>
          </w:p>
          <w:p>
            <w:pPr>
              <w:spacing w:after="36" w:before="0"/>
            </w:pPr>
            <w:r>
              <w:rPr>
                <w:rFonts w:ascii="Arial" w:cs="Arial" w:eastAsia="Arial" w:hAnsi="Arial"/>
                <w:b w:val="false"/>
                <w:bCs w:val="false"/>
                <w:i/>
                <w:iCs/>
                <w:caps w:val="false"/>
                <w:color w:val="6b778c"/>
                <w:sz w:val="11"/>
                <w:szCs w:val="11"/>
              </w:rPr>
              <w:t xml:space="preserve">terms  |  with page numbers</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KEYWORD INDEX — STANDARD NUMBER AND PAGE NUMBER SHOWN FOR EACH TERM</w:t>
            </w:r>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single" w:color="dce3ee" w:sz="4"/>
          <w:bottom w:val="none"/>
          <w:right w:val="single" w:color="dce3ee" w:sz="4"/>
          <w:insideH w:val="single" w:color="auto" w:sz="4"/>
          <w:insideV w:val="single" w:color="auto" w:sz="4"/>
        </w:tblBorders>
      </w:tblPr>
      <w:tblGrid>
        <w:gridCol w:w="4680"/>
        <w:gridCol w:w="4680"/>
      </w:tblGrid>
      <w:tr>
        <w:tc>
          <w:tcPr>
            <w:tcW w:type="dxa" w:w="4680"/>
            <w:tcMar>
              <w:top w:type="dxa" w:w="40"/>
              <w:left w:type="dxa" w:w="60"/>
              <w:bottom w:type="dxa" w:w="40"/>
              <w:right w:type="dxa" w:w="40"/>
            </w:tcMar>
            <w:vAlign w:val="top"/>
          </w:tcPr>
          <w:p>
            <w:pPr>
              <w:spacing w:after="10" w:before="0"/>
            </w:pPr>
            <w:r>
              <w:rPr>
                <w:rFonts w:ascii="Arial" w:cs="Arial" w:eastAsia="Arial" w:hAnsi="Arial"/>
                <w:b/>
                <w:bCs/>
                <w:i w:val="false"/>
                <w:iCs w:val="false"/>
                <w:caps w:val="false"/>
                <w:color w:val="14335c"/>
                <w:sz w:val="13"/>
                <w:szCs w:val="13"/>
              </w:rPr>
              <w:t xml:space="preserve">Adverse drug event (ADE) reporting  </w:t>
            </w:r>
            <w:r>
              <w:rPr>
                <w:rFonts w:ascii="Arial" w:cs="Arial" w:eastAsia="Arial" w:hAnsi="Arial"/>
                <w:b w:val="false"/>
                <w:bCs w:val="false"/>
                <w:i w:val="false"/>
                <w:iCs w:val="false"/>
                <w:caps w:val="false"/>
                <w:color w:val="6b778c"/>
                <w:sz w:val="12"/>
                <w:szCs w:val="12"/>
              </w:rPr>
              <w:t xml:space="preserve">9.6 (p.13)</w:t>
            </w:r>
          </w:p>
          <w:p>
            <w:pPr>
              <w:spacing w:after="10" w:before="0"/>
            </w:pPr>
            <w:r>
              <w:rPr>
                <w:rFonts w:ascii="Arial" w:cs="Arial" w:eastAsia="Arial" w:hAnsi="Arial"/>
                <w:b/>
                <w:bCs/>
                <w:i w:val="false"/>
                <w:iCs w:val="false"/>
                <w:caps w:val="false"/>
                <w:color w:val="14335c"/>
                <w:sz w:val="13"/>
                <w:szCs w:val="13"/>
              </w:rPr>
              <w:t xml:space="preserve">Advisory support  </w:t>
            </w:r>
            <w:r>
              <w:rPr>
                <w:rFonts w:ascii="Arial" w:cs="Arial" w:eastAsia="Arial" w:hAnsi="Arial"/>
                <w:b w:val="false"/>
                <w:bCs w:val="false"/>
                <w:i w:val="false"/>
                <w:iCs w:val="false"/>
                <w:caps w:val="false"/>
                <w:color w:val="6b778c"/>
                <w:sz w:val="12"/>
                <w:szCs w:val="12"/>
              </w:rPr>
              <w:t xml:space="preserve">Cover (p.1)</w:t>
            </w:r>
          </w:p>
          <w:p>
            <w:pPr>
              <w:spacing w:after="10" w:before="0"/>
            </w:pPr>
            <w:r>
              <w:rPr>
                <w:rFonts w:ascii="Arial" w:cs="Arial" w:eastAsia="Arial" w:hAnsi="Arial"/>
                <w:b/>
                <w:bCs/>
                <w:i w:val="false"/>
                <w:iCs w:val="false"/>
                <w:caps w:val="false"/>
                <w:color w:val="14335c"/>
                <w:sz w:val="13"/>
                <w:szCs w:val="13"/>
              </w:rPr>
              <w:t xml:space="preserve">Barcode scanning — dispensing  </w:t>
            </w:r>
            <w:r>
              <w:rPr>
                <w:rFonts w:ascii="Arial" w:cs="Arial" w:eastAsia="Arial" w:hAnsi="Arial"/>
                <w:b w:val="false"/>
                <w:bCs w:val="false"/>
                <w:i w:val="false"/>
                <w:iCs w:val="false"/>
                <w:caps w:val="false"/>
                <w:color w:val="6b778c"/>
                <w:sz w:val="12"/>
                <w:szCs w:val="12"/>
              </w:rPr>
              <w:t xml:space="preserve">9.4 (p.9)</w:t>
            </w:r>
          </w:p>
          <w:p>
            <w:pPr>
              <w:spacing w:after="10" w:before="0"/>
            </w:pPr>
            <w:r>
              <w:rPr>
                <w:rFonts w:ascii="Arial" w:cs="Arial" w:eastAsia="Arial" w:hAnsi="Arial"/>
                <w:b/>
                <w:bCs/>
                <w:i w:val="false"/>
                <w:iCs w:val="false"/>
                <w:caps w:val="false"/>
                <w:color w:val="14335c"/>
                <w:sz w:val="13"/>
                <w:szCs w:val="13"/>
              </w:rPr>
              <w:t xml:space="preserve">Clinical pharmacy review  </w:t>
            </w:r>
            <w:r>
              <w:rPr>
                <w:rFonts w:ascii="Arial" w:cs="Arial" w:eastAsia="Arial" w:hAnsi="Arial"/>
                <w:b w:val="false"/>
                <w:bCs w:val="false"/>
                <w:i w:val="false"/>
                <w:iCs w:val="false"/>
                <w:caps w:val="false"/>
                <w:color w:val="6b778c"/>
                <w:sz w:val="12"/>
                <w:szCs w:val="12"/>
              </w:rPr>
              <w:t xml:space="preserve">9.9 (p.19)</w:t>
            </w:r>
          </w:p>
          <w:p>
            <w:pPr>
              <w:spacing w:after="10" w:before="0"/>
            </w:pPr>
            <w:r>
              <w:rPr>
                <w:rFonts w:ascii="Arial" w:cs="Arial" w:eastAsia="Arial" w:hAnsi="Arial"/>
                <w:b/>
                <w:bCs/>
                <w:i w:val="false"/>
                <w:iCs w:val="false"/>
                <w:caps w:val="false"/>
                <w:color w:val="14335c"/>
                <w:sz w:val="13"/>
                <w:szCs w:val="13"/>
              </w:rPr>
              <w:t xml:space="preserve">Cold chain monitoring  </w:t>
            </w:r>
            <w:r>
              <w:rPr>
                <w:rFonts w:ascii="Arial" w:cs="Arial" w:eastAsia="Arial" w:hAnsi="Arial"/>
                <w:b w:val="false"/>
                <w:bCs w:val="false"/>
                <w:i w:val="false"/>
                <w:iCs w:val="false"/>
                <w:caps w:val="false"/>
                <w:color w:val="6b778c"/>
                <w:sz w:val="12"/>
                <w:szCs w:val="12"/>
              </w:rPr>
              <w:t xml:space="preserve">9.7 (p.15)</w:t>
            </w:r>
          </w:p>
          <w:p>
            <w:pPr>
              <w:spacing w:after="10" w:before="0"/>
            </w:pPr>
            <w:r>
              <w:rPr>
                <w:rFonts w:ascii="Arial" w:cs="Arial" w:eastAsia="Arial" w:hAnsi="Arial"/>
                <w:b/>
                <w:bCs/>
                <w:i w:val="false"/>
                <w:iCs w:val="false"/>
                <w:caps w:val="false"/>
                <w:color w:val="14335c"/>
                <w:sz w:val="13"/>
                <w:szCs w:val="13"/>
              </w:rPr>
              <w:t xml:space="preserve">Controlled drugs register  </w:t>
            </w:r>
            <w:r>
              <w:rPr>
                <w:rFonts w:ascii="Arial" w:cs="Arial" w:eastAsia="Arial" w:hAnsi="Arial"/>
                <w:b w:val="false"/>
                <w:bCs w:val="false"/>
                <w:i w:val="false"/>
                <w:iCs w:val="false"/>
                <w:caps w:val="false"/>
                <w:color w:val="6b778c"/>
                <w:sz w:val="12"/>
                <w:szCs w:val="12"/>
              </w:rPr>
              <w:t xml:space="preserve">9.5 (p.11)</w:t>
            </w:r>
          </w:p>
          <w:p>
            <w:pPr>
              <w:spacing w:after="10" w:before="0"/>
            </w:pPr>
            <w:r>
              <w:rPr>
                <w:rFonts w:ascii="Arial" w:cs="Arial" w:eastAsia="Arial" w:hAnsi="Arial"/>
                <w:b/>
                <w:bCs/>
                <w:i w:val="false"/>
                <w:iCs w:val="false"/>
                <w:caps w:val="false"/>
                <w:color w:val="14335c"/>
                <w:sz w:val="13"/>
                <w:szCs w:val="13"/>
              </w:rPr>
              <w:t xml:space="preserve">CORE standard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Discrepancy investigation — controlled drugs  </w:t>
            </w:r>
            <w:r>
              <w:rPr>
                <w:rFonts w:ascii="Arial" w:cs="Arial" w:eastAsia="Arial" w:hAnsi="Arial"/>
                <w:b w:val="false"/>
                <w:bCs w:val="false"/>
                <w:i w:val="false"/>
                <w:iCs w:val="false"/>
                <w:caps w:val="false"/>
                <w:color w:val="6b778c"/>
                <w:sz w:val="12"/>
                <w:szCs w:val="12"/>
              </w:rPr>
              <w:t xml:space="preserve">9.5 (p.11)</w:t>
            </w:r>
          </w:p>
          <w:p>
            <w:pPr>
              <w:spacing w:after="10" w:before="0"/>
            </w:pPr>
            <w:r>
              <w:rPr>
                <w:rFonts w:ascii="Arial" w:cs="Arial" w:eastAsia="Arial" w:hAnsi="Arial"/>
                <w:b/>
                <w:bCs/>
                <w:i w:val="false"/>
                <w:iCs w:val="false"/>
                <w:caps w:val="false"/>
                <w:color w:val="14335c"/>
                <w:sz w:val="13"/>
                <w:szCs w:val="13"/>
              </w:rPr>
              <w:t xml:space="preserve">Dispensing verification — independent check  </w:t>
            </w:r>
            <w:r>
              <w:rPr>
                <w:rFonts w:ascii="Arial" w:cs="Arial" w:eastAsia="Arial" w:hAnsi="Arial"/>
                <w:b w:val="false"/>
                <w:bCs w:val="false"/>
                <w:i w:val="false"/>
                <w:iCs w:val="false"/>
                <w:caps w:val="false"/>
                <w:color w:val="6b778c"/>
                <w:sz w:val="12"/>
                <w:szCs w:val="12"/>
              </w:rPr>
              <w:t xml:space="preserve">9.4 (p.9)</w:t>
            </w:r>
          </w:p>
          <w:p>
            <w:pPr>
              <w:spacing w:after="10" w:before="0"/>
            </w:pPr>
            <w:r>
              <w:rPr>
                <w:rFonts w:ascii="Arial" w:cs="Arial" w:eastAsia="Arial" w:hAnsi="Arial"/>
                <w:b/>
                <w:bCs/>
                <w:i w:val="false"/>
                <w:iCs w:val="false"/>
                <w:caps w:val="false"/>
                <w:color w:val="14335c"/>
                <w:sz w:val="13"/>
                <w:szCs w:val="13"/>
              </w:rPr>
              <w:t xml:space="preserve">Excursion — temperature  </w:t>
            </w:r>
            <w:r>
              <w:rPr>
                <w:rFonts w:ascii="Arial" w:cs="Arial" w:eastAsia="Arial" w:hAnsi="Arial"/>
                <w:b w:val="false"/>
                <w:bCs w:val="false"/>
                <w:i w:val="false"/>
                <w:iCs w:val="false"/>
                <w:caps w:val="false"/>
                <w:color w:val="6b778c"/>
                <w:sz w:val="12"/>
                <w:szCs w:val="12"/>
              </w:rPr>
              <w:t xml:space="preserve">9.7 (p.15)</w:t>
            </w:r>
          </w:p>
          <w:p>
            <w:pPr>
              <w:spacing w:after="10" w:before="0"/>
            </w:pPr>
            <w:r>
              <w:rPr>
                <w:rFonts w:ascii="Arial" w:cs="Arial" w:eastAsia="Arial" w:hAnsi="Arial"/>
                <w:b/>
                <w:bCs/>
                <w:i w:val="false"/>
                <w:iCs w:val="false"/>
                <w:caps w:val="false"/>
                <w:color w:val="14335c"/>
                <w:sz w:val="13"/>
                <w:szCs w:val="13"/>
              </w:rPr>
              <w:t xml:space="preserve">Expired medication removal  </w:t>
            </w:r>
            <w:r>
              <w:rPr>
                <w:rFonts w:ascii="Arial" w:cs="Arial" w:eastAsia="Arial" w:hAnsi="Arial"/>
                <w:b w:val="false"/>
                <w:bCs w:val="false"/>
                <w:i w:val="false"/>
                <w:iCs w:val="false"/>
                <w:caps w:val="false"/>
                <w:color w:val="6b778c"/>
                <w:sz w:val="12"/>
                <w:szCs w:val="12"/>
              </w:rPr>
              <w:t xml:space="preserve">9.1 (p.3)</w:t>
            </w:r>
          </w:p>
          <w:p>
            <w:pPr>
              <w:spacing w:after="10" w:before="0"/>
            </w:pPr>
            <w:r>
              <w:rPr>
                <w:rFonts w:ascii="Arial" w:cs="Arial" w:eastAsia="Arial" w:hAnsi="Arial"/>
                <w:b/>
                <w:bCs/>
                <w:i w:val="false"/>
                <w:iCs w:val="false"/>
                <w:caps w:val="false"/>
                <w:color w:val="14335c"/>
                <w:sz w:val="13"/>
                <w:szCs w:val="13"/>
              </w:rPr>
              <w:t xml:space="preserve">Formulary management  </w:t>
            </w:r>
            <w:r>
              <w:rPr>
                <w:rFonts w:ascii="Arial" w:cs="Arial" w:eastAsia="Arial" w:hAnsi="Arial"/>
                <w:b w:val="false"/>
                <w:bCs w:val="false"/>
                <w:i w:val="false"/>
                <w:iCs w:val="false"/>
                <w:caps w:val="false"/>
                <w:color w:val="6b778c"/>
                <w:sz w:val="12"/>
                <w:szCs w:val="12"/>
              </w:rPr>
              <w:t xml:space="preserve">9.10 (p.21)</w:t>
            </w:r>
          </w:p>
          <w:p>
            <w:pPr>
              <w:spacing w:after="10" w:before="0"/>
            </w:pPr>
            <w:r>
              <w:rPr>
                <w:rFonts w:ascii="Arial" w:cs="Arial" w:eastAsia="Arial" w:hAnsi="Arial"/>
                <w:b/>
                <w:bCs/>
                <w:i w:val="false"/>
                <w:iCs w:val="false"/>
                <w:caps w:val="false"/>
                <w:color w:val="14335c"/>
                <w:sz w:val="13"/>
                <w:szCs w:val="13"/>
              </w:rPr>
              <w:t xml:space="preserve">High-alert medication list  </w:t>
            </w:r>
            <w:r>
              <w:rPr>
                <w:rFonts w:ascii="Arial" w:cs="Arial" w:eastAsia="Arial" w:hAnsi="Arial"/>
                <w:b w:val="false"/>
                <w:bCs w:val="false"/>
                <w:i w:val="false"/>
                <w:iCs w:val="false"/>
                <w:caps w:val="false"/>
                <w:color w:val="6b778c"/>
                <w:sz w:val="12"/>
                <w:szCs w:val="12"/>
              </w:rPr>
              <w:t xml:space="preserve">9.2 (p.5)</w:t>
            </w:r>
          </w:p>
          <w:p>
            <w:pPr>
              <w:spacing w:after="10" w:before="0"/>
            </w:pPr>
            <w:r>
              <w:rPr>
                <w:rFonts w:ascii="Arial" w:cs="Arial" w:eastAsia="Arial" w:hAnsi="Arial"/>
                <w:b/>
                <w:bCs/>
                <w:i w:val="false"/>
                <w:iCs w:val="false"/>
                <w:caps w:val="false"/>
                <w:color w:val="14335c"/>
                <w:sz w:val="13"/>
                <w:szCs w:val="13"/>
              </w:rPr>
              <w:t xml:space="preserve">Level 1 — Foundation  </w:t>
            </w:r>
            <w:r>
              <w:rPr>
                <w:rFonts w:ascii="Arial" w:cs="Arial" w:eastAsia="Arial" w:hAnsi="Arial"/>
                <w:b w:val="false"/>
                <w:bCs w:val="false"/>
                <w:i w:val="false"/>
                <w:iCs w:val="false"/>
                <w:caps w:val="false"/>
                <w:color w:val="6b778c"/>
                <w:sz w:val="12"/>
                <w:szCs w:val="12"/>
              </w:rPr>
              <w:t xml:space="preserve">9.1–9.5 (p.3–12)</w:t>
            </w:r>
          </w:p>
          <w:p>
            <w:pPr>
              <w:spacing w:after="10" w:before="0"/>
            </w:pPr>
            <w:r>
              <w:rPr>
                <w:rFonts w:ascii="Arial" w:cs="Arial" w:eastAsia="Arial" w:hAnsi="Arial"/>
                <w:b/>
                <w:bCs/>
                <w:i w:val="false"/>
                <w:iCs w:val="false"/>
                <w:caps w:val="false"/>
                <w:color w:val="14335c"/>
                <w:sz w:val="13"/>
                <w:szCs w:val="13"/>
              </w:rPr>
              <w:t xml:space="preserve">Level 2 — Accredited  </w:t>
            </w:r>
            <w:r>
              <w:rPr>
                <w:rFonts w:ascii="Arial" w:cs="Arial" w:eastAsia="Arial" w:hAnsi="Arial"/>
                <w:b w:val="false"/>
                <w:bCs w:val="false"/>
                <w:i w:val="false"/>
                <w:iCs w:val="false"/>
                <w:caps w:val="false"/>
                <w:color w:val="6b778c"/>
                <w:sz w:val="12"/>
                <w:szCs w:val="12"/>
              </w:rPr>
              <w:t xml:space="preserve">9.6–9.8 (p.13–18)</w:t>
            </w:r>
          </w:p>
        </w:tc>
        <w:tc>
          <w:tcPr>
            <w:tcW w:type="dxa" w:w="4680"/>
            <w:tcMar>
              <w:top w:type="dxa" w:w="40"/>
              <w:left w:type="dxa" w:w="60"/>
              <w:bottom w:type="dxa" w:w="40"/>
              <w:right w:type="dxa" w:w="40"/>
            </w:tcMar>
            <w:vAlign w:val="top"/>
          </w:tcPr>
          <w:p>
            <w:pPr>
              <w:spacing w:after="10" w:before="0"/>
            </w:pPr>
            <w:r>
              <w:rPr>
                <w:rFonts w:ascii="Arial" w:cs="Arial" w:eastAsia="Arial" w:hAnsi="Arial"/>
                <w:b/>
                <w:bCs/>
                <w:i w:val="false"/>
                <w:iCs w:val="false"/>
                <w:caps w:val="false"/>
                <w:color w:val="14335c"/>
                <w:sz w:val="13"/>
                <w:szCs w:val="13"/>
              </w:rPr>
              <w:t xml:space="preserve">Level 3 — Advanced  </w:t>
            </w:r>
            <w:r>
              <w:rPr>
                <w:rFonts w:ascii="Arial" w:cs="Arial" w:eastAsia="Arial" w:hAnsi="Arial"/>
                <w:b w:val="false"/>
                <w:bCs w:val="false"/>
                <w:i w:val="false"/>
                <w:iCs w:val="false"/>
                <w:caps w:val="false"/>
                <w:color w:val="6b778c"/>
                <w:sz w:val="12"/>
                <w:szCs w:val="12"/>
              </w:rPr>
              <w:t xml:space="preserve">9.9–9.10 (p.19–22)</w:t>
            </w:r>
          </w:p>
          <w:p>
            <w:pPr>
              <w:spacing w:after="10" w:before="0"/>
            </w:pPr>
            <w:r>
              <w:rPr>
                <w:rFonts w:ascii="Arial" w:cs="Arial" w:eastAsia="Arial" w:hAnsi="Arial"/>
                <w:b/>
                <w:bCs/>
                <w:i w:val="false"/>
                <w:iCs w:val="false"/>
                <w:caps w:val="false"/>
                <w:color w:val="14335c"/>
                <w:sz w:val="13"/>
                <w:szCs w:val="13"/>
              </w:rPr>
              <w:t xml:space="preserve">Look-alike, sound-alike medications  </w:t>
            </w:r>
            <w:r>
              <w:rPr>
                <w:rFonts w:ascii="Arial" w:cs="Arial" w:eastAsia="Arial" w:hAnsi="Arial"/>
                <w:b w:val="false"/>
                <w:bCs w:val="false"/>
                <w:i w:val="false"/>
                <w:iCs w:val="false"/>
                <w:caps w:val="false"/>
                <w:color w:val="6b778c"/>
                <w:sz w:val="12"/>
                <w:szCs w:val="12"/>
              </w:rPr>
              <w:t xml:space="preserve">9.1 (p.3)</w:t>
            </w:r>
          </w:p>
          <w:p>
            <w:pPr>
              <w:spacing w:after="10" w:before="0"/>
            </w:pPr>
            <w:r>
              <w:rPr>
                <w:rFonts w:ascii="Arial" w:cs="Arial" w:eastAsia="Arial" w:hAnsi="Arial"/>
                <w:b/>
                <w:bCs/>
                <w:i w:val="false"/>
                <w:iCs w:val="false"/>
                <w:caps w:val="false"/>
                <w:color w:val="14335c"/>
                <w:sz w:val="13"/>
                <w:szCs w:val="13"/>
              </w:rPr>
              <w:t xml:space="preserve">Medication error review  </w:t>
            </w:r>
            <w:r>
              <w:rPr>
                <w:rFonts w:ascii="Arial" w:cs="Arial" w:eastAsia="Arial" w:hAnsi="Arial"/>
                <w:b w:val="false"/>
                <w:bCs w:val="false"/>
                <w:i w:val="false"/>
                <w:iCs w:val="false"/>
                <w:caps w:val="false"/>
                <w:color w:val="6b778c"/>
                <w:sz w:val="12"/>
                <w:szCs w:val="12"/>
              </w:rPr>
              <w:t xml:space="preserve">9.8 (p.17)</w:t>
            </w:r>
          </w:p>
          <w:p>
            <w:pPr>
              <w:spacing w:after="10" w:before="0"/>
            </w:pPr>
            <w:r>
              <w:rPr>
                <w:rFonts w:ascii="Arial" w:cs="Arial" w:eastAsia="Arial" w:hAnsi="Arial"/>
                <w:b/>
                <w:bCs/>
                <w:i w:val="false"/>
                <w:iCs w:val="false"/>
                <w:caps w:val="false"/>
                <w:color w:val="14335c"/>
                <w:sz w:val="13"/>
                <w:szCs w:val="13"/>
              </w:rPr>
              <w:t xml:space="preserve">Medication reconciliation  </w:t>
            </w:r>
            <w:r>
              <w:rPr>
                <w:rFonts w:ascii="Arial" w:cs="Arial" w:eastAsia="Arial" w:hAnsi="Arial"/>
                <w:b w:val="false"/>
                <w:bCs w:val="false"/>
                <w:i w:val="false"/>
                <w:iCs w:val="false"/>
                <w:caps w:val="false"/>
                <w:color w:val="6b778c"/>
                <w:sz w:val="12"/>
                <w:szCs w:val="12"/>
              </w:rPr>
              <w:t xml:space="preserve">9.3 (p.7)</w:t>
            </w:r>
          </w:p>
          <w:p>
            <w:pPr>
              <w:spacing w:after="10" w:before="0"/>
            </w:pPr>
            <w:r>
              <w:rPr>
                <w:rFonts w:ascii="Arial" w:cs="Arial" w:eastAsia="Arial" w:hAnsi="Arial"/>
                <w:b/>
                <w:bCs/>
                <w:i w:val="false"/>
                <w:iCs w:val="false"/>
                <w:caps w:val="false"/>
                <w:color w:val="14335c"/>
                <w:sz w:val="13"/>
                <w:szCs w:val="13"/>
              </w:rPr>
              <w:t xml:space="preserve">NO status (RED) —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Non-formulary request process  </w:t>
            </w:r>
            <w:r>
              <w:rPr>
                <w:rFonts w:ascii="Arial" w:cs="Arial" w:eastAsia="Arial" w:hAnsi="Arial"/>
                <w:b w:val="false"/>
                <w:bCs w:val="false"/>
                <w:i w:val="false"/>
                <w:iCs w:val="false"/>
                <w:caps w:val="false"/>
                <w:color w:val="6b778c"/>
                <w:sz w:val="12"/>
                <w:szCs w:val="12"/>
              </w:rPr>
              <w:t xml:space="preserve">9.10 (p.21)</w:t>
            </w:r>
          </w:p>
          <w:p>
            <w:pPr>
              <w:spacing w:after="10" w:before="0"/>
            </w:pPr>
            <w:r>
              <w:rPr>
                <w:rFonts w:ascii="Arial" w:cs="Arial" w:eastAsia="Arial" w:hAnsi="Arial"/>
                <w:b/>
                <w:bCs/>
                <w:i w:val="false"/>
                <w:iCs w:val="false"/>
                <w:caps w:val="false"/>
                <w:color w:val="14335c"/>
                <w:sz w:val="13"/>
                <w:szCs w:val="13"/>
              </w:rPr>
              <w:t xml:space="preserve">PARTIAL status (AMBER) —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Pharmacy and therapeutics committee  </w:t>
            </w:r>
            <w:r>
              <w:rPr>
                <w:rFonts w:ascii="Arial" w:cs="Arial" w:eastAsia="Arial" w:hAnsi="Arial"/>
                <w:b w:val="false"/>
                <w:bCs w:val="false"/>
                <w:i w:val="false"/>
                <w:iCs w:val="false"/>
                <w:caps w:val="false"/>
                <w:color w:val="6b778c"/>
                <w:sz w:val="12"/>
                <w:szCs w:val="12"/>
              </w:rPr>
              <w:t xml:space="preserve">9.10 (p.21)</w:t>
            </w:r>
          </w:p>
          <w:p>
            <w:pPr>
              <w:spacing w:after="10" w:before="0"/>
            </w:pPr>
            <w:r>
              <w:rPr>
                <w:rFonts w:ascii="Arial" w:cs="Arial" w:eastAsia="Arial" w:hAnsi="Arial"/>
                <w:b/>
                <w:bCs/>
                <w:i w:val="false"/>
                <w:iCs w:val="false"/>
                <w:caps w:val="false"/>
                <w:color w:val="14335c"/>
                <w:sz w:val="13"/>
                <w:szCs w:val="13"/>
              </w:rPr>
              <w:t xml:space="preserve">Rational medicine use  </w:t>
            </w:r>
            <w:r>
              <w:rPr>
                <w:rFonts w:ascii="Arial" w:cs="Arial" w:eastAsia="Arial" w:hAnsi="Arial"/>
                <w:b w:val="false"/>
                <w:bCs w:val="false"/>
                <w:i w:val="false"/>
                <w:iCs w:val="false"/>
                <w:caps w:val="false"/>
                <w:color w:val="6b778c"/>
                <w:sz w:val="12"/>
                <w:szCs w:val="12"/>
              </w:rPr>
              <w:t xml:space="preserve">9.10 (p.21)</w:t>
            </w:r>
          </w:p>
          <w:p>
            <w:pPr>
              <w:spacing w:after="10" w:before="0"/>
            </w:pPr>
            <w:r>
              <w:rPr>
                <w:rFonts w:ascii="Arial" w:cs="Arial" w:eastAsia="Arial" w:hAnsi="Arial"/>
                <w:b/>
                <w:bCs/>
                <w:i w:val="false"/>
                <w:iCs w:val="false"/>
                <w:caps w:val="false"/>
                <w:color w:val="14335c"/>
                <w:sz w:val="13"/>
                <w:szCs w:val="13"/>
              </w:rPr>
              <w:t xml:space="preserve">Recall management — medication  </w:t>
            </w:r>
            <w:r>
              <w:rPr>
                <w:rFonts w:ascii="Arial" w:cs="Arial" w:eastAsia="Arial" w:hAnsi="Arial"/>
                <w:b w:val="false"/>
                <w:bCs w:val="false"/>
                <w:i w:val="false"/>
                <w:iCs w:val="false"/>
                <w:caps w:val="false"/>
                <w:color w:val="6b778c"/>
                <w:sz w:val="12"/>
                <w:szCs w:val="12"/>
              </w:rPr>
              <w:t xml:space="preserve">9.1 (p.3)</w:t>
            </w:r>
          </w:p>
          <w:p>
            <w:pPr>
              <w:spacing w:after="10" w:before="0"/>
            </w:pPr>
            <w:r>
              <w:rPr>
                <w:rFonts w:ascii="Arial" w:cs="Arial" w:eastAsia="Arial" w:hAnsi="Arial"/>
                <w:b/>
                <w:bCs/>
                <w:i w:val="false"/>
                <w:iCs w:val="false"/>
                <w:caps w:val="false"/>
                <w:color w:val="14335c"/>
                <w:sz w:val="13"/>
                <w:szCs w:val="13"/>
              </w:rPr>
              <w:t xml:space="preserve">Root cause analysis — medication error  </w:t>
            </w:r>
            <w:r>
              <w:rPr>
                <w:rFonts w:ascii="Arial" w:cs="Arial" w:eastAsia="Arial" w:hAnsi="Arial"/>
                <w:b w:val="false"/>
                <w:bCs w:val="false"/>
                <w:i w:val="false"/>
                <w:iCs w:val="false"/>
                <w:caps w:val="false"/>
                <w:color w:val="6b778c"/>
                <w:sz w:val="12"/>
                <w:szCs w:val="12"/>
              </w:rPr>
              <w:t xml:space="preserve">9.8 (p.17)</w:t>
            </w:r>
          </w:p>
          <w:p>
            <w:pPr>
              <w:spacing w:after="10" w:before="0"/>
            </w:pPr>
            <w:r>
              <w:rPr>
                <w:rFonts w:ascii="Arial" w:cs="Arial" w:eastAsia="Arial" w:hAnsi="Arial"/>
                <w:b/>
                <w:bCs/>
                <w:i w:val="false"/>
                <w:iCs w:val="false"/>
                <w:caps w:val="false"/>
                <w:color w:val="14335c"/>
                <w:sz w:val="13"/>
                <w:szCs w:val="13"/>
              </w:rPr>
              <w:t xml:space="preserve">Surveyor methods: OBSERVE/DOCUMENT/ASK  </w:t>
            </w:r>
            <w:r>
              <w:rPr>
                <w:rFonts w:ascii="Arial" w:cs="Arial" w:eastAsia="Arial" w:hAnsi="Arial"/>
                <w:b w:val="false"/>
                <w:bCs w:val="false"/>
                <w:i w:val="false"/>
                <w:iCs w:val="false"/>
                <w:caps w:val="false"/>
                <w:color w:val="6b778c"/>
                <w:sz w:val="12"/>
                <w:szCs w:val="12"/>
              </w:rPr>
              <w:t xml:space="preserve">All standards (p.3–22)</w:t>
            </w:r>
          </w:p>
          <w:p>
            <w:pPr>
              <w:spacing w:after="10" w:before="0"/>
            </w:pPr>
            <w:r>
              <w:rPr>
                <w:rFonts w:ascii="Arial" w:cs="Arial" w:eastAsia="Arial" w:hAnsi="Arial"/>
                <w:b/>
                <w:bCs/>
                <w:i w:val="false"/>
                <w:iCs w:val="false"/>
                <w:caps w:val="false"/>
                <w:color w:val="14335c"/>
                <w:sz w:val="13"/>
                <w:szCs w:val="13"/>
              </w:rPr>
              <w:t xml:space="preserve">Vancouver reference style  </w:t>
            </w:r>
            <w:r>
              <w:rPr>
                <w:rFonts w:ascii="Arial" w:cs="Arial" w:eastAsia="Arial" w:hAnsi="Arial"/>
                <w:b w:val="false"/>
                <w:bCs w:val="false"/>
                <w:i w:val="false"/>
                <w:iCs w:val="false"/>
                <w:caps w:val="false"/>
                <w:color w:val="6b778c"/>
                <w:sz w:val="12"/>
                <w:szCs w:val="12"/>
              </w:rPr>
              <w:t xml:space="preserve">References (p.23)</w:t>
            </w:r>
          </w:p>
          <w:p>
            <w:pPr>
              <w:spacing w:after="10" w:before="0"/>
            </w:pPr>
            <w:r>
              <w:rPr>
                <w:rFonts w:ascii="Arial" w:cs="Arial" w:eastAsia="Arial" w:hAnsi="Arial"/>
                <w:b/>
                <w:bCs/>
                <w:i w:val="false"/>
                <w:iCs w:val="false"/>
                <w:caps w:val="false"/>
                <w:color w:val="14335c"/>
                <w:sz w:val="13"/>
                <w:szCs w:val="13"/>
              </w:rPr>
              <w:t xml:space="preserve">YES status (GREEN) — definition  </w:t>
            </w:r>
            <w:r>
              <w:rPr>
                <w:rFonts w:ascii="Arial" w:cs="Arial" w:eastAsia="Arial" w:hAnsi="Arial"/>
                <w:b w:val="false"/>
                <w:bCs w:val="false"/>
                <w:i w:val="false"/>
                <w:iCs w:val="false"/>
                <w:caps w:val="false"/>
                <w:color w:val="6b778c"/>
                <w:sz w:val="12"/>
                <w:szCs w:val="12"/>
              </w:rPr>
              <w:t xml:space="preserve">Introduction (p.1)</w:t>
            </w:r>
          </w:p>
        </w:tc>
      </w:tr>
    </w:tbl>
    <w:sectPr>
      <w:footerReference w:type="default" r:id="rId7"/>
      <w:pgSz w:w="11908" w:h="16833" w:orient="portrait"/>
      <w:pgMar w:top="691" w:right="1036" w:bottom="1036" w:left="1036" w:header="708" w:footer="259"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2"/>
      </w:pBdr>
      <w:spacing w:after="0" w:before="80"/>
    </w:pPr>
    <w:r>
      <w:rPr>
        <w:rFonts w:ascii="Arial" w:cs="Arial" w:eastAsia="Arial" w:hAnsi="Arial"/>
        <w:i/>
        <w:iCs/>
        <w:color w:val="aaaaaa"/>
        <w:sz w:val="16"/>
        <w:szCs w:val="16"/>
      </w:rPr>
      <w:t xml:space="preserve">© 2025 Accréditation Sans Frontières. Open standards licence. Free non-commercial reproduction with attribution. Commercial use requires written ASF permission.   </w:t>
    </w:r>
    <w:r>
      <w:rPr>
        <w:rFonts w:ascii="Arial" w:cs="Arial" w:eastAsia="Arial" w:hAnsi="Arial"/>
        <w:b/>
        <w:bCs/>
        <w:i/>
        <w:iCs/>
        <w:color w:val="aaaaaa"/>
        <w:sz w:val="16"/>
        <w:szCs w:val="16"/>
      </w:rPr>
      <w:t xml:space="preserve">Citation: </w:t>
    </w:r>
    <w:r>
      <w:rPr>
        <w:rFonts w:ascii="Arial" w:cs="Arial" w:eastAsia="Arial" w:hAnsi="Arial"/>
        <w:i/>
        <w:iCs/>
        <w:color w:val="aaaaaa"/>
        <w:sz w:val="16"/>
        <w:szCs w:val="16"/>
      </w:rPr>
      <w:t xml:space="preserve">Accreditation Sans Frontieres. ASF Hospital Standards: Chapter 9 — Pharmacy &amp; Medicines Management. Version 2.0. Paris: ASF; 2025.   </w:t>
    </w:r>
    <w:r>
      <w:rPr>
        <w:rFonts w:ascii="Arial" w:cs="Arial" w:eastAsia="Arial" w:hAnsi="Arial"/>
        <w:i/>
        <w:iCs/>
        <w:color w:val="aaaaaa"/>
        <w:sz w:val="16"/>
        <w:szCs w:val="16"/>
      </w:rPr>
      <w:t xml:space="preserve">Ref: ASF-CH9-PMM-v2.0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ofbxanj3rhmgsabepq0" Type="http://schemas.openxmlformats.org/officeDocument/2006/relationships/hyperlink" Target="https://france-asf.fr" TargetMode="External"/><Relationship Id="rIdagh_he8ch0piiwqxos2ao" Type="http://schemas.openxmlformats.org/officeDocument/2006/relationships/hyperlink" Target="mailto:info@france-asf.fr" TargetMode="External"/><Relationship Id="rId10whoujbzg5apu1xulqou" Type="http://schemas.openxmlformats.org/officeDocument/2006/relationships/hyperlink" Target="https://academy.gmj.ge" TargetMode="External"/><Relationship Id="rIdujmr_i9wvpbqiyfpivak5" Type="http://schemas.openxmlformats.org/officeDocument/2006/relationships/hyperlink" Target="mailto:info@france-asf.fr" TargetMode="External"/><Relationship Id="rIdhzjhkqspe-mfdnryokihm" Type="http://schemas.openxmlformats.org/officeDocument/2006/relationships/hyperlink" Target="https://france-asf.fr" TargetMode="External"/><Relationship Id="rIdindrqr983yv4d2xlleryb" Type="http://schemas.openxmlformats.org/officeDocument/2006/relationships/hyperlink" Target="https://academy.gmj.ge" TargetMode="External"/><Relationship Id="rIdlfpicdcvi8kgpafq2xtxn" Type="http://schemas.openxmlformats.org/officeDocument/2006/relationships/hyperlink" Target="mailto:info@france-asf.fr" TargetMode="External"/><Relationship Id="rIddqifchfe5nfgakr_zrhdt" Type="http://schemas.openxmlformats.org/officeDocument/2006/relationships/hyperlink" Target="https://www.who.int/publications/i/item/9789241593727" TargetMode="External"/><Relationship Id="rIdtz1aogfvz6v1zl4gzalte" Type="http://schemas.openxmlformats.org/officeDocument/2006/relationships/hyperlink" Target="https://www.fip.org/good-pharmacy-practice" TargetMode="External"/><Relationship Id="rId_3uom91ur5s66ia5uxmcg" Type="http://schemas.openxmlformats.org/officeDocument/2006/relationships/hyperlink" Target="https://www.ismp.org/guidelines" TargetMode="External"/><Relationship Id="rIdk4_pz8xhscfc_q4teot8h" Type="http://schemas.openxmlformats.org/officeDocument/2006/relationships/hyperlink" Target="https://academy.gmj.ge/ch9-1-medication-storage-security" TargetMode="External"/><Relationship Id="rId2rfuclt6g8dez900fngdu" Type="http://schemas.openxmlformats.org/officeDocument/2006/relationships/hyperlink" Target="https://www.ismp.org/recommendations/high-alert-medications-acute-list" TargetMode="External"/><Relationship Id="rIdx6geb07ekzcc2elesbct7" Type="http://schemas.openxmlformats.org/officeDocument/2006/relationships/hyperlink" Target="https://www.who.int/initiatives/medication-without-harm" TargetMode="External"/><Relationship Id="rIdelmvp-rryl_auqhvlmjpv" Type="http://schemas.openxmlformats.org/officeDocument/2006/relationships/hyperlink" Target="https://www.jointcommissioninternational.org" TargetMode="External"/><Relationship Id="rId2kqsffpfmms_co3v-uok8" Type="http://schemas.openxmlformats.org/officeDocument/2006/relationships/hyperlink" Target="https://academy.gmj.ge/ch9-2-high-alert-medication-management" TargetMode="External"/><Relationship Id="rIdmm8xrwtnwirk1l5ri0_31" Type="http://schemas.openxmlformats.org/officeDocument/2006/relationships/hyperlink" Target="https://www.who.int/initiatives/medication-without-harm" TargetMode="External"/><Relationship Id="rIduzip6-khifodewmgz02gp" Type="http://schemas.openxmlformats.org/officeDocument/2006/relationships/hyperlink" Target="http://www.ihi.org/resources" TargetMode="External"/><Relationship Id="rId4i0sgji05hdse0z4nq6vu" Type="http://schemas.openxmlformats.org/officeDocument/2006/relationships/hyperlink" Target="https://doi.org/10.1001/archinternmed.2012.2246" TargetMode="External"/><Relationship Id="rIdootiokkjmi6tnrt8bv7ke" Type="http://schemas.openxmlformats.org/officeDocument/2006/relationships/hyperlink" Target="https://academy.gmj.ge/ch9-3-medication-reconciliation" TargetMode="External"/><Relationship Id="rId6yhfgsgnbnlix9djx2nhl" Type="http://schemas.openxmlformats.org/officeDocument/2006/relationships/hyperlink" Target="https://www.who.int/initiatives/medication-without-harm" TargetMode="External"/><Relationship Id="rId_69yyofyujqvp7eozbvpl" Type="http://schemas.openxmlformats.org/officeDocument/2006/relationships/hyperlink" Target="https://www.ashp.org/pharmacy-practice/policy-positions-and-guidelines" TargetMode="External"/><Relationship Id="rId3tfwc5hazrudqyoavsm2l" Type="http://schemas.openxmlformats.org/officeDocument/2006/relationships/hyperlink" Target="https://www.ismp.org/guidelines" TargetMode="External"/><Relationship Id="rIdefx1g6alyyauyfbyujpff" Type="http://schemas.openxmlformats.org/officeDocument/2006/relationships/hyperlink" Target="https://academy.gmj.ge/ch9-4-dispensing-accuracy-verification" TargetMode="External"/><Relationship Id="rIdyep-wbxf-g8ethgqn96ds" Type="http://schemas.openxmlformats.org/officeDocument/2006/relationships/hyperlink" Target="https://www.who.int/publications/i/item/9789241547543" TargetMode="External"/><Relationship Id="rIdvjqrvbvw7nozhdgn9mj87" Type="http://schemas.openxmlformats.org/officeDocument/2006/relationships/hyperlink" Target="https://www.incb.org" TargetMode="External"/><Relationship Id="rId3yqvh0r7gyhtsv6ho38xz" Type="http://schemas.openxmlformats.org/officeDocument/2006/relationships/hyperlink" Target="https://www.who.int/teams/mental-health-and-substance-use" TargetMode="External"/><Relationship Id="rIduoo2bfux6uof7qpdoy9fo" Type="http://schemas.openxmlformats.org/officeDocument/2006/relationships/hyperlink" Target="https://academy.gmj.ge/ch9-5-controlled-drugs-management" TargetMode="External"/><Relationship Id="rIdk-bvryh-m5af3dbnv4lfb" Type="http://schemas.openxmlformats.org/officeDocument/2006/relationships/hyperlink" Target="https://www.who.int/publications/i/item/9241545100" TargetMode="External"/><Relationship Id="rIdhsdugznwprvznvdrcnabj" Type="http://schemas.openxmlformats.org/officeDocument/2006/relationships/hyperlink" Target="https://www.who.int/initiatives/medication-without-harm" TargetMode="External"/><Relationship Id="rIdf_zd13vvw5lb0diit_-tu" Type="http://schemas.openxmlformats.org/officeDocument/2006/relationships/hyperlink" Target="https://www.ismp.org" TargetMode="External"/><Relationship Id="rId6v9uvzb60xiwumvyp8-dz" Type="http://schemas.openxmlformats.org/officeDocument/2006/relationships/hyperlink" Target="https://academy.gmj.ge/ch9-6-adverse-drug-event-reporting" TargetMode="External"/><Relationship Id="rIdvdr3n9acjkcyt-xngedqp" Type="http://schemas.openxmlformats.org/officeDocument/2006/relationships/hyperlink" Target="https://www.who.int/publications/i/item/effective-vaccine-management" TargetMode="External"/><Relationship Id="rIdxn3qppjvfgr_pgsmwi31f" Type="http://schemas.openxmlformats.org/officeDocument/2006/relationships/hyperlink" Target="https://www.who.int/publications" TargetMode="External"/><Relationship Id="rId2zf8blgb9aqhldr09ynhh" Type="http://schemas.openxmlformats.org/officeDocument/2006/relationships/hyperlink" Target="https://www.paho.org" TargetMode="External"/><Relationship Id="rIdkl_luluni78mnm_-ddccy" Type="http://schemas.openxmlformats.org/officeDocument/2006/relationships/hyperlink" Target="https://academy.gmj.ge/ch9-7-pharmacy-cold-chain-vaccine" TargetMode="External"/><Relationship Id="rIdqfkbnctagrr1gra2tgldw" Type="http://schemas.openxmlformats.org/officeDocument/2006/relationships/hyperlink" Target="https://www.who.int/initiatives/medication-without-harm" TargetMode="External"/><Relationship Id="rIdyavopjvh8tcpajkqmawai" Type="http://schemas.openxmlformats.org/officeDocument/2006/relationships/hyperlink" Target="https://www.ismp.org/guidelines" TargetMode="External"/><Relationship Id="rIdu1n5hueyagj1nw1tmhivq" Type="http://schemas.openxmlformats.org/officeDocument/2006/relationships/hyperlink" Target="https://doi.org/10.1136/bmj.320.7237.768" TargetMode="External"/><Relationship Id="rIdwdt1brhce4tosktxr4nf5" Type="http://schemas.openxmlformats.org/officeDocument/2006/relationships/hyperlink" Target="https://academy.gmj.ge/ch9-8-medication-error-review-learning" TargetMode="External"/><Relationship Id="rId0tc50evapd2stwhjarnlu" Type="http://schemas.openxmlformats.org/officeDocument/2006/relationships/hyperlink" Target="https://www.who.int/publications/i/item/9789241547034" TargetMode="External"/><Relationship Id="rIdkvbrradro7ftqsc93gptg" Type="http://schemas.openxmlformats.org/officeDocument/2006/relationships/hyperlink" Target="https://www.fip.org" TargetMode="External"/><Relationship Id="rIdrikw63zx9fmxsvko-gphu" Type="http://schemas.openxmlformats.org/officeDocument/2006/relationships/hyperlink" Target="https://doi.org/10.1001/archinte.166.9.955" TargetMode="External"/><Relationship Id="rIdpi63hhoinfq3hxgui3n8c" Type="http://schemas.openxmlformats.org/officeDocument/2006/relationships/hyperlink" Target="https://academy.gmj.ge/ch9-9-clinical-pharmacy-therapeutic-review" TargetMode="External"/><Relationship Id="rIdubkga5mnzphmawufdqljq" Type="http://schemas.openxmlformats.org/officeDocument/2006/relationships/hyperlink" Target="https://www.who.int/publications/i/item/WHO-MHP-HPS-EML-2023.02" TargetMode="External"/><Relationship Id="rId_j_inokfxvj3sjwxfnrly" Type="http://schemas.openxmlformats.org/officeDocument/2006/relationships/hyperlink" Target="https://www.who.int/publications/i/item/WHO-EDM-2002.3" TargetMode="External"/><Relationship Id="rIdewfggpm_z_prj9brsv-v8" Type="http://schemas.openxmlformats.org/officeDocument/2006/relationships/hyperlink" Target="https://www.msh.org" TargetMode="External"/><Relationship Id="rIdojtnajo4edu7-5xi2g75a" Type="http://schemas.openxmlformats.org/officeDocument/2006/relationships/hyperlink" Target="https://academy.gmj.ge/ch9-10-formulary-management-rational-use" TargetMode="External"/><Relationship Id="rId8uy3tsty2hdhe6l0xxbma" Type="http://schemas.openxmlformats.org/officeDocument/2006/relationships/hyperlink" Target="https://www.who.int/publications/i/item/9789241593727" TargetMode="External"/><Relationship Id="rIdmckcfhnqljvri8wwv7nxa" Type="http://schemas.openxmlformats.org/officeDocument/2006/relationships/hyperlink" Target="https://www.fip.org/good-pharmacy-practice" TargetMode="External"/><Relationship Id="rIdriylh6yzz2hwt-gko5lfb" Type="http://schemas.openxmlformats.org/officeDocument/2006/relationships/hyperlink" Target="https://www.ismp.org/guidelines" TargetMode="External"/><Relationship Id="rIdkujoizbqr9ibmyxkcfy01" Type="http://schemas.openxmlformats.org/officeDocument/2006/relationships/hyperlink" Target="https://www.ismp.org/recommendations/high-alert-medications-acute-list" TargetMode="External"/><Relationship Id="rIdwoyzhcstxfdcddphbeml1" Type="http://schemas.openxmlformats.org/officeDocument/2006/relationships/hyperlink" Target="https://www.who.int/initiatives/medication-without-harm" TargetMode="External"/><Relationship Id="rIdzgaodgjwayct1qtxmn8am" Type="http://schemas.openxmlformats.org/officeDocument/2006/relationships/hyperlink" Target="https://www.jointcommissioninternational.org" TargetMode="External"/><Relationship Id="rIdtqcyysxppeqhvapi4x1hi" Type="http://schemas.openxmlformats.org/officeDocument/2006/relationships/hyperlink" Target="https://www.who.int/initiatives/medication-without-harm" TargetMode="External"/><Relationship Id="rId1jk-8ingbx9hbstmrnbah" Type="http://schemas.openxmlformats.org/officeDocument/2006/relationships/hyperlink" Target="http://www.ihi.org/resources" TargetMode="External"/><Relationship Id="rIdhqz7xantlmrnzmlonagca" Type="http://schemas.openxmlformats.org/officeDocument/2006/relationships/hyperlink" Target="https://doi.org/10.1001/archinternmed.2012.2246" TargetMode="External"/><Relationship Id="rIdz4syqe6vagmaq-pxwnhu4" Type="http://schemas.openxmlformats.org/officeDocument/2006/relationships/hyperlink" Target="https://www.who.int/initiatives/medication-without-harm" TargetMode="External"/><Relationship Id="rId6kuvlnahoeq5ghrm9-kj2" Type="http://schemas.openxmlformats.org/officeDocument/2006/relationships/hyperlink" Target="https://www.ashp.org/pharmacy-practice/policy-positions-and-guidelines" TargetMode="External"/><Relationship Id="rIdtrdjmabyqanb1zuxoqkkz" Type="http://schemas.openxmlformats.org/officeDocument/2006/relationships/hyperlink" Target="https://www.ismp.org/guidelines" TargetMode="External"/><Relationship Id="rIdurc5kj8gejujhbwdvckt_" Type="http://schemas.openxmlformats.org/officeDocument/2006/relationships/hyperlink" Target="https://www.who.int/publications/i/item/9789241547543" TargetMode="External"/><Relationship Id="rIdg9kz6qypwjqr_uh90tqvy" Type="http://schemas.openxmlformats.org/officeDocument/2006/relationships/hyperlink" Target="https://www.incb.org" TargetMode="External"/><Relationship Id="rIdehed29rjgovnnl_1icmmk" Type="http://schemas.openxmlformats.org/officeDocument/2006/relationships/hyperlink" Target="https://www.who.int/teams/mental-health-and-substance-use" TargetMode="External"/><Relationship Id="rIdbqgwlhuyd7v0m61fg9grq" Type="http://schemas.openxmlformats.org/officeDocument/2006/relationships/hyperlink" Target="https://www.who.int/publications/i/item/9241545100" TargetMode="External"/><Relationship Id="rIdxypo_xgvwdv0tftxltytz" Type="http://schemas.openxmlformats.org/officeDocument/2006/relationships/hyperlink" Target="https://www.who.int/initiatives/medication-without-harm" TargetMode="External"/><Relationship Id="rIdm-an-wxekjojw43tu-mn4" Type="http://schemas.openxmlformats.org/officeDocument/2006/relationships/hyperlink" Target="https://www.ismp.org" TargetMode="External"/><Relationship Id="rIdl1hsafsc1exhxyiv2thol" Type="http://schemas.openxmlformats.org/officeDocument/2006/relationships/hyperlink" Target="https://www.who.int/publications/i/item/effective-vaccine-management" TargetMode="External"/><Relationship Id="rIdwplqu2yi8cvkl4xmhvpim" Type="http://schemas.openxmlformats.org/officeDocument/2006/relationships/hyperlink" Target="https://www.who.int/publications" TargetMode="External"/><Relationship Id="rIdg6t6axydbfwfqb1ichy1d" Type="http://schemas.openxmlformats.org/officeDocument/2006/relationships/hyperlink" Target="https://www.paho.org" TargetMode="External"/><Relationship Id="rId1ptc4lapilue9dszxira-" Type="http://schemas.openxmlformats.org/officeDocument/2006/relationships/hyperlink" Target="https://www.who.int/initiatives/medication-without-harm" TargetMode="External"/><Relationship Id="rIdxtpywkn1wyfpcwxt_mtrv" Type="http://schemas.openxmlformats.org/officeDocument/2006/relationships/hyperlink" Target="https://www.ismp.org/guidelines" TargetMode="External"/><Relationship Id="rId13ub8utoed_9ljmlns3iy" Type="http://schemas.openxmlformats.org/officeDocument/2006/relationships/hyperlink" Target="https://doi.org/10.1136/bmj.320.7237.768" TargetMode="External"/><Relationship Id="rIdjgkugysi9boi-jqxnqbe4" Type="http://schemas.openxmlformats.org/officeDocument/2006/relationships/hyperlink" Target="https://www.who.int/publications/i/item/9789241547034" TargetMode="External"/><Relationship Id="rIdmvh7ivnxdbywmzszgavfz" Type="http://schemas.openxmlformats.org/officeDocument/2006/relationships/hyperlink" Target="https://www.fip.org" TargetMode="External"/><Relationship Id="rIdvn0xktpxi-3oitfvghv0v" Type="http://schemas.openxmlformats.org/officeDocument/2006/relationships/hyperlink" Target="https://doi.org/10.1001/archinte.166.9.955" TargetMode="External"/><Relationship Id="rId4bv3n8weezurrqwccwm7o" Type="http://schemas.openxmlformats.org/officeDocument/2006/relationships/hyperlink" Target="https://www.who.int/publications/i/item/WHO-MHP-HPS-EML-2023.02" TargetMode="External"/><Relationship Id="rIdk72aduf7l44wperwvkz7i" Type="http://schemas.openxmlformats.org/officeDocument/2006/relationships/hyperlink" Target="https://www.who.int/publications/i/item/WHO-EDM-2002.3" TargetMode="External"/><Relationship Id="rIdbj9npvoay0wkes1jbov92" Type="http://schemas.openxmlformats.org/officeDocument/2006/relationships/hyperlink" Target="https://www.msh.org" TargetMode="External"/><Relationship Id="rId8" Type="http://schemas.openxmlformats.org/officeDocument/2006/relationships/image" Target="media/d139395916e07bb04734db2f45792b16c08ff223.png"/><Relationship Id="rId8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2026-08-29T20:21:55.478Z</dcterms:created>
  <dcterms:modified xsi:type="dcterms:W3CDTF">2026-08-29T20:21:55.493Z</dcterms:modified>
</cp:coreProperties>
</file>

<file path=docProps/custom.xml><?xml version="1.0" encoding="utf-8"?>
<Properties xmlns="http://schemas.openxmlformats.org/officeDocument/2006/custom-properties" xmlns:vt="http://schemas.openxmlformats.org/officeDocument/2006/docPropsVTypes"/>
</file>