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before="1800"/>
        <w:jc w:val="center"/>
      </w:pPr>
      <w:r>
        <w:drawing>
          <wp:inline distT="0" distB="0" distL="0" distR="0">
            <wp:extent cx="914400" cy="847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914400" cy="847725"/>
                    </a:xfrm>
                    <a:prstGeom prst="rect">
                      <a:avLst/>
                    </a:prstGeom>
                  </pic:spPr>
                </pic:pic>
              </a:graphicData>
            </a:graphic>
          </wp:inline>
        </w:drawing>
      </w:r>
    </w:p>
    <w:p>
      <w:pPr>
        <w:spacing w:after="200" w:before="0" w:line="300"/>
        <w:jc w:val="center"/>
      </w:pPr>
      <w:r>
        <w:rPr>
          <w:rFonts w:ascii="Arial" w:cs="Arial" w:eastAsia="Arial" w:hAnsi="Arial"/>
          <w:b/>
          <w:bCs/>
          <w:i w:val="false"/>
          <w:iCs w:val="false"/>
          <w:color w:val="C9A227"/>
          <w:sz w:val="20"/>
          <w:szCs w:val="20"/>
        </w:rPr>
        <w:t xml:space="preserve">ACCRÉDITATION SANS FRONTIÈRES</w:t>
      </w:r>
    </w:p>
    <w:p>
      <w:pPr>
        <w:spacing w:after="300" w:before="0" w:line="300"/>
        <w:jc w:val="center"/>
      </w:pPr>
      <w:r>
        <w:rPr>
          <w:rFonts w:ascii="Arial" w:cs="Arial" w:eastAsia="Arial" w:hAnsi="Arial"/>
          <w:b w:val="false"/>
          <w:bCs w:val="false"/>
          <w:i w:val="false"/>
          <w:iCs w:val="false"/>
          <w:color w:val="6B778C"/>
          <w:sz w:val="18"/>
          <w:szCs w:val="18"/>
        </w:rPr>
        <w:t xml:space="preserve">Patient Voice Toolkit</w:t>
      </w:r>
    </w:p>
    <w:p>
      <w:pPr>
        <w:spacing w:after="200" w:line="400"/>
        <w:jc w:val="center"/>
      </w:pPr>
      <w:r>
        <w:rPr>
          <w:rFonts w:ascii="Georgia" w:cs="Georgia" w:eastAsia="Georgia" w:hAnsi="Georgia"/>
          <w:b/>
          <w:bCs/>
          <w:i w:val="false"/>
          <w:iCs w:val="false"/>
          <w:color w:val="0E2647"/>
          <w:sz w:val="40"/>
          <w:szCs w:val="40"/>
        </w:rPr>
        <w:t xml:space="preserve">Patient Voice Council — Member Agreement</w:t>
      </w:r>
    </w:p>
    <w:p>
      <w:pPr>
        <w:spacing w:after="600" w:before="0" w:line="300"/>
        <w:jc w:val="center"/>
      </w:pPr>
      <w:r>
        <w:rPr>
          <w:rFonts w:ascii="Arial" w:cs="Arial" w:eastAsia="Arial" w:hAnsi="Arial"/>
          <w:b w:val="false"/>
          <w:bCs w:val="false"/>
          <w:i/>
          <w:iCs/>
          <w:color w:val="6B778C"/>
          <w:sz w:val="21"/>
          <w:szCs w:val="21"/>
        </w:rPr>
        <w:t xml:space="preserve">The agreement every patient and family member signs on joining a council. Two pages of commitments, in plain language, with a filled example</w:t>
      </w:r>
    </w:p>
    <w:p>
      <w:pPr>
        <w:spacing w:after="100" w:before="0" w:line="300"/>
        <w:jc w:val="center"/>
      </w:pPr>
      <w:r>
        <w:rPr>
          <w:rFonts w:ascii="Arial" w:cs="Arial" w:eastAsia="Arial" w:hAnsi="Arial"/>
          <w:b/>
          <w:bCs/>
          <w:i w:val="false"/>
          <w:iCs w:val="false"/>
          <w:color w:val="0E2647"/>
          <w:sz w:val="19"/>
          <w:szCs w:val="19"/>
        </w:rPr>
        <w:t xml:space="preserve">Version 1 · 2026</w:t>
      </w:r>
    </w:p>
    <w:p>
      <w:pPr>
        <w:spacing w:after="120" w:before="0" w:line="300"/>
        <w:jc w:val="center"/>
      </w:pPr>
      <w:r>
        <w:rPr>
          <w:rFonts w:ascii="Arial" w:cs="Arial" w:eastAsia="Arial" w:hAnsi="Arial"/>
          <w:b w:val="false"/>
          <w:bCs w:val="false"/>
          <w:i w:val="false"/>
          <w:iCs w:val="false"/>
          <w:color w:val="6B778C"/>
          <w:sz w:val="17"/>
          <w:szCs w:val="17"/>
        </w:rPr>
        <w:t xml:space="preserve">Paris · Geneva · Tbilisi</w:t>
      </w:r>
    </w:p>
    <w:p>
      <w:r>
        <w:br w:type="page"/>
      </w:r>
    </w:p>
    <w:p>
      <w:pPr>
        <w:pStyle w:val="Heading1"/>
        <w:keepNext/>
        <w:spacing w:after="160" w:before="360"/>
      </w:pPr>
      <w:r>
        <w:rPr>
          <w:rFonts w:ascii="Arial" w:cs="Arial" w:eastAsia="Arial" w:hAnsi="Arial"/>
          <w:b/>
          <w:bCs/>
          <w:i w:val="false"/>
          <w:iCs w:val="false"/>
          <w:color w:val="0E2647"/>
          <w:sz w:val="27"/>
          <w:szCs w:val="27"/>
        </w:rPr>
        <w:t xml:space="preserve">Document Control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Title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Patient Voice Council — Member Agreement</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Reference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ASF-PV-MEMBER-001-v1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Version / Edition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Version 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Status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Published</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Date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Place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Paris, France</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Issuing Authority</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 International Standards Council, Accréditation Sans Frontières</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Language of Origin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English</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Effective Date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Next Scheduled Review</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2028</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Supersedes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None — first edition</w:t>
            </w:r>
          </w:p>
        </w:tc>
      </w:tr>
    </w:tbl>
    <w:p>
      <w:pPr>
        <w:spacing w:after="200"/>
      </w:pP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Free to reuse. </w:t>
      </w:r>
      <w:r>
        <w:rPr>
          <w:rFonts w:ascii="Arial" w:cs="Arial" w:eastAsia="Arial" w:hAnsi="Arial"/>
          <w:b w:val="false"/>
          <w:bCs w:val="false"/>
          <w:i w:val="false"/>
          <w:iCs w:val="false"/>
          <w:color w:val="5C4A0A"/>
          <w:sz w:val="18"/>
          <w:szCs w:val="18"/>
        </w:rPr>
        <w:t xml:space="preserve">This document is published in full by Accréditation Sans Frontières and may be adapted by any organization establishing a patient council in its own country, with attribution and a note of what was changed. It forms part of the Patient Voice Toolkit, all of which is available at france-asf.fr/patient-voice.</w:t>
      </w:r>
    </w:p>
    <w:p>
      <w:r>
        <w:br w:type="page"/>
      </w:r>
    </w:p>
    <w:p>
      <w:pPr>
        <w:pStyle w:val="Heading1"/>
        <w:keepNext/>
        <w:spacing w:after="160" w:before="360"/>
      </w:pPr>
      <w:r>
        <w:rPr>
          <w:rFonts w:ascii="Arial" w:cs="Arial" w:eastAsia="Arial" w:hAnsi="Arial"/>
          <w:b/>
          <w:bCs/>
          <w:i w:val="false"/>
          <w:iCs w:val="false"/>
          <w:color w:val="0E2647"/>
          <w:sz w:val="27"/>
          <w:szCs w:val="27"/>
        </w:rPr>
        <w:t xml:space="preserve">Table of Contents</w:t>
      </w:r>
    </w:p>
    <w:p>
      <w:pPr>
        <w:spacing w:after="60" w:before="0" w:line="300"/>
      </w:pPr>
      <w:r>
        <w:rPr>
          <w:rFonts w:ascii="Arial" w:cs="Arial" w:eastAsia="Arial" w:hAnsi="Arial"/>
          <w:b/>
          <w:bCs/>
          <w:i w:val="false"/>
          <w:iCs w:val="false"/>
          <w:color w:val="0E2647"/>
          <w:sz w:val="19"/>
          <w:szCs w:val="19"/>
        </w:rPr>
        <w:t xml:space="preserve">Foreword</w:t>
      </w:r>
    </w:p>
    <w:p>
      <w:pPr>
        <w:spacing w:after="60" w:before="0" w:line="300"/>
      </w:pPr>
      <w:r>
        <w:rPr>
          <w:rFonts w:ascii="Arial" w:cs="Arial" w:eastAsia="Arial" w:hAnsi="Arial"/>
          <w:b w:val="false"/>
          <w:bCs w:val="false"/>
          <w:i w:val="false"/>
          <w:iCs w:val="false"/>
          <w:color w:val="0E2647"/>
          <w:sz w:val="19"/>
          <w:szCs w:val="19"/>
        </w:rPr>
        <w:t xml:space="preserve">1. The Agreement</w:t>
      </w:r>
    </w:p>
    <w:p>
      <w:pPr>
        <w:spacing w:after="40" w:before="0" w:line="300"/>
        <w:ind w:left="400"/>
      </w:pPr>
      <w:r>
        <w:rPr>
          <w:rFonts w:ascii="Arial" w:cs="Arial" w:eastAsia="Arial" w:hAnsi="Arial"/>
          <w:b w:val="false"/>
          <w:bCs w:val="false"/>
          <w:i w:val="false"/>
          <w:iCs w:val="false"/>
          <w:color w:val="6B778C"/>
          <w:sz w:val="17"/>
          <w:szCs w:val="17"/>
        </w:rPr>
        <w:t xml:space="preserve">1.1 Parties</w:t>
      </w:r>
    </w:p>
    <w:p>
      <w:pPr>
        <w:spacing w:after="40" w:before="0" w:line="300"/>
        <w:ind w:left="400"/>
      </w:pPr>
      <w:r>
        <w:rPr>
          <w:rFonts w:ascii="Arial" w:cs="Arial" w:eastAsia="Arial" w:hAnsi="Arial"/>
          <w:b w:val="false"/>
          <w:bCs w:val="false"/>
          <w:i w:val="false"/>
          <w:iCs w:val="false"/>
          <w:color w:val="6B778C"/>
          <w:sz w:val="17"/>
          <w:szCs w:val="17"/>
        </w:rPr>
        <w:t xml:space="preserve">1.2 Purpose</w:t>
      </w:r>
    </w:p>
    <w:p>
      <w:pPr>
        <w:spacing w:after="40" w:before="0" w:line="300"/>
        <w:ind w:left="400"/>
      </w:pPr>
      <w:r>
        <w:rPr>
          <w:rFonts w:ascii="Arial" w:cs="Arial" w:eastAsia="Arial" w:hAnsi="Arial"/>
          <w:b w:val="false"/>
          <w:bCs w:val="false"/>
          <w:i w:val="false"/>
          <w:iCs w:val="false"/>
          <w:color w:val="6B778C"/>
          <w:sz w:val="17"/>
          <w:szCs w:val="17"/>
        </w:rPr>
        <w:t xml:space="preserve">1.3 Nature</w:t>
      </w:r>
    </w:p>
    <w:p>
      <w:pPr>
        <w:spacing w:after="60" w:before="0" w:line="300"/>
      </w:pPr>
      <w:r>
        <w:rPr>
          <w:rFonts w:ascii="Arial" w:cs="Arial" w:eastAsia="Arial" w:hAnsi="Arial"/>
          <w:b w:val="false"/>
          <w:bCs w:val="false"/>
          <w:i w:val="false"/>
          <w:iCs w:val="false"/>
          <w:color w:val="0E2647"/>
          <w:sz w:val="19"/>
          <w:szCs w:val="19"/>
        </w:rPr>
        <w:t xml:space="preserve">2. What the Member Can Expect</w:t>
      </w:r>
    </w:p>
    <w:p>
      <w:pPr>
        <w:spacing w:after="60" w:before="0" w:line="300"/>
      </w:pPr>
      <w:r>
        <w:rPr>
          <w:rFonts w:ascii="Arial" w:cs="Arial" w:eastAsia="Arial" w:hAnsi="Arial"/>
          <w:b w:val="false"/>
          <w:bCs w:val="false"/>
          <w:i w:val="false"/>
          <w:iCs w:val="false"/>
          <w:color w:val="0E2647"/>
          <w:sz w:val="19"/>
          <w:szCs w:val="19"/>
        </w:rPr>
        <w:t xml:space="preserve">3. Confidentiality</w:t>
      </w:r>
    </w:p>
    <w:p>
      <w:pPr>
        <w:spacing w:after="40" w:before="0" w:line="300"/>
        <w:ind w:left="400"/>
      </w:pPr>
      <w:r>
        <w:rPr>
          <w:rFonts w:ascii="Arial" w:cs="Arial" w:eastAsia="Arial" w:hAnsi="Arial"/>
          <w:b w:val="false"/>
          <w:bCs w:val="false"/>
          <w:i w:val="false"/>
          <w:iCs w:val="false"/>
          <w:color w:val="6B778C"/>
          <w:sz w:val="17"/>
          <w:szCs w:val="17"/>
        </w:rPr>
        <w:t xml:space="preserve">3.1 What is confidential</w:t>
      </w:r>
    </w:p>
    <w:p>
      <w:pPr>
        <w:spacing w:after="40" w:before="0" w:line="300"/>
        <w:ind w:left="400"/>
      </w:pPr>
      <w:r>
        <w:rPr>
          <w:rFonts w:ascii="Arial" w:cs="Arial" w:eastAsia="Arial" w:hAnsi="Arial"/>
          <w:b w:val="false"/>
          <w:bCs w:val="false"/>
          <w:i w:val="false"/>
          <w:iCs w:val="false"/>
          <w:color w:val="6B778C"/>
          <w:sz w:val="17"/>
          <w:szCs w:val="17"/>
        </w:rPr>
        <w:t xml:space="preserve">3.2 What is not</w:t>
      </w:r>
    </w:p>
    <w:p>
      <w:pPr>
        <w:spacing w:after="40" w:before="0" w:line="300"/>
        <w:ind w:left="400"/>
      </w:pPr>
      <w:r>
        <w:rPr>
          <w:rFonts w:ascii="Arial" w:cs="Arial" w:eastAsia="Arial" w:hAnsi="Arial"/>
          <w:b w:val="false"/>
          <w:bCs w:val="false"/>
          <w:i w:val="false"/>
          <w:iCs w:val="false"/>
          <w:color w:val="6B778C"/>
          <w:sz w:val="17"/>
          <w:szCs w:val="17"/>
        </w:rPr>
        <w:t xml:space="preserve">3.3 Duration</w:t>
      </w:r>
    </w:p>
    <w:p>
      <w:pPr>
        <w:spacing w:after="60" w:before="0" w:line="300"/>
      </w:pPr>
      <w:r>
        <w:rPr>
          <w:rFonts w:ascii="Arial" w:cs="Arial" w:eastAsia="Arial" w:hAnsi="Arial"/>
          <w:b w:val="false"/>
          <w:bCs w:val="false"/>
          <w:i w:val="false"/>
          <w:iCs w:val="false"/>
          <w:color w:val="0E2647"/>
          <w:sz w:val="19"/>
          <w:szCs w:val="19"/>
        </w:rPr>
        <w:t xml:space="preserve">4. Conduct</w:t>
      </w:r>
    </w:p>
    <w:p>
      <w:pPr>
        <w:spacing w:after="40" w:before="0" w:line="300"/>
        <w:ind w:left="400"/>
      </w:pPr>
      <w:r>
        <w:rPr>
          <w:rFonts w:ascii="Arial" w:cs="Arial" w:eastAsia="Arial" w:hAnsi="Arial"/>
          <w:b w:val="false"/>
          <w:bCs w:val="false"/>
          <w:i w:val="false"/>
          <w:iCs w:val="false"/>
          <w:color w:val="6B778C"/>
          <w:sz w:val="17"/>
          <w:szCs w:val="17"/>
        </w:rPr>
        <w:t xml:space="preserve">4.1 Public statements</w:t>
      </w:r>
    </w:p>
    <w:p>
      <w:pPr>
        <w:spacing w:after="40" w:before="0" w:line="300"/>
        <w:ind w:left="400"/>
      </w:pPr>
      <w:r>
        <w:rPr>
          <w:rFonts w:ascii="Arial" w:cs="Arial" w:eastAsia="Arial" w:hAnsi="Arial"/>
          <w:b w:val="false"/>
          <w:bCs w:val="false"/>
          <w:i w:val="false"/>
          <w:iCs w:val="false"/>
          <w:color w:val="6B778C"/>
          <w:sz w:val="17"/>
          <w:szCs w:val="17"/>
        </w:rPr>
        <w:t xml:space="preserve">4.2 Respect</w:t>
      </w:r>
    </w:p>
    <w:p>
      <w:pPr>
        <w:spacing w:after="40" w:before="0" w:line="300"/>
        <w:ind w:left="400"/>
      </w:pPr>
      <w:r>
        <w:rPr>
          <w:rFonts w:ascii="Arial" w:cs="Arial" w:eastAsia="Arial" w:hAnsi="Arial"/>
          <w:b w:val="false"/>
          <w:bCs w:val="false"/>
          <w:i w:val="false"/>
          <w:iCs w:val="false"/>
          <w:color w:val="6B778C"/>
          <w:sz w:val="17"/>
          <w:szCs w:val="17"/>
        </w:rPr>
        <w:t xml:space="preserve">4.3 Conflicts of interest</w:t>
      </w:r>
    </w:p>
    <w:p>
      <w:pPr>
        <w:spacing w:after="40" w:before="0" w:line="300"/>
        <w:ind w:left="400"/>
      </w:pPr>
      <w:r>
        <w:rPr>
          <w:rFonts w:ascii="Arial" w:cs="Arial" w:eastAsia="Arial" w:hAnsi="Arial"/>
          <w:b w:val="false"/>
          <w:bCs w:val="false"/>
          <w:i w:val="false"/>
          <w:iCs w:val="false"/>
          <w:color w:val="6B778C"/>
          <w:sz w:val="17"/>
          <w:szCs w:val="17"/>
        </w:rPr>
        <w:t xml:space="preserve">4.4 The WhatsApp group</w:t>
      </w:r>
    </w:p>
    <w:p>
      <w:pPr>
        <w:spacing w:after="60" w:before="0" w:line="300"/>
      </w:pPr>
      <w:r>
        <w:rPr>
          <w:rFonts w:ascii="Arial" w:cs="Arial" w:eastAsia="Arial" w:hAnsi="Arial"/>
          <w:b w:val="false"/>
          <w:bCs w:val="false"/>
          <w:i w:val="false"/>
          <w:iCs w:val="false"/>
          <w:color w:val="0E2647"/>
          <w:sz w:val="19"/>
          <w:szCs w:val="19"/>
        </w:rPr>
        <w:t xml:space="preserve">5. Personal Data</w:t>
      </w:r>
    </w:p>
    <w:p>
      <w:pPr>
        <w:spacing w:after="60" w:before="0" w:line="300"/>
      </w:pPr>
      <w:r>
        <w:rPr>
          <w:rFonts w:ascii="Arial" w:cs="Arial" w:eastAsia="Arial" w:hAnsi="Arial"/>
          <w:b w:val="false"/>
          <w:bCs w:val="false"/>
          <w:i w:val="false"/>
          <w:iCs w:val="false"/>
          <w:color w:val="0E2647"/>
          <w:sz w:val="19"/>
          <w:szCs w:val="19"/>
        </w:rPr>
        <w:t xml:space="preserve">6. Term and Ending</w:t>
      </w:r>
    </w:p>
    <w:p>
      <w:pPr>
        <w:spacing w:after="60" w:before="0" w:line="300"/>
      </w:pPr>
      <w:r>
        <w:rPr>
          <w:rFonts w:ascii="Arial" w:cs="Arial" w:eastAsia="Arial" w:hAnsi="Arial"/>
          <w:b w:val="false"/>
          <w:bCs w:val="false"/>
          <w:i w:val="false"/>
          <w:iCs w:val="false"/>
          <w:color w:val="0E2647"/>
          <w:sz w:val="19"/>
          <w:szCs w:val="19"/>
        </w:rPr>
        <w:t xml:space="preserve">7. Law and Disputes</w:t>
      </w:r>
    </w:p>
    <w:p>
      <w:pPr>
        <w:spacing w:after="60" w:before="0" w:line="300"/>
      </w:pPr>
      <w:r>
        <w:rPr>
          <w:rFonts w:ascii="Arial" w:cs="Arial" w:eastAsia="Arial" w:hAnsi="Arial"/>
          <w:b w:val="false"/>
          <w:bCs w:val="false"/>
          <w:i w:val="false"/>
          <w:iCs w:val="false"/>
          <w:color w:val="0E2647"/>
          <w:sz w:val="19"/>
          <w:szCs w:val="19"/>
        </w:rPr>
        <w:t xml:space="preserve">Annex A — Completed Example</w:t>
      </w:r>
    </w:p>
    <w:p>
      <w:pPr>
        <w:spacing w:after="60" w:before="0" w:line="300"/>
      </w:pPr>
      <w:r>
        <w:rPr>
          <w:rFonts w:ascii="Arial" w:cs="Arial" w:eastAsia="Arial" w:hAnsi="Arial"/>
          <w:b w:val="false"/>
          <w:bCs w:val="false"/>
          <w:i w:val="false"/>
          <w:iCs w:val="false"/>
          <w:color w:val="0E2647"/>
          <w:sz w:val="19"/>
          <w:szCs w:val="19"/>
        </w:rPr>
        <w:t xml:space="preserve">Annex B — Signature Form</w:t>
      </w:r>
    </w:p>
    <w:p>
      <w:pPr>
        <w:spacing w:after="60" w:before="0" w:line="300"/>
      </w:pPr>
      <w:r>
        <w:rPr>
          <w:rFonts w:ascii="Arial" w:cs="Arial" w:eastAsia="Arial" w:hAnsi="Arial"/>
          <w:b w:val="false"/>
          <w:bCs w:val="false"/>
          <w:i w:val="false"/>
          <w:iCs w:val="false"/>
          <w:color w:val="0E2647"/>
          <w:sz w:val="19"/>
          <w:szCs w:val="19"/>
        </w:rPr>
        <w:t xml:space="preserve">References</w:t>
      </w:r>
    </w:p>
    <w:p>
      <w:pPr>
        <w:spacing w:after="60" w:before="0" w:line="300"/>
      </w:pPr>
      <w:r>
        <w:rPr>
          <w:rFonts w:ascii="Arial" w:cs="Arial" w:eastAsia="Arial" w:hAnsi="Arial"/>
          <w:b w:val="false"/>
          <w:bCs w:val="false"/>
          <w:i w:val="false"/>
          <w:iCs w:val="false"/>
          <w:color w:val="0E2647"/>
          <w:sz w:val="19"/>
          <w:szCs w:val="19"/>
        </w:rPr>
        <w:t xml:space="preserve">Index</w:t>
      </w:r>
    </w:p>
    <w:p>
      <w:r>
        <w:br w:type="page"/>
      </w:r>
    </w:p>
    <w:p>
      <w:pPr>
        <w:pStyle w:val="Heading1"/>
        <w:keepNext/>
        <w:spacing w:after="160" w:before="360"/>
      </w:pPr>
      <w:r>
        <w:rPr>
          <w:rFonts w:ascii="Arial" w:cs="Arial" w:eastAsia="Arial" w:hAnsi="Arial"/>
          <w:b/>
          <w:bCs/>
          <w:i w:val="false"/>
          <w:iCs w:val="false"/>
          <w:color w:val="0E2647"/>
          <w:sz w:val="27"/>
          <w:szCs w:val="27"/>
        </w:rPr>
        <w:t xml:space="preserve">Foreword</w:t>
      </w:r>
    </w:p>
    <w:p>
      <w:pPr>
        <w:spacing w:after="120" w:before="0" w:line="300"/>
      </w:pPr>
      <w:r>
        <w:rPr>
          <w:rFonts w:ascii="Arial" w:cs="Arial" w:eastAsia="Arial" w:hAnsi="Arial"/>
          <w:b w:val="false"/>
          <w:bCs w:val="false"/>
          <w:i w:val="false"/>
          <w:iCs w:val="false"/>
          <w:color w:val="333333"/>
          <w:sz w:val="19"/>
          <w:szCs w:val="19"/>
        </w:rPr>
        <w:t xml:space="preserve">A council only works if people speak freely in it, and people only speak freely when they know what is said stays in the room. This agreement makes that promise mutual. It also protects the facility — which opens its problems to the council in confidence — and it protects each member from being drawn into public disputes they did not choose.</w:t>
      </w:r>
    </w:p>
    <w:p>
      <w:pPr>
        <w:spacing w:after="120" w:before="0" w:line="300"/>
      </w:pPr>
      <w:r>
        <w:rPr>
          <w:rFonts w:ascii="Arial" w:cs="Arial" w:eastAsia="Arial" w:hAnsi="Arial"/>
          <w:b w:val="false"/>
          <w:bCs w:val="false"/>
          <w:i w:val="false"/>
          <w:iCs w:val="false"/>
          <w:color w:val="333333"/>
          <w:sz w:val="19"/>
          <w:szCs w:val="19"/>
        </w:rPr>
        <w:t xml:space="preserve">It is written to be read and signed in ten minutes. It is not a contract of employment and creates no financial obligation on either side. Sections 1–7 are the agreement; Annex A is a completed example; Annex B is the form to sign.</w:t>
      </w: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How to use this document. </w:t>
      </w:r>
      <w:r>
        <w:rPr>
          <w:rFonts w:ascii="Arial" w:cs="Arial" w:eastAsia="Arial" w:hAnsi="Arial"/>
          <w:b w:val="false"/>
          <w:bCs w:val="false"/>
          <w:i w:val="false"/>
          <w:iCs w:val="false"/>
          <w:color w:val="5C4A0A"/>
          <w:sz w:val="18"/>
          <w:szCs w:val="18"/>
        </w:rPr>
        <w:t xml:space="preserve">Print Annex B for each new member. Read it together at the first meeting. Keep the signed copy with the secretariat. Where the council operates outside France, attach the local-law annex (ASF-PV-FACILITY-001, Annex C) so that the confidentiality and data clauses match national law.</w:t>
      </w:r>
    </w:p>
    <w:p>
      <w:pPr>
        <w:pStyle w:val="Heading1"/>
        <w:keepNext/>
        <w:spacing w:after="160" w:before="360"/>
      </w:pPr>
      <w:r>
        <w:rPr>
          <w:rFonts w:ascii="Arial" w:cs="Arial" w:eastAsia="Arial" w:hAnsi="Arial"/>
          <w:b/>
          <w:bCs/>
          <w:i w:val="false"/>
          <w:iCs w:val="false"/>
          <w:color w:val="0E2647"/>
          <w:sz w:val="27"/>
          <w:szCs w:val="27"/>
        </w:rPr>
        <w:t xml:space="preserve">1. The Agreement</w:t>
      </w:r>
    </w:p>
    <w:p>
      <w:pPr>
        <w:pStyle w:val="Heading2"/>
        <w:keepNext/>
        <w:spacing w:after="120" w:before="240"/>
      </w:pPr>
      <w:r>
        <w:rPr>
          <w:rFonts w:ascii="Arial" w:cs="Arial" w:eastAsia="Arial" w:hAnsi="Arial"/>
          <w:b/>
          <w:bCs/>
          <w:i w:val="false"/>
          <w:iCs w:val="false"/>
          <w:color w:val="0E2647"/>
          <w:sz w:val="22"/>
          <w:szCs w:val="22"/>
        </w:rPr>
        <w:t xml:space="preserve">1.1 Parties</w:t>
      </w:r>
    </w:p>
    <w:p>
      <w:pPr>
        <w:spacing w:after="120" w:before="0" w:line="300"/>
      </w:pPr>
      <w:r>
        <w:rPr>
          <w:rFonts w:ascii="Arial" w:cs="Arial" w:eastAsia="Arial" w:hAnsi="Arial"/>
          <w:b w:val="false"/>
          <w:bCs w:val="false"/>
          <w:i w:val="false"/>
          <w:iCs w:val="false"/>
          <w:color w:val="333333"/>
          <w:sz w:val="19"/>
          <w:szCs w:val="19"/>
        </w:rPr>
        <w:t xml:space="preserve">This agreement is between the member named in Annex B ("the member"), the facility named in Annex B ("the facility"), and the secretariat named in Annex B ("the secretariat"). Where the secretariat is Accréditation Sans Frontières, it is bound in addition by its Secretariat Impartiality Undertaking (ASF-PV-SECRETARIAT-001).</w:t>
      </w:r>
    </w:p>
    <w:p>
      <w:pPr>
        <w:pStyle w:val="Heading2"/>
        <w:keepNext/>
        <w:spacing w:after="120" w:before="240"/>
      </w:pPr>
      <w:r>
        <w:rPr>
          <w:rFonts w:ascii="Arial" w:cs="Arial" w:eastAsia="Arial" w:hAnsi="Arial"/>
          <w:b/>
          <w:bCs/>
          <w:i w:val="false"/>
          <w:iCs w:val="false"/>
          <w:color w:val="0E2647"/>
          <w:sz w:val="22"/>
          <w:szCs w:val="22"/>
        </w:rPr>
        <w:t xml:space="preserve">1.2 Purpose</w:t>
      </w:r>
    </w:p>
    <w:p>
      <w:pPr>
        <w:spacing w:after="120" w:before="0" w:line="300"/>
      </w:pPr>
      <w:r>
        <w:rPr>
          <w:rFonts w:ascii="Arial" w:cs="Arial" w:eastAsia="Arial" w:hAnsi="Arial"/>
          <w:b w:val="false"/>
          <w:bCs w:val="false"/>
          <w:i w:val="false"/>
          <w:iCs w:val="false"/>
          <w:color w:val="333333"/>
          <w:sz w:val="19"/>
          <w:szCs w:val="19"/>
        </w:rPr>
        <w:t xml:space="preserve">The member joins the Patient Voice Council of the facility to review, monthly, the feedback patients and families have given, to propose improvements, and to take part in patient education, under the Terms of Reference (ASF-PV-TOR-001).</w:t>
      </w:r>
    </w:p>
    <w:p>
      <w:pPr>
        <w:pStyle w:val="Heading2"/>
        <w:keepNext/>
        <w:spacing w:after="120" w:before="240"/>
      </w:pPr>
      <w:r>
        <w:rPr>
          <w:rFonts w:ascii="Arial" w:cs="Arial" w:eastAsia="Arial" w:hAnsi="Arial"/>
          <w:b/>
          <w:bCs/>
          <w:i w:val="false"/>
          <w:iCs w:val="false"/>
          <w:color w:val="0E2647"/>
          <w:sz w:val="22"/>
          <w:szCs w:val="22"/>
        </w:rPr>
        <w:t xml:space="preserve">1.3 Nature</w:t>
      </w:r>
    </w:p>
    <w:p>
      <w:pPr>
        <w:spacing w:after="120" w:before="0" w:line="300"/>
      </w:pPr>
      <w:r>
        <w:rPr>
          <w:rFonts w:ascii="Arial" w:cs="Arial" w:eastAsia="Arial" w:hAnsi="Arial"/>
          <w:b w:val="false"/>
          <w:bCs w:val="false"/>
          <w:i w:val="false"/>
          <w:iCs w:val="false"/>
          <w:color w:val="333333"/>
          <w:sz w:val="19"/>
          <w:szCs w:val="19"/>
        </w:rPr>
        <w:t xml:space="preserve">Membership is voluntary and unpaid. It is not employment, agency, or representation of the facility. The member may withdraw at any time by writing to the secretariat. The facility may not remove a member for what they raise in the council; removal is only for breach of Section 3 or 4, decided by the chair and the secretariat together.</w:t>
      </w:r>
    </w:p>
    <w:p>
      <w:pPr>
        <w:pStyle w:val="Heading1"/>
        <w:keepNext/>
        <w:spacing w:after="160" w:before="360"/>
      </w:pPr>
      <w:r>
        <w:rPr>
          <w:rFonts w:ascii="Arial" w:cs="Arial" w:eastAsia="Arial" w:hAnsi="Arial"/>
          <w:b/>
          <w:bCs/>
          <w:i w:val="false"/>
          <w:iCs w:val="false"/>
          <w:color w:val="0E2647"/>
          <w:sz w:val="27"/>
          <w:szCs w:val="27"/>
        </w:rPr>
        <w:t xml:space="preserve">2. What the Member Can Expect</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To receive the verified monthly report 48 hours before each meeting</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To speak freely in the meeting and to be recorded accurately</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To see an action log with owners and dates, and to be told at the next meeting what happened</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To have their own concerns about the facility handled through the same channels as any patient, with the same anonymity option</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Never to be disadvantaged in their own care, or that of their family, for anything said in the council</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To have their personal data handled under the Data Protection Policy and to see, correct or delete it on request</w:t>
      </w:r>
    </w:p>
    <w:p>
      <w:pPr>
        <w:pStyle w:val="Heading1"/>
        <w:keepNext/>
        <w:spacing w:after="160" w:before="360"/>
      </w:pPr>
      <w:r>
        <w:rPr>
          <w:rFonts w:ascii="Arial" w:cs="Arial" w:eastAsia="Arial" w:hAnsi="Arial"/>
          <w:b/>
          <w:bCs/>
          <w:i w:val="false"/>
          <w:iCs w:val="false"/>
          <w:color w:val="0E2647"/>
          <w:sz w:val="27"/>
          <w:szCs w:val="27"/>
        </w:rPr>
        <w:t xml:space="preserve">3. Confidentiality</w:t>
      </w:r>
    </w:p>
    <w:p>
      <w:pPr>
        <w:pStyle w:val="Heading2"/>
        <w:keepNext/>
        <w:spacing w:after="120" w:before="240"/>
      </w:pPr>
      <w:r>
        <w:rPr>
          <w:rFonts w:ascii="Arial" w:cs="Arial" w:eastAsia="Arial" w:hAnsi="Arial"/>
          <w:b/>
          <w:bCs/>
          <w:i w:val="false"/>
          <w:iCs w:val="false"/>
          <w:color w:val="0E2647"/>
          <w:sz w:val="22"/>
          <w:szCs w:val="22"/>
        </w:rPr>
        <w:t xml:space="preserve">3.1 What is confidential</w:t>
      </w:r>
    </w:p>
    <w:p>
      <w:pPr>
        <w:spacing w:after="120" w:before="0" w:line="300"/>
      </w:pPr>
      <w:r>
        <w:rPr>
          <w:rFonts w:ascii="Arial" w:cs="Arial" w:eastAsia="Arial" w:hAnsi="Arial"/>
          <w:b w:val="false"/>
          <w:bCs w:val="false"/>
          <w:i w:val="false"/>
          <w:iCs w:val="false"/>
          <w:color w:val="333333"/>
          <w:sz w:val="19"/>
          <w:szCs w:val="19"/>
        </w:rPr>
        <w:t xml:space="preserve">Everything the member learns in the council about: other patients or families; individual members of staff; the facility's internal matters, incidents, investigations, data and plans; and the content of any case, report or discussion, whether or not it is later published in summary.</w:t>
      </w:r>
    </w:p>
    <w:p>
      <w:pPr>
        <w:pStyle w:val="Heading2"/>
        <w:keepNext/>
        <w:spacing w:after="120" w:before="240"/>
      </w:pPr>
      <w:r>
        <w:rPr>
          <w:rFonts w:ascii="Arial" w:cs="Arial" w:eastAsia="Arial" w:hAnsi="Arial"/>
          <w:b/>
          <w:bCs/>
          <w:i w:val="false"/>
          <w:iCs w:val="false"/>
          <w:color w:val="0E2647"/>
          <w:sz w:val="22"/>
          <w:szCs w:val="22"/>
        </w:rPr>
        <w:t xml:space="preserve">3.2 What is not</w:t>
      </w:r>
    </w:p>
    <w:p>
      <w:pPr>
        <w:spacing w:after="120" w:before="0" w:line="300"/>
      </w:pPr>
      <w:r>
        <w:rPr>
          <w:rFonts w:ascii="Arial" w:cs="Arial" w:eastAsia="Arial" w:hAnsi="Arial"/>
          <w:b w:val="false"/>
          <w:bCs w:val="false"/>
          <w:i w:val="false"/>
          <w:iCs w:val="false"/>
          <w:color w:val="333333"/>
          <w:sz w:val="19"/>
          <w:szCs w:val="19"/>
        </w:rPr>
        <w:t xml:space="preserve">The existence of the council, the fact of the member's own membership, the published council record, the published annual summary, and the education materials. The member may say "I am on the patient council and this is what it does".</w:t>
      </w:r>
    </w:p>
    <w:p>
      <w:pPr>
        <w:pStyle w:val="Heading2"/>
        <w:keepNext/>
        <w:spacing w:after="120" w:before="240"/>
      </w:pPr>
      <w:r>
        <w:rPr>
          <w:rFonts w:ascii="Arial" w:cs="Arial" w:eastAsia="Arial" w:hAnsi="Arial"/>
          <w:b/>
          <w:bCs/>
          <w:i w:val="false"/>
          <w:iCs w:val="false"/>
          <w:color w:val="0E2647"/>
          <w:sz w:val="22"/>
          <w:szCs w:val="22"/>
        </w:rPr>
        <w:t xml:space="preserve">3.3 Duration</w:t>
      </w:r>
    </w:p>
    <w:p>
      <w:pPr>
        <w:spacing w:after="120" w:before="0" w:line="300"/>
      </w:pPr>
      <w:r>
        <w:rPr>
          <w:rFonts w:ascii="Arial" w:cs="Arial" w:eastAsia="Arial" w:hAnsi="Arial"/>
          <w:b w:val="false"/>
          <w:bCs w:val="false"/>
          <w:i w:val="false"/>
          <w:iCs w:val="false"/>
          <w:color w:val="333333"/>
          <w:sz w:val="19"/>
          <w:szCs w:val="19"/>
        </w:rPr>
        <w:t xml:space="preserve">The confidentiality obligation continues after the member leaves the council, without limit of time for information about identifiable people, and for five years for the facility's internal matters.</w:t>
      </w:r>
    </w:p>
    <w:p>
      <w:pPr>
        <w:pStyle w:val="Heading1"/>
        <w:keepNext/>
        <w:spacing w:after="160" w:before="360"/>
      </w:pPr>
      <w:r>
        <w:rPr>
          <w:rFonts w:ascii="Arial" w:cs="Arial" w:eastAsia="Arial" w:hAnsi="Arial"/>
          <w:b/>
          <w:bCs/>
          <w:i w:val="false"/>
          <w:iCs w:val="false"/>
          <w:color w:val="0E2647"/>
          <w:sz w:val="27"/>
          <w:szCs w:val="27"/>
        </w:rPr>
        <w:t xml:space="preserve">4. Conduct</w:t>
      </w:r>
    </w:p>
    <w:p>
      <w:pPr>
        <w:pStyle w:val="Heading2"/>
        <w:keepNext/>
        <w:spacing w:after="120" w:before="240"/>
      </w:pPr>
      <w:r>
        <w:rPr>
          <w:rFonts w:ascii="Arial" w:cs="Arial" w:eastAsia="Arial" w:hAnsi="Arial"/>
          <w:b/>
          <w:bCs/>
          <w:i w:val="false"/>
          <w:iCs w:val="false"/>
          <w:color w:val="0E2647"/>
          <w:sz w:val="22"/>
          <w:szCs w:val="22"/>
        </w:rPr>
        <w:t xml:space="preserve">4.1 Public statements</w:t>
      </w:r>
    </w:p>
    <w:p>
      <w:pPr>
        <w:spacing w:after="120" w:before="0" w:line="300"/>
      </w:pPr>
      <w:r>
        <w:rPr>
          <w:rFonts w:ascii="Arial" w:cs="Arial" w:eastAsia="Arial" w:hAnsi="Arial"/>
          <w:b w:val="false"/>
          <w:bCs w:val="false"/>
          <w:i w:val="false"/>
          <w:iCs w:val="false"/>
          <w:color w:val="333333"/>
          <w:sz w:val="19"/>
          <w:szCs w:val="19"/>
        </w:rPr>
        <w:t xml:space="preserve">The member does not post, publish, give interviews or contact media about council business, the facility, or its staff in their capacity as a member. Concerns are raised inside the council, not outside it. If the council decides something should be said publicly, the chair says it in words the council agreed. Nothing in this section restricts the member's rights as a private citizen on matters unrelated to the council, or the member's right to make a complaint to a regulator or to ASF under its Complaints Policy.</w:t>
      </w:r>
    </w:p>
    <w:p>
      <w:pPr>
        <w:pStyle w:val="Heading2"/>
        <w:keepNext/>
        <w:spacing w:after="120" w:before="240"/>
      </w:pPr>
      <w:r>
        <w:rPr>
          <w:rFonts w:ascii="Arial" w:cs="Arial" w:eastAsia="Arial" w:hAnsi="Arial"/>
          <w:b/>
          <w:bCs/>
          <w:i w:val="false"/>
          <w:iCs w:val="false"/>
          <w:color w:val="0E2647"/>
          <w:sz w:val="22"/>
          <w:szCs w:val="22"/>
        </w:rPr>
        <w:t xml:space="preserve">4.2 Respect</w:t>
      </w:r>
    </w:p>
    <w:p>
      <w:pPr>
        <w:spacing w:after="120" w:before="0" w:line="300"/>
      </w:pPr>
      <w:r>
        <w:rPr>
          <w:rFonts w:ascii="Arial" w:cs="Arial" w:eastAsia="Arial" w:hAnsi="Arial"/>
          <w:b w:val="false"/>
          <w:bCs w:val="false"/>
          <w:i w:val="false"/>
          <w:iCs w:val="false"/>
          <w:color w:val="333333"/>
          <w:sz w:val="19"/>
          <w:szCs w:val="19"/>
        </w:rPr>
        <w:t xml:space="preserve">The member treats other members, staff and the secretariat with courtesy, does not make damaging or defamatory statements about the facility or any person, and accepts that the council discusses practices and systems, not the character of individuals.</w:t>
      </w:r>
    </w:p>
    <w:p>
      <w:pPr>
        <w:pStyle w:val="Heading2"/>
        <w:keepNext/>
        <w:spacing w:after="120" w:before="240"/>
      </w:pPr>
      <w:r>
        <w:rPr>
          <w:rFonts w:ascii="Arial" w:cs="Arial" w:eastAsia="Arial" w:hAnsi="Arial"/>
          <w:b/>
          <w:bCs/>
          <w:i w:val="false"/>
          <w:iCs w:val="false"/>
          <w:color w:val="0E2647"/>
          <w:sz w:val="22"/>
          <w:szCs w:val="22"/>
        </w:rPr>
        <w:t xml:space="preserve">4.3 Conflicts of interest</w:t>
      </w:r>
    </w:p>
    <w:p>
      <w:pPr>
        <w:spacing w:after="120" w:before="0" w:line="300"/>
      </w:pPr>
      <w:r>
        <w:rPr>
          <w:rFonts w:ascii="Arial" w:cs="Arial" w:eastAsia="Arial" w:hAnsi="Arial"/>
          <w:b w:val="false"/>
          <w:bCs w:val="false"/>
          <w:i w:val="false"/>
          <w:iCs w:val="false"/>
          <w:color w:val="333333"/>
          <w:sz w:val="19"/>
          <w:szCs w:val="19"/>
        </w:rPr>
        <w:t xml:space="preserve">The member declares any personal, family or financial interest in a matter under discussion and does not take part in that item. A member who becomes an employee or supplier of the facility, or acquires a financial interest in it, tells the secretariat and steps down.</w:t>
      </w:r>
    </w:p>
    <w:p>
      <w:pPr>
        <w:pStyle w:val="Heading2"/>
        <w:keepNext/>
        <w:spacing w:after="120" w:before="240"/>
      </w:pPr>
      <w:r>
        <w:rPr>
          <w:rFonts w:ascii="Arial" w:cs="Arial" w:eastAsia="Arial" w:hAnsi="Arial"/>
          <w:b/>
          <w:bCs/>
          <w:i w:val="false"/>
          <w:iCs w:val="false"/>
          <w:color w:val="0E2647"/>
          <w:sz w:val="22"/>
          <w:szCs w:val="22"/>
        </w:rPr>
        <w:t xml:space="preserve">4.4 The WhatsApp group</w:t>
      </w:r>
    </w:p>
    <w:p>
      <w:pPr>
        <w:spacing w:after="120" w:before="0" w:line="300"/>
      </w:pPr>
      <w:r>
        <w:rPr>
          <w:rFonts w:ascii="Arial" w:cs="Arial" w:eastAsia="Arial" w:hAnsi="Arial"/>
          <w:b w:val="false"/>
          <w:bCs w:val="false"/>
          <w:i w:val="false"/>
          <w:iCs w:val="false"/>
          <w:color w:val="333333"/>
          <w:sz w:val="19"/>
          <w:szCs w:val="19"/>
        </w:rPr>
        <w:t xml:space="preserve">The group is for logistics, reports and materials. The member does not post individual cases, names, photographs of patients or records, or debate about a specific staff member. Such matters go to the secretariat directly.</w:t>
      </w:r>
    </w:p>
    <w:p>
      <w:pPr>
        <w:pStyle w:val="Heading1"/>
        <w:keepNext/>
        <w:spacing w:after="160" w:before="360"/>
      </w:pPr>
      <w:r>
        <w:rPr>
          <w:rFonts w:ascii="Arial" w:cs="Arial" w:eastAsia="Arial" w:hAnsi="Arial"/>
          <w:b/>
          <w:bCs/>
          <w:i w:val="false"/>
          <w:iCs w:val="false"/>
          <w:color w:val="0E2647"/>
          <w:sz w:val="27"/>
          <w:szCs w:val="27"/>
        </w:rPr>
        <w:t xml:space="preserve">5. Personal Data</w:t>
      </w:r>
    </w:p>
    <w:p>
      <w:pPr>
        <w:spacing w:after="120" w:before="0" w:line="300"/>
      </w:pPr>
      <w:r>
        <w:rPr>
          <w:rFonts w:ascii="Arial" w:cs="Arial" w:eastAsia="Arial" w:hAnsi="Arial"/>
          <w:b w:val="false"/>
          <w:bCs w:val="false"/>
          <w:i w:val="false"/>
          <w:iCs w:val="false"/>
          <w:color w:val="333333"/>
          <w:sz w:val="19"/>
          <w:szCs w:val="19"/>
        </w:rPr>
        <w:t xml:space="preserve">The secretariat holds the member's name, contact details, relationship to the facility and attendance record, for the purposes of running the council, under the ASF Data Protection Policy (ASF-DATAPROTECT-001) and applicable law. Data is not shared with the facility beyond name and attendance, is not used for any other purpose, and is deleted twelve months after the member leaves. The member may ask to see, correct or delete their data at any time by writing to the secretariat.</w:t>
      </w:r>
    </w:p>
    <w:p>
      <w:pPr>
        <w:pStyle w:val="Heading1"/>
        <w:keepNext/>
        <w:spacing w:after="160" w:before="360"/>
      </w:pPr>
      <w:r>
        <w:rPr>
          <w:rFonts w:ascii="Arial" w:cs="Arial" w:eastAsia="Arial" w:hAnsi="Arial"/>
          <w:b/>
          <w:bCs/>
          <w:i w:val="false"/>
          <w:iCs w:val="false"/>
          <w:color w:val="0E2647"/>
          <w:sz w:val="27"/>
          <w:szCs w:val="27"/>
        </w:rPr>
        <w:t xml:space="preserve">6. Term and Ending</w:t>
      </w:r>
    </w:p>
    <w:p>
      <w:pPr>
        <w:spacing w:after="120" w:before="0" w:line="300"/>
      </w:pPr>
      <w:r>
        <w:rPr>
          <w:rFonts w:ascii="Arial" w:cs="Arial" w:eastAsia="Arial" w:hAnsi="Arial"/>
          <w:b w:val="false"/>
          <w:bCs w:val="false"/>
          <w:i w:val="false"/>
          <w:iCs w:val="false"/>
          <w:color w:val="333333"/>
          <w:sz w:val="19"/>
          <w:szCs w:val="19"/>
        </w:rPr>
        <w:t xml:space="preserve">No fixed term. The member may withdraw at any time. After three consecutive missed meetings the secretariat will ask whether the member wishes to continue. Membership ends on withdrawal, on loss of eligibility (Section 4.3), or on a decision under Section 1.3. On ending, Sections 3 and 5 continue to apply.</w:t>
      </w:r>
    </w:p>
    <w:p>
      <w:pPr>
        <w:pStyle w:val="Heading1"/>
        <w:keepNext/>
        <w:spacing w:after="160" w:before="360"/>
      </w:pPr>
      <w:r>
        <w:rPr>
          <w:rFonts w:ascii="Arial" w:cs="Arial" w:eastAsia="Arial" w:hAnsi="Arial"/>
          <w:b/>
          <w:bCs/>
          <w:i w:val="false"/>
          <w:iCs w:val="false"/>
          <w:color w:val="0E2647"/>
          <w:sz w:val="27"/>
          <w:szCs w:val="27"/>
        </w:rPr>
        <w:t xml:space="preserve">7. Law and Disputes</w:t>
      </w:r>
    </w:p>
    <w:p>
      <w:pPr>
        <w:spacing w:after="120" w:before="0" w:line="300"/>
      </w:pPr>
      <w:r>
        <w:rPr>
          <w:rFonts w:ascii="Arial" w:cs="Arial" w:eastAsia="Arial" w:hAnsi="Arial"/>
          <w:b w:val="false"/>
          <w:bCs w:val="false"/>
          <w:i w:val="false"/>
          <w:iCs w:val="false"/>
          <w:color w:val="333333"/>
          <w:sz w:val="19"/>
          <w:szCs w:val="19"/>
        </w:rPr>
        <w:t xml:space="preserve">This agreement is governed by French law and, where a local-law annex is attached, by the law named in it for the clauses it covers. Any dispute about this agreement is raised first with the secretariat, then with ASF under its Public Complaints and Feedback Policy. No party will bring legal proceedings against another over council business without first following that process.</w:t>
      </w:r>
    </w:p>
    <w:p>
      <w:r>
        <w:br w:type="page"/>
      </w:r>
    </w:p>
    <w:p>
      <w:pPr>
        <w:pStyle w:val="Heading1"/>
        <w:keepNext/>
        <w:spacing w:after="160" w:before="360"/>
      </w:pPr>
      <w:r>
        <w:rPr>
          <w:rFonts w:ascii="Arial" w:cs="Arial" w:eastAsia="Arial" w:hAnsi="Arial"/>
          <w:b/>
          <w:bCs/>
          <w:i w:val="false"/>
          <w:iCs w:val="false"/>
          <w:color w:val="0E2647"/>
          <w:sz w:val="27"/>
          <w:szCs w:val="27"/>
        </w:rPr>
        <w:t xml:space="preserve">Annex A — Completed Example</w:t>
      </w:r>
    </w:p>
    <w:p>
      <w:pPr>
        <w:spacing w:after="120" w:before="0" w:line="300"/>
      </w:pPr>
      <w:r>
        <w:rPr>
          <w:rFonts w:ascii="Arial" w:cs="Arial" w:eastAsia="Arial" w:hAnsi="Arial"/>
          <w:b w:val="false"/>
          <w:bCs w:val="false"/>
          <w:i/>
          <w:iCs/>
          <w:color w:val="333333"/>
          <w:sz w:val="19"/>
          <w:szCs w:val="19"/>
        </w:rPr>
        <w:t xml:space="preserve">An illustration only. Names are fictitious.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Facility</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Ultra Health Clinic, 15 Ureki Street, Tbilisi, Georgia</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Secretariat</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Accréditation Sans Frontières — secretariat: Ana Beridze</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Member</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Tamar Kvirikashvili</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Relationship to the facility</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Former inpatient (surgery, February 2026) and mother of a current outpatient</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Contact</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tamar.k@example.ge · +995 5xx xx xx xx</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Why I want to join</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"My discharge took six hours and nobody could tell me why. I want that to change for the next person."</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Declared interests</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None</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Local-law annex attached</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Yes — Georgia (ASF-PV-FACILITY-001, Annex C)</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Date signed</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8 April 2026</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Signed by</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Member · Facility liaison (Head of Quality, Dr. G. Lomidze) · Secretariat (A. Beridze)</w:t>
            </w:r>
          </w:p>
        </w:tc>
      </w:tr>
    </w:tbl>
    <w:p>
      <w:r>
        <w:br w:type="page"/>
      </w:r>
    </w:p>
    <w:p>
      <w:pPr>
        <w:pStyle w:val="Heading1"/>
        <w:keepNext/>
        <w:spacing w:after="160" w:before="360"/>
      </w:pPr>
      <w:r>
        <w:rPr>
          <w:rFonts w:ascii="Arial" w:cs="Arial" w:eastAsia="Arial" w:hAnsi="Arial"/>
          <w:b/>
          <w:bCs/>
          <w:i w:val="false"/>
          <w:iCs w:val="false"/>
          <w:color w:val="0E2647"/>
          <w:sz w:val="27"/>
          <w:szCs w:val="27"/>
        </w:rPr>
        <w:t xml:space="preserve">Annex B — Signature Form</w:t>
      </w:r>
    </w:p>
    <w:p>
      <w:pPr>
        <w:spacing w:after="160" w:line="320"/>
      </w:pPr>
      <w:r>
        <w:rPr>
          <w:rFonts w:ascii="Arial" w:cs="Arial" w:eastAsia="Arial" w:hAnsi="Arial"/>
          <w:b/>
          <w:bCs/>
          <w:i w:val="false"/>
          <w:iCs w:val="false"/>
          <w:color w:val="333333"/>
          <w:sz w:val="18"/>
          <w:szCs w:val="18"/>
        </w:rPr>
        <w:t xml:space="preserve">Facility: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Secretariat organization and named secretariat: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Member — full name: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Relationship to the facility (patient / family member / carer):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Contact (phone, email):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Why I want to join (one sentence):  </w:t>
      </w:r>
      <w:r>
        <w:rPr>
          <w:rFonts w:ascii="Arial" w:cs="Arial" w:eastAsia="Arial" w:hAnsi="Arial"/>
          <w:b w:val="false"/>
          <w:bCs w:val="false"/>
          <w:i w:val="false"/>
          <w:iCs w:val="false"/>
          <w:color w:val="6B778C"/>
          <w:sz w:val="19"/>
          <w:szCs w:val="19"/>
        </w:rPr>
        <w:t xml:space="preserve">__________________________________________________</w:t>
      </w:r>
    </w:p>
    <w:p>
      <w:pPr>
        <w:spacing w:after="160" w:line="320"/>
      </w:pPr>
      <w:r>
        <w:rPr>
          <w:rFonts w:ascii="Arial" w:cs="Arial" w:eastAsia="Arial" w:hAnsi="Arial"/>
          <w:b/>
          <w:bCs/>
          <w:i w:val="false"/>
          <w:iCs w:val="false"/>
          <w:color w:val="333333"/>
          <w:sz w:val="18"/>
          <w:szCs w:val="18"/>
        </w:rPr>
        <w:t xml:space="preserve">Declared interests (or "none"):  </w:t>
      </w:r>
      <w:r>
        <w:rPr>
          <w:rFonts w:ascii="Arial" w:cs="Arial" w:eastAsia="Arial" w:hAnsi="Arial"/>
          <w:b w:val="false"/>
          <w:bCs w:val="false"/>
          <w:i w:val="false"/>
          <w:iCs w:val="false"/>
          <w:color w:val="6B778C"/>
          <w:sz w:val="19"/>
          <w:szCs w:val="19"/>
        </w:rPr>
        <w:t xml:space="preserve">__________________________________________________</w:t>
      </w:r>
    </w:p>
    <w:p>
      <w:pPr>
        <w:spacing w:after="120"/>
      </w:pPr>
    </w:p>
    <w:p>
      <w:pPr>
        <w:spacing w:after="120" w:before="0" w:line="300"/>
      </w:pPr>
      <w:r>
        <w:rPr>
          <w:rFonts w:ascii="Arial" w:cs="Arial" w:eastAsia="Arial" w:hAnsi="Arial"/>
          <w:b/>
          <w:bCs/>
          <w:i w:val="false"/>
          <w:iCs w:val="false"/>
          <w:color w:val="333333"/>
          <w:sz w:val="19"/>
          <w:szCs w:val="19"/>
        </w:rPr>
        <w:t xml:space="preserve">I have read Sections 1 to 7 of this agreement, the Terms of Reference (ASF-PV-TOR-001) have been explained to me, and I agree to them.</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I agree to keep confidential everything described in Section 3</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I agree to the conduct rules in Section 4</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I consent to the handling of my personal data as described in Section 5</w:t>
      </w:r>
    </w:p>
    <w:p>
      <w:pPr>
        <w:spacing w:after="120" w:line="300"/>
        <w:ind w:left="200"/>
      </w:pPr>
      <w:r>
        <w:rPr>
          <w:rFonts w:ascii="Arial" w:cs="Arial" w:eastAsia="Arial" w:hAnsi="Arial"/>
          <w:b w:val="false"/>
          <w:bCs w:val="false"/>
          <w:i w:val="false"/>
          <w:iCs w:val="false"/>
          <w:color w:val="0E2647"/>
          <w:sz w:val="19"/>
          <w:szCs w:val="19"/>
        </w:rPr>
        <w:t xml:space="preserve">☐  </w:t>
      </w:r>
      <w:r>
        <w:rPr>
          <w:rFonts w:ascii="Arial" w:cs="Arial" w:eastAsia="Arial" w:hAnsi="Arial"/>
          <w:b w:val="false"/>
          <w:bCs w:val="false"/>
          <w:i w:val="false"/>
          <w:iCs w:val="false"/>
          <w:color w:val="333333"/>
          <w:sz w:val="19"/>
          <w:szCs w:val="19"/>
        </w:rPr>
        <w:t xml:space="preserve">I understand membership is voluntary and unpaid and that I may withdraw at any time</w:t>
      </w:r>
    </w:p>
    <w:p>
      <w:pPr>
        <w:spacing w:after="200"/>
      </w:pPr>
    </w:p>
    <w:p>
      <w:pPr>
        <w:spacing w:after="120" w:before="0" w:line="300"/>
      </w:pPr>
      <w:r>
        <w:rPr>
          <w:rFonts w:ascii="Arial" w:cs="Arial" w:eastAsia="Arial" w:hAnsi="Arial"/>
          <w:b/>
          <w:bCs/>
          <w:i w:val="false"/>
          <w:iCs w:val="false"/>
          <w:color w:val="0E2647"/>
          <w:sz w:val="19"/>
          <w:szCs w:val="19"/>
        </w:rPr>
        <w:t xml:space="preserve">Signatures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val="false"/>
        </w:trPr>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300" w:before="0" w:line="300"/>
            </w:pPr>
            <w:r>
              <w:rPr>
                <w:rFonts w:ascii="Arial" w:cs="Arial" w:eastAsia="Arial" w:hAnsi="Arial"/>
                <w:b/>
                <w:bCs/>
                <w:i w:val="false"/>
                <w:iCs w:val="false"/>
                <w:color w:val="333333"/>
                <w:sz w:val="17"/>
                <w:szCs w:val="17"/>
              </w:rPr>
              <w:t xml:space="preserve">Name:</w:t>
            </w:r>
          </w:p>
          <w:p>
            <w:pPr>
              <w:spacing w:after="300" w:before="0" w:line="300"/>
            </w:pPr>
            <w:r>
              <w:rPr>
                <w:rFonts w:ascii="Arial" w:cs="Arial" w:eastAsia="Arial" w:hAnsi="Arial"/>
                <w:b/>
                <w:bCs/>
                <w:i w:val="false"/>
                <w:iCs w:val="false"/>
                <w:color w:val="333333"/>
                <w:sz w:val="17"/>
                <w:szCs w:val="17"/>
              </w:rPr>
              <w:t xml:space="preserve">Signature:</w:t>
            </w:r>
          </w:p>
          <w:p>
            <w:pPr>
              <w:spacing w:after="40" w:before="0" w:line="300"/>
            </w:pPr>
            <w:r>
              <w:rPr>
                <w:rFonts w:ascii="Arial" w:cs="Arial" w:eastAsia="Arial" w:hAnsi="Arial"/>
                <w:b/>
                <w:bCs/>
                <w:i w:val="false"/>
                <w:iCs w:val="false"/>
                <w:color w:val="333333"/>
                <w:sz w:val="17"/>
                <w:szCs w:val="17"/>
              </w:rPr>
              <w:t xml:space="preserve">Date:</w:t>
            </w:r>
          </w:p>
        </w:tc>
        <w:tc>
          <w:tcPr>
            <w:tcW w:type="dxa" w:w="4513"/>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300" w:before="0" w:line="300"/>
            </w:pPr>
            <w:r>
              <w:rPr>
                <w:rFonts w:ascii="Arial" w:cs="Arial" w:eastAsia="Arial" w:hAnsi="Arial"/>
                <w:b/>
                <w:bCs/>
                <w:i w:val="false"/>
                <w:iCs w:val="false"/>
                <w:color w:val="333333"/>
                <w:sz w:val="17"/>
                <w:szCs w:val="17"/>
              </w:rPr>
              <w:t xml:space="preserve">Name:</w:t>
            </w:r>
          </w:p>
          <w:p>
            <w:pPr>
              <w:spacing w:after="300" w:before="0" w:line="300"/>
            </w:pPr>
            <w:r>
              <w:rPr>
                <w:rFonts w:ascii="Arial" w:cs="Arial" w:eastAsia="Arial" w:hAnsi="Arial"/>
                <w:b/>
                <w:bCs/>
                <w:i w:val="false"/>
                <w:iCs w:val="false"/>
                <w:color w:val="333333"/>
                <w:sz w:val="17"/>
                <w:szCs w:val="17"/>
              </w:rPr>
              <w:t xml:space="preserve">Signature:</w:t>
            </w:r>
          </w:p>
          <w:p>
            <w:pPr>
              <w:spacing w:after="40" w:before="0" w:line="300"/>
            </w:pPr>
            <w:r>
              <w:rPr>
                <w:rFonts w:ascii="Arial" w:cs="Arial" w:eastAsia="Arial" w:hAnsi="Arial"/>
                <w:b/>
                <w:bCs/>
                <w:i w:val="false"/>
                <w:iCs w:val="false"/>
                <w:color w:val="333333"/>
                <w:sz w:val="17"/>
                <w:szCs w:val="17"/>
              </w:rPr>
              <w:t xml:space="preserve">Date:</w:t>
            </w:r>
          </w:p>
        </w:tc>
      </w:tr>
    </w:tbl>
    <w:p>
      <w:pPr>
        <w:spacing w:after="120"/>
      </w:pPr>
    </w:p>
    <w:p>
      <w:pPr>
        <w:spacing w:after="120" w:before="0" w:line="300"/>
      </w:pPr>
      <w:r>
        <w:rPr>
          <w:rFonts w:ascii="Arial" w:cs="Arial" w:eastAsia="Arial" w:hAnsi="Arial"/>
          <w:b/>
          <w:bCs/>
          <w:i w:val="false"/>
          <w:iCs w:val="false"/>
          <w:color w:val="333333"/>
          <w:sz w:val="17"/>
          <w:szCs w:val="17"/>
        </w:rPr>
        <w:t xml:space="preserve">Third signature — Secretariat</w:t>
      </w:r>
    </w:p>
    <w:p>
      <w:pPr>
        <w:spacing w:after="160" w:line="320"/>
      </w:pPr>
      <w:r>
        <w:rPr>
          <w:rFonts w:ascii="Arial" w:cs="Arial" w:eastAsia="Arial" w:hAnsi="Arial"/>
          <w:b/>
          <w:bCs/>
          <w:i w:val="false"/>
          <w:iCs w:val="false"/>
          <w:color w:val="333333"/>
          <w:sz w:val="18"/>
          <w:szCs w:val="18"/>
        </w:rPr>
        <w:t xml:space="preserve">Name, signature, date:  </w:t>
      </w:r>
      <w:r>
        <w:rPr>
          <w:rFonts w:ascii="Arial" w:cs="Arial" w:eastAsia="Arial" w:hAnsi="Arial"/>
          <w:b w:val="false"/>
          <w:bCs w:val="false"/>
          <w:i w:val="false"/>
          <w:iCs w:val="false"/>
          <w:color w:val="6B778C"/>
          <w:sz w:val="19"/>
          <w:szCs w:val="19"/>
        </w:rPr>
        <w:t xml:space="preserve">__________________________________________________</w:t>
      </w:r>
    </w:p>
    <w:p>
      <w:r>
        <w:br w:type="page"/>
      </w:r>
    </w:p>
    <w:p>
      <w:pPr>
        <w:pStyle w:val="Heading1"/>
        <w:keepNext/>
        <w:spacing w:after="160" w:before="360"/>
      </w:pPr>
      <w:r>
        <w:rPr>
          <w:rFonts w:ascii="Arial" w:cs="Arial" w:eastAsia="Arial" w:hAnsi="Arial"/>
          <w:b/>
          <w:bCs/>
          <w:i w:val="false"/>
          <w:iCs w:val="false"/>
          <w:color w:val="0E2647"/>
          <w:sz w:val="27"/>
          <w:szCs w:val="27"/>
        </w:rPr>
        <w:t xml:space="preserve">References</w:t>
      </w:r>
    </w:p>
    <w:p>
      <w:pPr>
        <w:spacing w:after="80" w:line="300"/>
        <w:ind w:left="400" w:hanging="400"/>
      </w:pPr>
      <w:r>
        <w:rPr>
          <w:rFonts w:ascii="Arial" w:cs="Arial" w:eastAsia="Arial" w:hAnsi="Arial"/>
          <w:b/>
          <w:bCs/>
          <w:i w:val="false"/>
          <w:iCs w:val="false"/>
          <w:color w:val="0E2647"/>
          <w:sz w:val="17"/>
          <w:szCs w:val="17"/>
        </w:rPr>
        <w:t xml:space="preserve">[1] </w:t>
      </w:r>
      <w:r>
        <w:rPr>
          <w:rFonts w:ascii="Arial" w:cs="Arial" w:eastAsia="Arial" w:hAnsi="Arial"/>
          <w:b w:val="false"/>
          <w:bCs w:val="false"/>
          <w:i w:val="false"/>
          <w:iCs w:val="false"/>
          <w:color w:val="333333"/>
          <w:sz w:val="17"/>
          <w:szCs w:val="17"/>
        </w:rPr>
        <w:t xml:space="preserve">Accréditation Sans Frontières. Patient Voice Council — Terms of Reference and Method Guide, ASF-PV-TOR-001-v1. Paris: ASF; 2026.</w:t>
      </w:r>
    </w:p>
    <w:p>
      <w:pPr>
        <w:spacing w:after="80" w:line="300"/>
        <w:ind w:left="400" w:hanging="400"/>
      </w:pPr>
      <w:r>
        <w:rPr>
          <w:rFonts w:ascii="Arial" w:cs="Arial" w:eastAsia="Arial" w:hAnsi="Arial"/>
          <w:b/>
          <w:bCs/>
          <w:i w:val="false"/>
          <w:iCs w:val="false"/>
          <w:color w:val="0E2647"/>
          <w:sz w:val="17"/>
          <w:szCs w:val="17"/>
        </w:rPr>
        <w:t xml:space="preserve">[2] </w:t>
      </w:r>
      <w:r>
        <w:rPr>
          <w:rFonts w:ascii="Arial" w:cs="Arial" w:eastAsia="Arial" w:hAnsi="Arial"/>
          <w:b w:val="false"/>
          <w:bCs w:val="false"/>
          <w:i w:val="false"/>
          <w:iCs w:val="false"/>
          <w:color w:val="333333"/>
          <w:sz w:val="17"/>
          <w:szCs w:val="17"/>
        </w:rPr>
        <w:t xml:space="preserve">Accréditation Sans Frontières. Data Protection Policy, ASF-DATAPROTECT-001-v1. Paris: ASF; 2026.</w:t>
      </w:r>
    </w:p>
    <w:p>
      <w:pPr>
        <w:spacing w:after="80" w:line="300"/>
        <w:ind w:left="400" w:hanging="400"/>
      </w:pPr>
      <w:r>
        <w:rPr>
          <w:rFonts w:ascii="Arial" w:cs="Arial" w:eastAsia="Arial" w:hAnsi="Arial"/>
          <w:b/>
          <w:bCs/>
          <w:i w:val="false"/>
          <w:iCs w:val="false"/>
          <w:color w:val="0E2647"/>
          <w:sz w:val="17"/>
          <w:szCs w:val="17"/>
        </w:rPr>
        <w:t xml:space="preserve">[3] </w:t>
      </w:r>
      <w:r>
        <w:rPr>
          <w:rFonts w:ascii="Arial" w:cs="Arial" w:eastAsia="Arial" w:hAnsi="Arial"/>
          <w:b w:val="false"/>
          <w:bCs w:val="false"/>
          <w:i w:val="false"/>
          <w:iCs w:val="false"/>
          <w:color w:val="333333"/>
          <w:sz w:val="17"/>
          <w:szCs w:val="17"/>
        </w:rPr>
        <w:t xml:space="preserve">Accréditation Sans Frontières. Public Complaints and Feedback Policy, ASF-COMPLAINTS-001-v2. Paris: ASF; 2026.</w:t>
      </w:r>
    </w:p>
    <w:p>
      <w:pPr>
        <w:spacing w:after="80" w:line="300"/>
        <w:ind w:left="400" w:hanging="400"/>
      </w:pPr>
      <w:r>
        <w:rPr>
          <w:rFonts w:ascii="Arial" w:cs="Arial" w:eastAsia="Arial" w:hAnsi="Arial"/>
          <w:b/>
          <w:bCs/>
          <w:i w:val="false"/>
          <w:iCs w:val="false"/>
          <w:color w:val="0E2647"/>
          <w:sz w:val="17"/>
          <w:szCs w:val="17"/>
        </w:rPr>
        <w:t xml:space="preserve">[4] </w:t>
      </w:r>
      <w:r>
        <w:rPr>
          <w:rFonts w:ascii="Arial" w:cs="Arial" w:eastAsia="Arial" w:hAnsi="Arial"/>
          <w:b w:val="false"/>
          <w:bCs w:val="false"/>
          <w:i w:val="false"/>
          <w:iCs w:val="false"/>
          <w:color w:val="333333"/>
          <w:sz w:val="17"/>
          <w:szCs w:val="17"/>
        </w:rPr>
        <w:t xml:space="preserve">Accréditation Sans Frontières. Confidentiality Agreement and NDA Template, ASF-NDA-001-v1. Paris: ASF; 2026.</w:t>
      </w:r>
    </w:p>
    <w:p>
      <w:pPr>
        <w:spacing w:after="80" w:line="300"/>
        <w:ind w:left="400" w:hanging="400"/>
      </w:pPr>
      <w:r>
        <w:rPr>
          <w:rFonts w:ascii="Arial" w:cs="Arial" w:eastAsia="Arial" w:hAnsi="Arial"/>
          <w:b/>
          <w:bCs/>
          <w:i w:val="false"/>
          <w:iCs w:val="false"/>
          <w:color w:val="0E2647"/>
          <w:sz w:val="17"/>
          <w:szCs w:val="17"/>
        </w:rPr>
        <w:t xml:space="preserve">[5] </w:t>
      </w:r>
      <w:r>
        <w:rPr>
          <w:rFonts w:ascii="Arial" w:cs="Arial" w:eastAsia="Arial" w:hAnsi="Arial"/>
          <w:b w:val="false"/>
          <w:bCs w:val="false"/>
          <w:i w:val="false"/>
          <w:iCs w:val="false"/>
          <w:color w:val="333333"/>
          <w:sz w:val="17"/>
          <w:szCs w:val="17"/>
        </w:rPr>
        <w:t xml:space="preserve">Regulation (EU) 2016/679 (General Data Protection Regulation).</w:t>
      </w:r>
    </w:p>
    <w:p>
      <w:r>
        <w:br w:type="page"/>
      </w:r>
    </w:p>
    <w:p>
      <w:pPr>
        <w:pStyle w:val="Heading1"/>
        <w:keepNext/>
        <w:spacing w:after="160" w:before="360"/>
      </w:pPr>
      <w:r>
        <w:rPr>
          <w:rFonts w:ascii="Arial" w:cs="Arial" w:eastAsia="Arial" w:hAnsi="Arial"/>
          <w:b/>
          <w:bCs/>
          <w:i w:val="false"/>
          <w:iCs w:val="false"/>
          <w:color w:val="0E2647"/>
          <w:sz w:val="27"/>
          <w:szCs w:val="27"/>
        </w:rPr>
        <w:t xml:space="preserve">Index</w:t>
      </w:r>
    </w:p>
    <w:p>
      <w:pPr>
        <w:spacing w:after="60" w:line="300"/>
      </w:pPr>
      <w:r>
        <w:rPr>
          <w:rFonts w:ascii="Arial" w:cs="Arial" w:eastAsia="Arial" w:hAnsi="Arial"/>
          <w:b/>
          <w:bCs/>
          <w:i w:val="false"/>
          <w:iCs w:val="false"/>
          <w:color w:val="333333"/>
          <w:sz w:val="17"/>
          <w:szCs w:val="17"/>
        </w:rPr>
        <w:t xml:space="preserve">Confidentiality, </w:t>
      </w:r>
      <w:r>
        <w:rPr>
          <w:rFonts w:ascii="Arial" w:cs="Arial" w:eastAsia="Arial" w:hAnsi="Arial"/>
          <w:b w:val="false"/>
          <w:bCs w:val="false"/>
          <w:i w:val="false"/>
          <w:iCs w:val="false"/>
          <w:color w:val="333333"/>
          <w:sz w:val="17"/>
          <w:szCs w:val="17"/>
        </w:rPr>
        <w:t xml:space="preserve">3</w:t>
      </w:r>
    </w:p>
    <w:p>
      <w:pPr>
        <w:spacing w:after="60" w:line="300"/>
      </w:pPr>
      <w:r>
        <w:rPr>
          <w:rFonts w:ascii="Arial" w:cs="Arial" w:eastAsia="Arial" w:hAnsi="Arial"/>
          <w:b/>
          <w:bCs/>
          <w:i w:val="false"/>
          <w:iCs w:val="false"/>
          <w:color w:val="333333"/>
          <w:sz w:val="17"/>
          <w:szCs w:val="17"/>
        </w:rPr>
        <w:t xml:space="preserve">Conflicts of interest, </w:t>
      </w:r>
      <w:r>
        <w:rPr>
          <w:rFonts w:ascii="Arial" w:cs="Arial" w:eastAsia="Arial" w:hAnsi="Arial"/>
          <w:b w:val="false"/>
          <w:bCs w:val="false"/>
          <w:i w:val="false"/>
          <w:iCs w:val="false"/>
          <w:color w:val="333333"/>
          <w:sz w:val="17"/>
          <w:szCs w:val="17"/>
        </w:rPr>
        <w:t xml:space="preserve">4.3</w:t>
      </w:r>
    </w:p>
    <w:p>
      <w:pPr>
        <w:spacing w:after="60" w:line="300"/>
      </w:pPr>
      <w:r>
        <w:rPr>
          <w:rFonts w:ascii="Arial" w:cs="Arial" w:eastAsia="Arial" w:hAnsi="Arial"/>
          <w:b/>
          <w:bCs/>
          <w:i w:val="false"/>
          <w:iCs w:val="false"/>
          <w:color w:val="333333"/>
          <w:sz w:val="17"/>
          <w:szCs w:val="17"/>
        </w:rPr>
        <w:t xml:space="preserve">Data, personal, </w:t>
      </w:r>
      <w:r>
        <w:rPr>
          <w:rFonts w:ascii="Arial" w:cs="Arial" w:eastAsia="Arial" w:hAnsi="Arial"/>
          <w:b w:val="false"/>
          <w:bCs w:val="false"/>
          <w:i w:val="false"/>
          <w:iCs w:val="false"/>
          <w:color w:val="333333"/>
          <w:sz w:val="17"/>
          <w:szCs w:val="17"/>
        </w:rPr>
        <w:t xml:space="preserve">5</w:t>
      </w:r>
    </w:p>
    <w:p>
      <w:pPr>
        <w:spacing w:after="60" w:line="300"/>
      </w:pPr>
      <w:r>
        <w:rPr>
          <w:rFonts w:ascii="Arial" w:cs="Arial" w:eastAsia="Arial" w:hAnsi="Arial"/>
          <w:b/>
          <w:bCs/>
          <w:i w:val="false"/>
          <w:iCs w:val="false"/>
          <w:color w:val="333333"/>
          <w:sz w:val="17"/>
          <w:szCs w:val="17"/>
        </w:rPr>
        <w:t xml:space="preserve">Example, completed, </w:t>
      </w:r>
      <w:r>
        <w:rPr>
          <w:rFonts w:ascii="Arial" w:cs="Arial" w:eastAsia="Arial" w:hAnsi="Arial"/>
          <w:b w:val="false"/>
          <w:bCs w:val="false"/>
          <w:i w:val="false"/>
          <w:iCs w:val="false"/>
          <w:color w:val="333333"/>
          <w:sz w:val="17"/>
          <w:szCs w:val="17"/>
        </w:rPr>
        <w:t xml:space="preserve">Annex A</w:t>
      </w:r>
    </w:p>
    <w:p>
      <w:pPr>
        <w:spacing w:after="60" w:line="300"/>
      </w:pPr>
      <w:r>
        <w:rPr>
          <w:rFonts w:ascii="Arial" w:cs="Arial" w:eastAsia="Arial" w:hAnsi="Arial"/>
          <w:b/>
          <w:bCs/>
          <w:i w:val="false"/>
          <w:iCs w:val="false"/>
          <w:color w:val="333333"/>
          <w:sz w:val="17"/>
          <w:szCs w:val="17"/>
        </w:rPr>
        <w:t xml:space="preserve">Public statements, </w:t>
      </w:r>
      <w:r>
        <w:rPr>
          <w:rFonts w:ascii="Arial" w:cs="Arial" w:eastAsia="Arial" w:hAnsi="Arial"/>
          <w:b w:val="false"/>
          <w:bCs w:val="false"/>
          <w:i w:val="false"/>
          <w:iCs w:val="false"/>
          <w:color w:val="333333"/>
          <w:sz w:val="17"/>
          <w:szCs w:val="17"/>
        </w:rPr>
        <w:t xml:space="preserve">4.1</w:t>
      </w:r>
    </w:p>
    <w:p>
      <w:pPr>
        <w:spacing w:after="60" w:line="300"/>
      </w:pPr>
      <w:r>
        <w:rPr>
          <w:rFonts w:ascii="Arial" w:cs="Arial" w:eastAsia="Arial" w:hAnsi="Arial"/>
          <w:b/>
          <w:bCs/>
          <w:i w:val="false"/>
          <w:iCs w:val="false"/>
          <w:color w:val="333333"/>
          <w:sz w:val="17"/>
          <w:szCs w:val="17"/>
        </w:rPr>
        <w:t xml:space="preserve">Signature form, </w:t>
      </w:r>
      <w:r>
        <w:rPr>
          <w:rFonts w:ascii="Arial" w:cs="Arial" w:eastAsia="Arial" w:hAnsi="Arial"/>
          <w:b w:val="false"/>
          <w:bCs w:val="false"/>
          <w:i w:val="false"/>
          <w:iCs w:val="false"/>
          <w:color w:val="333333"/>
          <w:sz w:val="17"/>
          <w:szCs w:val="17"/>
        </w:rPr>
        <w:t xml:space="preserve">Annex B</w:t>
      </w:r>
    </w:p>
    <w:p>
      <w:pPr>
        <w:spacing w:after="60" w:line="300"/>
      </w:pPr>
      <w:r>
        <w:rPr>
          <w:rFonts w:ascii="Arial" w:cs="Arial" w:eastAsia="Arial" w:hAnsi="Arial"/>
          <w:b/>
          <w:bCs/>
          <w:i w:val="false"/>
          <w:iCs w:val="false"/>
          <w:color w:val="333333"/>
          <w:sz w:val="17"/>
          <w:szCs w:val="17"/>
        </w:rPr>
        <w:t xml:space="preserve">WhatsApp, </w:t>
      </w:r>
      <w:r>
        <w:rPr>
          <w:rFonts w:ascii="Arial" w:cs="Arial" w:eastAsia="Arial" w:hAnsi="Arial"/>
          <w:b w:val="false"/>
          <w:bCs w:val="false"/>
          <w:i w:val="false"/>
          <w:iCs w:val="false"/>
          <w:color w:val="333333"/>
          <w:sz w:val="17"/>
          <w:szCs w:val="17"/>
        </w:rPr>
        <w:t xml:space="preserve">4.4</w:t>
      </w:r>
    </w:p>
    <w:p>
      <w:pPr>
        <w:spacing w:after="60" w:line="300"/>
      </w:pPr>
      <w:r>
        <w:rPr>
          <w:rFonts w:ascii="Arial" w:cs="Arial" w:eastAsia="Arial" w:hAnsi="Arial"/>
          <w:b/>
          <w:bCs/>
          <w:i w:val="false"/>
          <w:iCs w:val="false"/>
          <w:color w:val="333333"/>
          <w:sz w:val="17"/>
          <w:szCs w:val="17"/>
        </w:rPr>
        <w:t xml:space="preserve">Withdrawal, </w:t>
      </w:r>
      <w:r>
        <w:rPr>
          <w:rFonts w:ascii="Arial" w:cs="Arial" w:eastAsia="Arial" w:hAnsi="Arial"/>
          <w:b w:val="false"/>
          <w:bCs w:val="false"/>
          <w:i w:val="false"/>
          <w:iCs w:val="false"/>
          <w:color w:val="333333"/>
          <w:sz w:val="17"/>
          <w:szCs w:val="17"/>
        </w:rPr>
        <w:t xml:space="preserve">1.3, 6</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b w:val="false"/>
        <w:bCs w:val="false"/>
        <w:i w:val="false"/>
        <w:iCs w:val="false"/>
        <w:color w:val="6B778C"/>
        <w:sz w:val="15"/>
        <w:szCs w:val="15"/>
      </w:rPr>
      <w:t xml:space="preserve">© 2026 Accréditation Sans Frontières · Paris · Geneva · Tbilisi · france-asf.fr   ·   Page </w:t>
    </w:r>
    <w:r>
      <w:rPr>
        <w:color w:val="6B778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E3EE" w:sz="4" w:space="4"/>
      </w:pBdr>
      <w:jc w:val="right"/>
    </w:pPr>
    <w:r>
      <w:rPr>
        <w:rFonts w:ascii="Arial" w:cs="Arial" w:eastAsia="Arial" w:hAnsi="Arial"/>
        <w:b w:val="false"/>
        <w:bCs w:val="false"/>
        <w:i/>
        <w:iCs/>
        <w:color w:val="6B778C"/>
        <w:sz w:val="15"/>
        <w:szCs w:val="15"/>
      </w:rPr>
      <w:t xml:space="preserve">Patient Voice Council — Member Agreement  ·  ASF-PV-MEMBER-001-v1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C9A227"/>
      </w:rPr>
    </w:lvl>
    <w:lvl w:ilvl="1" w15:tentative="1">
      <w:start w:val="1"/>
      <w:numFmt w:val="bullet"/>
      <w:lvlText w:val="–"/>
      <w:lvlJc w:val="left"/>
      <w:pPr>
        <w:ind w:left="1000" w:hanging="280"/>
      </w:pPr>
    </w:lvl>
  </w:abstractNum>
  <w:abstractNum w:abstractNumId="3" w15:restartNumberingAfterBreak="0">
    <w:multiLevelType w:val="hybridMultilevel"/>
    <w:lvl w:ilvl="0" w15:tentative="1">
      <w:start w:val="1"/>
      <w:numFmt w:val="decimal"/>
      <w:lvlText w:val="%1."/>
      <w:lvlJc w:val="left"/>
      <w:pPr>
        <w:ind w:left="560" w:hanging="360"/>
      </w:pPr>
      <w:rPr>
        <w:b/>
        <w:bCs/>
        <w:color w:val="0E264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81fd126cdf550e781c9e30e2a67f8bbf2b2a95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2026-09-13T02:24:43.745Z</dcterms:created>
  <dcterms:modified xsi:type="dcterms:W3CDTF">2026-09-13T02:24:43.745Z</dcterms:modified>
</cp:coreProperties>
</file>

<file path=docProps/custom.xml><?xml version="1.0" encoding="utf-8"?>
<Properties xmlns="http://schemas.openxmlformats.org/officeDocument/2006/custom-properties" xmlns:vt="http://schemas.openxmlformats.org/officeDocument/2006/docPropsVTypes"/>
</file>