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0" w:before="1800"/>
        <w:jc w:val="center"/>
      </w:pPr>
      <w:r>
        <w:drawing>
          <wp:inline distT="0" distB="0" distL="0" distR="0">
            <wp:extent cx="914400" cy="8477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914400" cy="847725"/>
                    </a:xfrm>
                    <a:prstGeom prst="rect">
                      <a:avLst/>
                    </a:prstGeom>
                  </pic:spPr>
                </pic:pic>
              </a:graphicData>
            </a:graphic>
          </wp:inline>
        </w:drawing>
      </w:r>
    </w:p>
    <w:p>
      <w:pPr>
        <w:spacing w:after="200" w:before="0" w:line="300"/>
        <w:jc w:val="center"/>
      </w:pPr>
      <w:r>
        <w:rPr>
          <w:rFonts w:ascii="Arial" w:cs="Arial" w:eastAsia="Arial" w:hAnsi="Arial"/>
          <w:b/>
          <w:bCs/>
          <w:i w:val="false"/>
          <w:iCs w:val="false"/>
          <w:color w:val="C9A227"/>
          <w:sz w:val="20"/>
          <w:szCs w:val="20"/>
        </w:rPr>
        <w:t xml:space="preserve">ACCRÉDITATION SANS FRONTIÈRES</w:t>
      </w:r>
    </w:p>
    <w:p>
      <w:pPr>
        <w:spacing w:after="300" w:before="0" w:line="300"/>
        <w:jc w:val="center"/>
      </w:pPr>
      <w:r>
        <w:rPr>
          <w:rFonts w:ascii="Arial" w:cs="Arial" w:eastAsia="Arial" w:hAnsi="Arial"/>
          <w:b w:val="false"/>
          <w:bCs w:val="false"/>
          <w:i w:val="false"/>
          <w:iCs w:val="false"/>
          <w:color w:val="6B778C"/>
          <w:sz w:val="18"/>
          <w:szCs w:val="18"/>
        </w:rPr>
        <w:t xml:space="preserve">Patient Voice Toolkit</w:t>
      </w:r>
    </w:p>
    <w:p>
      <w:pPr>
        <w:spacing w:after="200" w:line="400"/>
        <w:jc w:val="center"/>
      </w:pPr>
      <w:r>
        <w:rPr>
          <w:rFonts w:ascii="Georgia" w:cs="Georgia" w:eastAsia="Georgia" w:hAnsi="Georgia"/>
          <w:b/>
          <w:bCs/>
          <w:i w:val="false"/>
          <w:iCs w:val="false"/>
          <w:color w:val="0E2647"/>
          <w:sz w:val="40"/>
          <w:szCs w:val="40"/>
        </w:rPr>
        <w:t xml:space="preserve">Patient Voice Council — Facility Participation Agreement</w:t>
      </w:r>
    </w:p>
    <w:p>
      <w:pPr>
        <w:spacing w:after="600" w:before="0" w:line="300"/>
        <w:jc w:val="center"/>
      </w:pPr>
      <w:r>
        <w:rPr>
          <w:rFonts w:ascii="Arial" w:cs="Arial" w:eastAsia="Arial" w:hAnsi="Arial"/>
          <w:b w:val="false"/>
          <w:bCs w:val="false"/>
          <w:i/>
          <w:iCs/>
          <w:color w:val="6B778C"/>
          <w:sz w:val="21"/>
          <w:szCs w:val="21"/>
        </w:rPr>
        <w:t xml:space="preserve">What the facility commits to when it hosts a council — with the data-sharing clause, the hotline and QR arrangements, and a local-law annex</w:t>
      </w:r>
    </w:p>
    <w:p>
      <w:pPr>
        <w:spacing w:after="100" w:before="0" w:line="300"/>
        <w:jc w:val="center"/>
      </w:pPr>
      <w:r>
        <w:rPr>
          <w:rFonts w:ascii="Arial" w:cs="Arial" w:eastAsia="Arial" w:hAnsi="Arial"/>
          <w:b/>
          <w:bCs/>
          <w:i w:val="false"/>
          <w:iCs w:val="false"/>
          <w:color w:val="0E2647"/>
          <w:sz w:val="19"/>
          <w:szCs w:val="19"/>
        </w:rPr>
        <w:t xml:space="preserve">Version 1 · 2026</w:t>
      </w:r>
    </w:p>
    <w:p>
      <w:pPr>
        <w:spacing w:after="120" w:before="0" w:line="300"/>
        <w:jc w:val="center"/>
      </w:pPr>
      <w:r>
        <w:rPr>
          <w:rFonts w:ascii="Arial" w:cs="Arial" w:eastAsia="Arial" w:hAnsi="Arial"/>
          <w:b w:val="false"/>
          <w:bCs w:val="false"/>
          <w:i w:val="false"/>
          <w:iCs w:val="false"/>
          <w:color w:val="6B778C"/>
          <w:sz w:val="17"/>
          <w:szCs w:val="17"/>
        </w:rPr>
        <w:t xml:space="preserve">Paris · Geneva · Tbilisi</w:t>
      </w:r>
    </w:p>
    <w:p>
      <w:r>
        <w:br w:type="page"/>
      </w:r>
    </w:p>
    <w:p>
      <w:pPr>
        <w:pStyle w:val="Heading1"/>
        <w:keepNext/>
        <w:spacing w:after="160" w:before="360"/>
      </w:pPr>
      <w:r>
        <w:rPr>
          <w:rFonts w:ascii="Arial" w:cs="Arial" w:eastAsia="Arial" w:hAnsi="Arial"/>
          <w:b/>
          <w:bCs/>
          <w:i w:val="false"/>
          <w:iCs w:val="false"/>
          <w:color w:val="0E2647"/>
          <w:sz w:val="27"/>
          <w:szCs w:val="27"/>
        </w:rPr>
        <w:t xml:space="preserve">Document Control</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6026"/>
      </w:tblGrid>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Document Title</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Patient Voice Council — Facility Participation Agreement</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Document Reference</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ASF-PV-FACILITY-001-v1</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Version / Edition</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Version 1</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Status</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Published</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Date of Publication</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13 September 2026</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Place of Publication</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Paris, France</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Issuing Authority</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ASF International Standards Council, Accréditation Sans Frontières</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Language of Origin</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English</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Effective Date</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13 September 2026</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Next Scheduled Review</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13 September 2028</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Supersedes</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None — first edition</w:t>
            </w:r>
          </w:p>
        </w:tc>
      </w:tr>
    </w:tbl>
    <w:p>
      <w:pPr>
        <w:spacing w:after="200"/>
      </w:pPr>
    </w:p>
    <w:p>
      <w:pPr>
        <w:pBdr>
          <w:left w:val="single" w:color="C9A227" w:sz="24" w:space="8"/>
        </w:pBdr>
        <w:shd w:fill="FFF8E7" w:color="auto" w:val="clear"/>
        <w:spacing w:after="200" w:before="120" w:line="290"/>
        <w:ind w:left="120" w:right="120"/>
      </w:pPr>
      <w:r>
        <w:rPr>
          <w:rFonts w:ascii="Arial" w:cs="Arial" w:eastAsia="Arial" w:hAnsi="Arial"/>
          <w:b/>
          <w:bCs/>
          <w:i w:val="false"/>
          <w:iCs w:val="false"/>
          <w:color w:val="5C4A0A"/>
          <w:sz w:val="18"/>
          <w:szCs w:val="18"/>
        </w:rPr>
        <w:t xml:space="preserve">Free to reuse. </w:t>
      </w:r>
      <w:r>
        <w:rPr>
          <w:rFonts w:ascii="Arial" w:cs="Arial" w:eastAsia="Arial" w:hAnsi="Arial"/>
          <w:b w:val="false"/>
          <w:bCs w:val="false"/>
          <w:i w:val="false"/>
          <w:iCs w:val="false"/>
          <w:color w:val="5C4A0A"/>
          <w:sz w:val="18"/>
          <w:szCs w:val="18"/>
        </w:rPr>
        <w:t xml:space="preserve">This document is published in full by Accréditation Sans Frontières and may be adapted by any organization establishing a patient council in its own country, with attribution and a note of what was changed. It forms part of the Patient Voice Toolkit, all of which is available at france-asf.fr/patient-voice.</w:t>
      </w:r>
    </w:p>
    <w:p>
      <w:r>
        <w:br w:type="page"/>
      </w:r>
    </w:p>
    <w:p>
      <w:pPr>
        <w:pStyle w:val="Heading1"/>
        <w:keepNext/>
        <w:spacing w:after="160" w:before="360"/>
      </w:pPr>
      <w:r>
        <w:rPr>
          <w:rFonts w:ascii="Arial" w:cs="Arial" w:eastAsia="Arial" w:hAnsi="Arial"/>
          <w:b/>
          <w:bCs/>
          <w:i w:val="false"/>
          <w:iCs w:val="false"/>
          <w:color w:val="0E2647"/>
          <w:sz w:val="27"/>
          <w:szCs w:val="27"/>
        </w:rPr>
        <w:t xml:space="preserve">Table of Contents</w:t>
      </w:r>
    </w:p>
    <w:p>
      <w:pPr>
        <w:spacing w:after="60" w:before="0" w:line="300"/>
      </w:pPr>
      <w:r>
        <w:rPr>
          <w:rFonts w:ascii="Arial" w:cs="Arial" w:eastAsia="Arial" w:hAnsi="Arial"/>
          <w:b/>
          <w:bCs/>
          <w:i w:val="false"/>
          <w:iCs w:val="false"/>
          <w:color w:val="0E2647"/>
          <w:sz w:val="19"/>
          <w:szCs w:val="19"/>
        </w:rPr>
        <w:t xml:space="preserve">Foreword</w:t>
      </w:r>
    </w:p>
    <w:p>
      <w:pPr>
        <w:spacing w:after="60" w:before="0" w:line="300"/>
      </w:pPr>
      <w:r>
        <w:rPr>
          <w:rFonts w:ascii="Arial" w:cs="Arial" w:eastAsia="Arial" w:hAnsi="Arial"/>
          <w:b w:val="false"/>
          <w:bCs w:val="false"/>
          <w:i w:val="false"/>
          <w:iCs w:val="false"/>
          <w:color w:val="0E2647"/>
          <w:sz w:val="19"/>
          <w:szCs w:val="19"/>
        </w:rPr>
        <w:t xml:space="preserve">1. Parties and Term</w:t>
      </w:r>
    </w:p>
    <w:p>
      <w:pPr>
        <w:spacing w:after="60" w:before="0" w:line="300"/>
      </w:pPr>
      <w:r>
        <w:rPr>
          <w:rFonts w:ascii="Arial" w:cs="Arial" w:eastAsia="Arial" w:hAnsi="Arial"/>
          <w:b w:val="false"/>
          <w:bCs w:val="false"/>
          <w:i w:val="false"/>
          <w:iCs w:val="false"/>
          <w:color w:val="0E2647"/>
          <w:sz w:val="19"/>
          <w:szCs w:val="19"/>
        </w:rPr>
        <w:t xml:space="preserve">2. The Facility Commits To</w:t>
      </w:r>
    </w:p>
    <w:p>
      <w:pPr>
        <w:spacing w:after="60" w:before="0" w:line="300"/>
      </w:pPr>
      <w:r>
        <w:rPr>
          <w:rFonts w:ascii="Arial" w:cs="Arial" w:eastAsia="Arial" w:hAnsi="Arial"/>
          <w:b w:val="false"/>
          <w:bCs w:val="false"/>
          <w:i w:val="false"/>
          <w:iCs w:val="false"/>
          <w:color w:val="0E2647"/>
          <w:sz w:val="19"/>
          <w:szCs w:val="19"/>
        </w:rPr>
        <w:t xml:space="preserve">3. The Secretariat Commits To</w:t>
      </w:r>
    </w:p>
    <w:p>
      <w:pPr>
        <w:spacing w:after="60" w:before="0" w:line="300"/>
      </w:pPr>
      <w:r>
        <w:rPr>
          <w:rFonts w:ascii="Arial" w:cs="Arial" w:eastAsia="Arial" w:hAnsi="Arial"/>
          <w:b w:val="false"/>
          <w:bCs w:val="false"/>
          <w:i w:val="false"/>
          <w:iCs w:val="false"/>
          <w:color w:val="0E2647"/>
          <w:sz w:val="19"/>
          <w:szCs w:val="19"/>
        </w:rPr>
        <w:t xml:space="preserve">4. Channels</w:t>
      </w:r>
    </w:p>
    <w:p>
      <w:pPr>
        <w:spacing w:after="40" w:before="0" w:line="300"/>
        <w:ind w:left="400"/>
      </w:pPr>
      <w:r>
        <w:rPr>
          <w:rFonts w:ascii="Arial" w:cs="Arial" w:eastAsia="Arial" w:hAnsi="Arial"/>
          <w:b w:val="false"/>
          <w:bCs w:val="false"/>
          <w:i w:val="false"/>
          <w:iCs w:val="false"/>
          <w:color w:val="6B778C"/>
          <w:sz w:val="17"/>
          <w:szCs w:val="17"/>
        </w:rPr>
        <w:t xml:space="preserve">4.1 QR code</w:t>
      </w:r>
    </w:p>
    <w:p>
      <w:pPr>
        <w:spacing w:after="40" w:before="0" w:line="300"/>
        <w:ind w:left="400"/>
      </w:pPr>
      <w:r>
        <w:rPr>
          <w:rFonts w:ascii="Arial" w:cs="Arial" w:eastAsia="Arial" w:hAnsi="Arial"/>
          <w:b w:val="false"/>
          <w:bCs w:val="false"/>
          <w:i w:val="false"/>
          <w:iCs w:val="false"/>
          <w:color w:val="6B778C"/>
          <w:sz w:val="17"/>
          <w:szCs w:val="17"/>
        </w:rPr>
        <w:t xml:space="preserve">4.2 Hotline</w:t>
      </w:r>
    </w:p>
    <w:p>
      <w:pPr>
        <w:spacing w:after="40" w:before="0" w:line="300"/>
        <w:ind w:left="400"/>
      </w:pPr>
      <w:r>
        <w:rPr>
          <w:rFonts w:ascii="Arial" w:cs="Arial" w:eastAsia="Arial" w:hAnsi="Arial"/>
          <w:b w:val="false"/>
          <w:bCs w:val="false"/>
          <w:i w:val="false"/>
          <w:iCs w:val="false"/>
          <w:color w:val="6B778C"/>
          <w:sz w:val="17"/>
          <w:szCs w:val="17"/>
        </w:rPr>
        <w:t xml:space="preserve">4.3 Online form and email</w:t>
      </w:r>
    </w:p>
    <w:p>
      <w:pPr>
        <w:spacing w:after="40" w:before="0" w:line="300"/>
        <w:ind w:left="400"/>
      </w:pPr>
      <w:r>
        <w:rPr>
          <w:rFonts w:ascii="Arial" w:cs="Arial" w:eastAsia="Arial" w:hAnsi="Arial"/>
          <w:b w:val="false"/>
          <w:bCs w:val="false"/>
          <w:i w:val="false"/>
          <w:iCs w:val="false"/>
          <w:color w:val="6B778C"/>
          <w:sz w:val="17"/>
          <w:szCs w:val="17"/>
        </w:rPr>
        <w:t xml:space="preserve">4.4 Social media</w:t>
      </w:r>
    </w:p>
    <w:p>
      <w:pPr>
        <w:spacing w:after="40" w:before="0" w:line="300"/>
        <w:ind w:left="400"/>
      </w:pPr>
      <w:r>
        <w:rPr>
          <w:rFonts w:ascii="Arial" w:cs="Arial" w:eastAsia="Arial" w:hAnsi="Arial"/>
          <w:b w:val="false"/>
          <w:bCs w:val="false"/>
          <w:i w:val="false"/>
          <w:iCs w:val="false"/>
          <w:color w:val="6B778C"/>
          <w:sz w:val="17"/>
          <w:szCs w:val="17"/>
        </w:rPr>
        <w:t xml:space="preserve">4.5 Paper</w:t>
      </w:r>
    </w:p>
    <w:p>
      <w:pPr>
        <w:spacing w:after="60" w:before="0" w:line="300"/>
      </w:pPr>
      <w:r>
        <w:rPr>
          <w:rFonts w:ascii="Arial" w:cs="Arial" w:eastAsia="Arial" w:hAnsi="Arial"/>
          <w:b w:val="false"/>
          <w:bCs w:val="false"/>
          <w:i w:val="false"/>
          <w:iCs w:val="false"/>
          <w:color w:val="0E2647"/>
          <w:sz w:val="19"/>
          <w:szCs w:val="19"/>
        </w:rPr>
        <w:t xml:space="preserve">5. Data Sharing and Protection</w:t>
      </w:r>
    </w:p>
    <w:p>
      <w:pPr>
        <w:spacing w:after="40" w:before="0" w:line="300"/>
        <w:ind w:left="400"/>
      </w:pPr>
      <w:r>
        <w:rPr>
          <w:rFonts w:ascii="Arial" w:cs="Arial" w:eastAsia="Arial" w:hAnsi="Arial"/>
          <w:b w:val="false"/>
          <w:bCs w:val="false"/>
          <w:i w:val="false"/>
          <w:iCs w:val="false"/>
          <w:color w:val="6B778C"/>
          <w:sz w:val="17"/>
          <w:szCs w:val="17"/>
        </w:rPr>
        <w:t xml:space="preserve">5.1 Roles</w:t>
      </w:r>
    </w:p>
    <w:p>
      <w:pPr>
        <w:spacing w:after="40" w:before="0" w:line="300"/>
        <w:ind w:left="400"/>
      </w:pPr>
      <w:r>
        <w:rPr>
          <w:rFonts w:ascii="Arial" w:cs="Arial" w:eastAsia="Arial" w:hAnsi="Arial"/>
          <w:b w:val="false"/>
          <w:bCs w:val="false"/>
          <w:i w:val="false"/>
          <w:iCs w:val="false"/>
          <w:color w:val="6B778C"/>
          <w:sz w:val="17"/>
          <w:szCs w:val="17"/>
        </w:rPr>
        <w:t xml:space="preserve">5.2 What is shared</w:t>
      </w:r>
    </w:p>
    <w:p>
      <w:pPr>
        <w:spacing w:after="40" w:before="0" w:line="300"/>
        <w:ind w:left="400"/>
      </w:pPr>
      <w:r>
        <w:rPr>
          <w:rFonts w:ascii="Arial" w:cs="Arial" w:eastAsia="Arial" w:hAnsi="Arial"/>
          <w:b w:val="false"/>
          <w:bCs w:val="false"/>
          <w:i w:val="false"/>
          <w:iCs w:val="false"/>
          <w:color w:val="6B778C"/>
          <w:sz w:val="17"/>
          <w:szCs w:val="17"/>
        </w:rPr>
        <w:t xml:space="preserve">5.3 Lawful basis</w:t>
      </w:r>
    </w:p>
    <w:p>
      <w:pPr>
        <w:spacing w:after="40" w:before="0" w:line="300"/>
        <w:ind w:left="400"/>
      </w:pPr>
      <w:r>
        <w:rPr>
          <w:rFonts w:ascii="Arial" w:cs="Arial" w:eastAsia="Arial" w:hAnsi="Arial"/>
          <w:b w:val="false"/>
          <w:bCs w:val="false"/>
          <w:i w:val="false"/>
          <w:iCs w:val="false"/>
          <w:color w:val="6B778C"/>
          <w:sz w:val="17"/>
          <w:szCs w:val="17"/>
        </w:rPr>
        <w:t xml:space="preserve">5.4 Security and retention</w:t>
      </w:r>
    </w:p>
    <w:p>
      <w:pPr>
        <w:spacing w:after="60" w:before="0" w:line="300"/>
      </w:pPr>
      <w:r>
        <w:rPr>
          <w:rFonts w:ascii="Arial" w:cs="Arial" w:eastAsia="Arial" w:hAnsi="Arial"/>
          <w:b w:val="false"/>
          <w:bCs w:val="false"/>
          <w:i w:val="false"/>
          <w:iCs w:val="false"/>
          <w:color w:val="0E2647"/>
          <w:sz w:val="19"/>
          <w:szCs w:val="19"/>
        </w:rPr>
        <w:t xml:space="preserve">6. Publication</w:t>
      </w:r>
    </w:p>
    <w:p>
      <w:pPr>
        <w:spacing w:after="60" w:before="0" w:line="300"/>
      </w:pPr>
      <w:r>
        <w:rPr>
          <w:rFonts w:ascii="Arial" w:cs="Arial" w:eastAsia="Arial" w:hAnsi="Arial"/>
          <w:b w:val="false"/>
          <w:bCs w:val="false"/>
          <w:i w:val="false"/>
          <w:iCs w:val="false"/>
          <w:color w:val="0E2647"/>
          <w:sz w:val="19"/>
          <w:szCs w:val="19"/>
        </w:rPr>
        <w:t xml:space="preserve">7. Fees</w:t>
      </w:r>
    </w:p>
    <w:p>
      <w:pPr>
        <w:spacing w:after="60" w:before="0" w:line="300"/>
      </w:pPr>
      <w:r>
        <w:rPr>
          <w:rFonts w:ascii="Arial" w:cs="Arial" w:eastAsia="Arial" w:hAnsi="Arial"/>
          <w:b w:val="false"/>
          <w:bCs w:val="false"/>
          <w:i w:val="false"/>
          <w:iCs w:val="false"/>
          <w:color w:val="0E2647"/>
          <w:sz w:val="19"/>
          <w:szCs w:val="19"/>
        </w:rPr>
        <w:t xml:space="preserve">8. Law and Disputes</w:t>
      </w:r>
    </w:p>
    <w:p>
      <w:pPr>
        <w:spacing w:after="60" w:before="0" w:line="300"/>
      </w:pPr>
      <w:r>
        <w:rPr>
          <w:rFonts w:ascii="Arial" w:cs="Arial" w:eastAsia="Arial" w:hAnsi="Arial"/>
          <w:b w:val="false"/>
          <w:bCs w:val="false"/>
          <w:i w:val="false"/>
          <w:iCs w:val="false"/>
          <w:color w:val="0E2647"/>
          <w:sz w:val="19"/>
          <w:szCs w:val="19"/>
        </w:rPr>
        <w:t xml:space="preserve">Annex A — QR Code Placement</w:t>
      </w:r>
    </w:p>
    <w:p>
      <w:pPr>
        <w:spacing w:after="60" w:before="0" w:line="300"/>
      </w:pPr>
      <w:r>
        <w:rPr>
          <w:rFonts w:ascii="Arial" w:cs="Arial" w:eastAsia="Arial" w:hAnsi="Arial"/>
          <w:b w:val="false"/>
          <w:bCs w:val="false"/>
          <w:i w:val="false"/>
          <w:iCs w:val="false"/>
          <w:color w:val="0E2647"/>
          <w:sz w:val="19"/>
          <w:szCs w:val="19"/>
        </w:rPr>
        <w:t xml:space="preserve">Annex B — Liaison Role Description</w:t>
      </w:r>
    </w:p>
    <w:p>
      <w:pPr>
        <w:spacing w:after="60" w:before="0" w:line="300"/>
      </w:pPr>
      <w:r>
        <w:rPr>
          <w:rFonts w:ascii="Arial" w:cs="Arial" w:eastAsia="Arial" w:hAnsi="Arial"/>
          <w:b w:val="false"/>
          <w:bCs w:val="false"/>
          <w:i w:val="false"/>
          <w:iCs w:val="false"/>
          <w:color w:val="0E2647"/>
          <w:sz w:val="19"/>
          <w:szCs w:val="19"/>
        </w:rPr>
        <w:t xml:space="preserve">Annex C — Local-Law Annex (template)</w:t>
      </w:r>
    </w:p>
    <w:p>
      <w:pPr>
        <w:spacing w:after="60" w:before="0" w:line="300"/>
      </w:pPr>
      <w:r>
        <w:rPr>
          <w:rFonts w:ascii="Arial" w:cs="Arial" w:eastAsia="Arial" w:hAnsi="Arial"/>
          <w:b w:val="false"/>
          <w:bCs w:val="false"/>
          <w:i w:val="false"/>
          <w:iCs w:val="false"/>
          <w:color w:val="0E2647"/>
          <w:sz w:val="19"/>
          <w:szCs w:val="19"/>
        </w:rPr>
        <w:t xml:space="preserve">Annex D — Signature Form</w:t>
      </w:r>
    </w:p>
    <w:p>
      <w:pPr>
        <w:spacing w:after="60" w:before="0" w:line="300"/>
      </w:pPr>
      <w:r>
        <w:rPr>
          <w:rFonts w:ascii="Arial" w:cs="Arial" w:eastAsia="Arial" w:hAnsi="Arial"/>
          <w:b w:val="false"/>
          <w:bCs w:val="false"/>
          <w:i w:val="false"/>
          <w:iCs w:val="false"/>
          <w:color w:val="0E2647"/>
          <w:sz w:val="19"/>
          <w:szCs w:val="19"/>
        </w:rPr>
        <w:t xml:space="preserve">References</w:t>
      </w:r>
    </w:p>
    <w:p>
      <w:pPr>
        <w:spacing w:after="60" w:before="0" w:line="300"/>
      </w:pPr>
      <w:r>
        <w:rPr>
          <w:rFonts w:ascii="Arial" w:cs="Arial" w:eastAsia="Arial" w:hAnsi="Arial"/>
          <w:b w:val="false"/>
          <w:bCs w:val="false"/>
          <w:i w:val="false"/>
          <w:iCs w:val="false"/>
          <w:color w:val="0E2647"/>
          <w:sz w:val="19"/>
          <w:szCs w:val="19"/>
        </w:rPr>
        <w:t xml:space="preserve">Index</w:t>
      </w:r>
    </w:p>
    <w:p>
      <w:r>
        <w:br w:type="page"/>
      </w:r>
    </w:p>
    <w:p>
      <w:pPr>
        <w:pStyle w:val="Heading1"/>
        <w:keepNext/>
        <w:spacing w:after="160" w:before="360"/>
      </w:pPr>
      <w:r>
        <w:rPr>
          <w:rFonts w:ascii="Arial" w:cs="Arial" w:eastAsia="Arial" w:hAnsi="Arial"/>
          <w:b/>
          <w:bCs/>
          <w:i w:val="false"/>
          <w:iCs w:val="false"/>
          <w:color w:val="0E2647"/>
          <w:sz w:val="27"/>
          <w:szCs w:val="27"/>
        </w:rPr>
        <w:t xml:space="preserve">Foreword</w:t>
      </w:r>
    </w:p>
    <w:p>
      <w:pPr>
        <w:spacing w:after="120" w:before="0" w:line="300"/>
      </w:pPr>
      <w:r>
        <w:rPr>
          <w:rFonts w:ascii="Arial" w:cs="Arial" w:eastAsia="Arial" w:hAnsi="Arial"/>
          <w:b w:val="false"/>
          <w:bCs w:val="false"/>
          <w:i w:val="false"/>
          <w:iCs w:val="false"/>
          <w:color w:val="333333"/>
          <w:sz w:val="19"/>
          <w:szCs w:val="19"/>
        </w:rPr>
        <w:t xml:space="preserve">A council costs a facility almost nothing in money and a great deal in honesty. This agreement sets out exactly what the facility commits to — a named liaison, open recruitment, an answer to every verified concern, action on the log, and never seeking the identity of an anonymous complainant — and what it receives in return. It also settles the practical things: where the QR codes go, who answers the hotline, how data moves between the facility and the secretariat, and which law governs.</w:t>
      </w:r>
    </w:p>
    <w:p>
      <w:pPr>
        <w:pBdr>
          <w:left w:val="single" w:color="C9A227" w:sz="24" w:space="8"/>
        </w:pBdr>
        <w:shd w:fill="FFF8E7" w:color="auto" w:val="clear"/>
        <w:spacing w:after="200" w:before="120" w:line="290"/>
        <w:ind w:left="120" w:right="120"/>
      </w:pPr>
      <w:r>
        <w:rPr>
          <w:rFonts w:ascii="Arial" w:cs="Arial" w:eastAsia="Arial" w:hAnsi="Arial"/>
          <w:b/>
          <w:bCs/>
          <w:i w:val="false"/>
          <w:iCs w:val="false"/>
          <w:color w:val="5C4A0A"/>
          <w:sz w:val="18"/>
          <w:szCs w:val="18"/>
        </w:rPr>
        <w:t xml:space="preserve">Not a condition of accreditation, but evidence for it. </w:t>
      </w:r>
      <w:r>
        <w:rPr>
          <w:rFonts w:ascii="Arial" w:cs="Arial" w:eastAsia="Arial" w:hAnsi="Arial"/>
          <w:b w:val="false"/>
          <w:bCs w:val="false"/>
          <w:i w:val="false"/>
          <w:iCs w:val="false"/>
          <w:color w:val="5C4A0A"/>
          <w:sz w:val="18"/>
          <w:szCs w:val="18"/>
        </w:rPr>
        <w:t xml:space="preserve">A facility need not be ASF-accredited or an ASF member to host a council. A facility that is, or intends to be, may use the council's records as evidence for the patient-experience and consumer-partnership criteria in every ASF organizational standard.</w:t>
      </w:r>
    </w:p>
    <w:p>
      <w:pPr>
        <w:pStyle w:val="Heading1"/>
        <w:keepNext/>
        <w:spacing w:after="160" w:before="360"/>
      </w:pPr>
      <w:r>
        <w:rPr>
          <w:rFonts w:ascii="Arial" w:cs="Arial" w:eastAsia="Arial" w:hAnsi="Arial"/>
          <w:b/>
          <w:bCs/>
          <w:i w:val="false"/>
          <w:iCs w:val="false"/>
          <w:color w:val="0E2647"/>
          <w:sz w:val="27"/>
          <w:szCs w:val="27"/>
        </w:rPr>
        <w:t xml:space="preserve">1. Parties and Term</w:t>
      </w:r>
    </w:p>
    <w:p>
      <w:pPr>
        <w:spacing w:after="120" w:before="0" w:line="300"/>
      </w:pPr>
      <w:r>
        <w:rPr>
          <w:rFonts w:ascii="Arial" w:cs="Arial" w:eastAsia="Arial" w:hAnsi="Arial"/>
          <w:b w:val="false"/>
          <w:bCs w:val="false"/>
          <w:i w:val="false"/>
          <w:iCs w:val="false"/>
          <w:color w:val="333333"/>
          <w:sz w:val="19"/>
          <w:szCs w:val="19"/>
        </w:rPr>
        <w:t xml:space="preserve">Between the facility named in Annex D ("the facility") and the secretariat organization named in Annex D ("the secretariat"). The agreement runs for twelve months from signature and renews for successive twelve-month periods unless either party gives three months' written notice. Either party may end it on thirty days' notice for a material breach not remedied within that period.</w:t>
      </w:r>
    </w:p>
    <w:p>
      <w:pPr>
        <w:pStyle w:val="Heading1"/>
        <w:keepNext/>
        <w:spacing w:after="160" w:before="360"/>
      </w:pPr>
      <w:r>
        <w:rPr>
          <w:rFonts w:ascii="Arial" w:cs="Arial" w:eastAsia="Arial" w:hAnsi="Arial"/>
          <w:b/>
          <w:bCs/>
          <w:i w:val="false"/>
          <w:iCs w:val="false"/>
          <w:color w:val="0E2647"/>
          <w:sz w:val="27"/>
          <w:szCs w:val="27"/>
        </w:rPr>
        <w:t xml:space="preserve">2. The Facility Commits To</w:t>
      </w:r>
    </w:p>
    <w:p>
      <w:pPr>
        <w:pStyle w:val="ListParagraph"/>
        <w:numPr>
          <w:ilvl w:val="0"/>
          <w:numId w:val="2"/>
        </w:numPr>
        <w:spacing w:after="80" w:line="290"/>
      </w:pPr>
      <w:r>
        <w:rPr>
          <w:rFonts w:ascii="Arial" w:cs="Arial" w:eastAsia="Arial" w:hAnsi="Arial"/>
          <w:b/>
          <w:bCs/>
          <w:i w:val="false"/>
          <w:iCs w:val="false"/>
          <w:color w:val="333333"/>
          <w:sz w:val="19"/>
          <w:szCs w:val="19"/>
        </w:rPr>
        <w:t xml:space="preserve">A named liaison </w:t>
      </w:r>
      <w:r>
        <w:rPr>
          <w:rFonts w:ascii="Arial" w:cs="Arial" w:eastAsia="Arial" w:hAnsi="Arial"/>
          <w:b w:val="false"/>
          <w:bCs w:val="false"/>
          <w:i w:val="false"/>
          <w:iCs w:val="false"/>
          <w:color w:val="333333"/>
          <w:sz w:val="19"/>
          <w:szCs w:val="19"/>
        </w:rPr>
        <w:t xml:space="preserve">— usually the head of quality and/or the head of reception or administration — with authority to act on what the council raises, and a deputy.</w:t>
      </w:r>
    </w:p>
    <w:p>
      <w:pPr>
        <w:pStyle w:val="ListParagraph"/>
        <w:numPr>
          <w:ilvl w:val="0"/>
          <w:numId w:val="2"/>
        </w:numPr>
        <w:spacing w:after="80" w:line="290"/>
      </w:pPr>
      <w:r>
        <w:rPr>
          <w:rFonts w:ascii="Arial" w:cs="Arial" w:eastAsia="Arial" w:hAnsi="Arial"/>
          <w:b/>
          <w:bCs/>
          <w:i w:val="false"/>
          <w:iCs w:val="false"/>
          <w:color w:val="333333"/>
          <w:sz w:val="19"/>
          <w:szCs w:val="19"/>
        </w:rPr>
        <w:t xml:space="preserve">Open, continuous recruitment </w:t>
      </w:r>
      <w:r>
        <w:rPr>
          <w:rFonts w:ascii="Arial" w:cs="Arial" w:eastAsia="Arial" w:hAnsi="Arial"/>
          <w:b w:val="false"/>
          <w:bCs w:val="false"/>
          <w:i w:val="false"/>
          <w:iCs w:val="false"/>
          <w:color w:val="333333"/>
          <w:sz w:val="19"/>
          <w:szCs w:val="19"/>
        </w:rPr>
        <w:t xml:space="preserve">of council members through its website, social media, and a notice at the entrance or patient corner, using the ASF templates (ASF-PV-RECRUIT-001), and never hand-picking members.</w:t>
      </w:r>
    </w:p>
    <w:p>
      <w:pPr>
        <w:pStyle w:val="ListParagraph"/>
        <w:numPr>
          <w:ilvl w:val="0"/>
          <w:numId w:val="2"/>
        </w:numPr>
        <w:spacing w:after="80" w:line="290"/>
      </w:pPr>
      <w:r>
        <w:rPr>
          <w:rFonts w:ascii="Arial" w:cs="Arial" w:eastAsia="Arial" w:hAnsi="Arial"/>
          <w:b/>
          <w:bCs/>
          <w:i w:val="false"/>
          <w:iCs w:val="false"/>
          <w:color w:val="333333"/>
          <w:sz w:val="19"/>
          <w:szCs w:val="19"/>
        </w:rPr>
        <w:t xml:space="preserve">Channels in place </w:t>
      </w:r>
      <w:r>
        <w:rPr>
          <w:rFonts w:ascii="Arial" w:cs="Arial" w:eastAsia="Arial" w:hAnsi="Arial"/>
          <w:b w:val="false"/>
          <w:bCs w:val="false"/>
          <w:i w:val="false"/>
          <w:iCs w:val="false"/>
          <w:color w:val="333333"/>
          <w:sz w:val="19"/>
          <w:szCs w:val="19"/>
        </w:rPr>
        <w:t xml:space="preserve">— QR codes displayed in every ward, at reception and on discharge papers; the hotline number and the online form on its website and on the notice; paper forms in the patient corner collected by the secretariat, not the facility.</w:t>
      </w:r>
    </w:p>
    <w:p>
      <w:pPr>
        <w:pStyle w:val="ListParagraph"/>
        <w:numPr>
          <w:ilvl w:val="0"/>
          <w:numId w:val="2"/>
        </w:numPr>
        <w:spacing w:after="80" w:line="290"/>
      </w:pPr>
      <w:r>
        <w:rPr>
          <w:rFonts w:ascii="Arial" w:cs="Arial" w:eastAsia="Arial" w:hAnsi="Arial"/>
          <w:b/>
          <w:bCs/>
          <w:i w:val="false"/>
          <w:iCs w:val="false"/>
          <w:color w:val="333333"/>
          <w:sz w:val="19"/>
          <w:szCs w:val="19"/>
        </w:rPr>
        <w:t xml:space="preserve">Verification within five working days </w:t>
      </w:r>
      <w:r>
        <w:rPr>
          <w:rFonts w:ascii="Arial" w:cs="Arial" w:eastAsia="Arial" w:hAnsi="Arial"/>
          <w:b w:val="false"/>
          <w:bCs w:val="false"/>
          <w:i w:val="false"/>
          <w:iCs w:val="false"/>
          <w:color w:val="333333"/>
          <w:sz w:val="19"/>
          <w:szCs w:val="19"/>
        </w:rPr>
        <w:t xml:space="preserve">of receiving the draft monthly report: clarify, correct facts, state what has been done. The facility may add; it may not subtract.</w:t>
      </w:r>
    </w:p>
    <w:p>
      <w:pPr>
        <w:pStyle w:val="ListParagraph"/>
        <w:numPr>
          <w:ilvl w:val="0"/>
          <w:numId w:val="2"/>
        </w:numPr>
        <w:spacing w:after="80" w:line="290"/>
      </w:pPr>
      <w:r>
        <w:rPr>
          <w:rFonts w:ascii="Arial" w:cs="Arial" w:eastAsia="Arial" w:hAnsi="Arial"/>
          <w:b/>
          <w:bCs/>
          <w:i w:val="false"/>
          <w:iCs w:val="false"/>
          <w:color w:val="333333"/>
          <w:sz w:val="19"/>
          <w:szCs w:val="19"/>
        </w:rPr>
        <w:t xml:space="preserve">Attendance </w:t>
      </w:r>
      <w:r>
        <w:rPr>
          <w:rFonts w:ascii="Arial" w:cs="Arial" w:eastAsia="Arial" w:hAnsi="Arial"/>
          <w:b w:val="false"/>
          <w:bCs w:val="false"/>
          <w:i w:val="false"/>
          <w:iCs w:val="false"/>
          <w:color w:val="333333"/>
          <w:sz w:val="19"/>
          <w:szCs w:val="19"/>
        </w:rPr>
        <w:t xml:space="preserve">of at least one representative at every monthly meeting, and of a clinical lead when a clinical theme is on the agenda.</w:t>
      </w:r>
    </w:p>
    <w:p>
      <w:pPr>
        <w:pStyle w:val="ListParagraph"/>
        <w:numPr>
          <w:ilvl w:val="0"/>
          <w:numId w:val="2"/>
        </w:numPr>
        <w:spacing w:after="80" w:line="290"/>
      </w:pPr>
      <w:r>
        <w:rPr>
          <w:rFonts w:ascii="Arial" w:cs="Arial" w:eastAsia="Arial" w:hAnsi="Arial"/>
          <w:b/>
          <w:bCs/>
          <w:i w:val="false"/>
          <w:iCs w:val="false"/>
          <w:color w:val="333333"/>
          <w:sz w:val="19"/>
          <w:szCs w:val="19"/>
        </w:rPr>
        <w:t xml:space="preserve">Action on the log </w:t>
      </w:r>
      <w:r>
        <w:rPr>
          <w:rFonts w:ascii="Arial" w:cs="Arial" w:eastAsia="Arial" w:hAnsi="Arial"/>
          <w:b w:val="false"/>
          <w:bCs w:val="false"/>
          <w:i w:val="false"/>
          <w:iCs w:val="false"/>
          <w:color w:val="333333"/>
          <w:sz w:val="19"/>
          <w:szCs w:val="19"/>
        </w:rPr>
        <w:t xml:space="preserve">— every action accepted at a meeting is completed by its date or a revised date is given at the next meeting with the reason.</w:t>
      </w:r>
    </w:p>
    <w:p>
      <w:pPr>
        <w:pStyle w:val="ListParagraph"/>
        <w:numPr>
          <w:ilvl w:val="0"/>
          <w:numId w:val="2"/>
        </w:numPr>
        <w:spacing w:after="80" w:line="290"/>
      </w:pPr>
      <w:r>
        <w:rPr>
          <w:rFonts w:ascii="Arial" w:cs="Arial" w:eastAsia="Arial" w:hAnsi="Arial"/>
          <w:b/>
          <w:bCs/>
          <w:i w:val="false"/>
          <w:iCs w:val="false"/>
          <w:color w:val="333333"/>
          <w:sz w:val="19"/>
          <w:szCs w:val="19"/>
        </w:rPr>
        <w:t xml:space="preserve">An answer to every verified concern </w:t>
      </w:r>
      <w:r>
        <w:rPr>
          <w:rFonts w:ascii="Arial" w:cs="Arial" w:eastAsia="Arial" w:hAnsi="Arial"/>
          <w:b w:val="false"/>
          <w:bCs w:val="false"/>
          <w:i w:val="false"/>
          <w:iCs w:val="false"/>
          <w:color w:val="333333"/>
          <w:sz w:val="19"/>
          <w:szCs w:val="19"/>
        </w:rPr>
        <w:t xml:space="preserve">so that the secretariat can close the loop with the patient within five working days of the meeting.</w:t>
      </w:r>
    </w:p>
    <w:p>
      <w:pPr>
        <w:pStyle w:val="ListParagraph"/>
        <w:numPr>
          <w:ilvl w:val="0"/>
          <w:numId w:val="2"/>
        </w:numPr>
        <w:spacing w:after="80" w:line="290"/>
      </w:pPr>
      <w:r>
        <w:rPr>
          <w:rFonts w:ascii="Arial" w:cs="Arial" w:eastAsia="Arial" w:hAnsi="Arial"/>
          <w:b/>
          <w:bCs/>
          <w:i w:val="false"/>
          <w:iCs w:val="false"/>
          <w:color w:val="333333"/>
          <w:sz w:val="19"/>
          <w:szCs w:val="19"/>
        </w:rPr>
        <w:t xml:space="preserve">Never to seek </w:t>
      </w:r>
      <w:r>
        <w:rPr>
          <w:rFonts w:ascii="Arial" w:cs="Arial" w:eastAsia="Arial" w:hAnsi="Arial"/>
          <w:b w:val="false"/>
          <w:bCs w:val="false"/>
          <w:i w:val="false"/>
          <w:iCs w:val="false"/>
          <w:color w:val="333333"/>
          <w:sz w:val="19"/>
          <w:szCs w:val="19"/>
        </w:rPr>
        <w:t xml:space="preserve">the identity of a complainant who asked for anonymity, and never to disadvantage a patient, family member or council member in their care, employment or otherwise for anything raised through Patient Voice.</w:t>
      </w:r>
    </w:p>
    <w:p>
      <w:pPr>
        <w:pStyle w:val="ListParagraph"/>
        <w:numPr>
          <w:ilvl w:val="0"/>
          <w:numId w:val="2"/>
        </w:numPr>
        <w:spacing w:after="80" w:line="290"/>
      </w:pPr>
      <w:r>
        <w:rPr>
          <w:rFonts w:ascii="Arial" w:cs="Arial" w:eastAsia="Arial" w:hAnsi="Arial"/>
          <w:b/>
          <w:bCs/>
          <w:i w:val="false"/>
          <w:iCs w:val="false"/>
          <w:color w:val="333333"/>
          <w:sz w:val="19"/>
          <w:szCs w:val="19"/>
        </w:rPr>
        <w:t xml:space="preserve">A meeting room, </w:t>
      </w:r>
      <w:r>
        <w:rPr>
          <w:rFonts w:ascii="Arial" w:cs="Arial" w:eastAsia="Arial" w:hAnsi="Arial"/>
          <w:b w:val="false"/>
          <w:bCs w:val="false"/>
          <w:i w:val="false"/>
          <w:iCs w:val="false"/>
          <w:color w:val="333333"/>
          <w:sz w:val="19"/>
          <w:szCs w:val="19"/>
        </w:rPr>
        <w:t xml:space="preserve">monthly, for ninety minutes, and reasonable transport costs for members where the council so agrees.</w:t>
      </w:r>
    </w:p>
    <w:p>
      <w:pPr>
        <w:pStyle w:val="ListParagraph"/>
        <w:numPr>
          <w:ilvl w:val="0"/>
          <w:numId w:val="2"/>
        </w:numPr>
        <w:spacing w:after="80" w:line="290"/>
      </w:pPr>
      <w:r>
        <w:rPr>
          <w:rFonts w:ascii="Arial" w:cs="Arial" w:eastAsia="Arial" w:hAnsi="Arial"/>
          <w:b/>
          <w:bCs/>
          <w:i w:val="false"/>
          <w:iCs w:val="false"/>
          <w:color w:val="333333"/>
          <w:sz w:val="19"/>
          <w:szCs w:val="19"/>
        </w:rPr>
        <w:t xml:space="preserve">To display the ASF Patient Charter </w:t>
      </w:r>
      <w:r>
        <w:rPr>
          <w:rFonts w:ascii="Arial" w:cs="Arial" w:eastAsia="Arial" w:hAnsi="Arial"/>
          <w:b w:val="false"/>
          <w:bCs w:val="false"/>
          <w:i w:val="false"/>
          <w:iCs w:val="false"/>
          <w:color w:val="333333"/>
          <w:sz w:val="19"/>
          <w:szCs w:val="19"/>
        </w:rPr>
        <w:t xml:space="preserve">(seven rights) in reception and on its website.</w:t>
      </w:r>
    </w:p>
    <w:p>
      <w:pPr>
        <w:pStyle w:val="Heading1"/>
        <w:keepNext/>
        <w:spacing w:after="160" w:before="360"/>
      </w:pPr>
      <w:r>
        <w:rPr>
          <w:rFonts w:ascii="Arial" w:cs="Arial" w:eastAsia="Arial" w:hAnsi="Arial"/>
          <w:b/>
          <w:bCs/>
          <w:i w:val="false"/>
          <w:iCs w:val="false"/>
          <w:color w:val="0E2647"/>
          <w:sz w:val="27"/>
          <w:szCs w:val="27"/>
        </w:rPr>
        <w:t xml:space="preserve">3. The Secretariat Commits To</w:t>
      </w:r>
    </w:p>
    <w:p>
      <w:pPr>
        <w:pStyle w:val="ListParagraph"/>
        <w:numPr>
          <w:ilvl w:val="0"/>
          <w:numId w:val="2"/>
        </w:numPr>
        <w:spacing w:after="80" w:line="290"/>
      </w:pPr>
      <w:r>
        <w:rPr>
          <w:rFonts w:ascii="Arial" w:cs="Arial" w:eastAsia="Arial" w:hAnsi="Arial"/>
          <w:b w:val="false"/>
          <w:bCs w:val="false"/>
          <w:i w:val="false"/>
          <w:iCs w:val="false"/>
          <w:color w:val="333333"/>
          <w:sz w:val="19"/>
          <w:szCs w:val="19"/>
        </w:rPr>
        <w:t xml:space="preserve">Everything in the Secretariat Impartiality Undertaking (ASF-PV-SECRETARIAT-001).</w:t>
      </w:r>
    </w:p>
    <w:p>
      <w:pPr>
        <w:pStyle w:val="ListParagraph"/>
        <w:numPr>
          <w:ilvl w:val="0"/>
          <w:numId w:val="2"/>
        </w:numPr>
        <w:spacing w:after="80" w:line="290"/>
      </w:pPr>
      <w:r>
        <w:rPr>
          <w:rFonts w:ascii="Arial" w:cs="Arial" w:eastAsia="Arial" w:hAnsi="Arial"/>
          <w:b w:val="false"/>
          <w:bCs w:val="false"/>
          <w:i w:val="false"/>
          <w:iCs w:val="false"/>
          <w:color w:val="333333"/>
          <w:sz w:val="19"/>
          <w:szCs w:val="19"/>
        </w:rPr>
        <w:t xml:space="preserve">The seven-step monthly cycle in the Terms of Reference (ASF-PV-TOR-001), to its timelines.</w:t>
      </w:r>
    </w:p>
    <w:p>
      <w:pPr>
        <w:pStyle w:val="ListParagraph"/>
        <w:numPr>
          <w:ilvl w:val="0"/>
          <w:numId w:val="2"/>
        </w:numPr>
        <w:spacing w:after="80" w:line="290"/>
      </w:pPr>
      <w:r>
        <w:rPr>
          <w:rFonts w:ascii="Arial" w:cs="Arial" w:eastAsia="Arial" w:hAnsi="Arial"/>
          <w:b w:val="false"/>
          <w:bCs w:val="false"/>
          <w:i w:val="false"/>
          <w:iCs w:val="false"/>
          <w:color w:val="333333"/>
          <w:sz w:val="19"/>
          <w:szCs w:val="19"/>
        </w:rPr>
        <w:t xml:space="preserve">The monthly report, the action log, the council record and the annual summary, in the toolkit formats.</w:t>
      </w:r>
    </w:p>
    <w:p>
      <w:pPr>
        <w:pStyle w:val="ListParagraph"/>
        <w:numPr>
          <w:ilvl w:val="0"/>
          <w:numId w:val="2"/>
        </w:numPr>
        <w:spacing w:after="80" w:line="290"/>
      </w:pPr>
      <w:r>
        <w:rPr>
          <w:rFonts w:ascii="Arial" w:cs="Arial" w:eastAsia="Arial" w:hAnsi="Arial"/>
          <w:b w:val="false"/>
          <w:bCs w:val="false"/>
          <w:i w:val="false"/>
          <w:iCs w:val="false"/>
          <w:color w:val="333333"/>
          <w:sz w:val="19"/>
          <w:szCs w:val="19"/>
        </w:rPr>
        <w:t xml:space="preserve">The education session at every meeting, and induction for new members.</w:t>
      </w:r>
    </w:p>
    <w:p>
      <w:pPr>
        <w:pStyle w:val="ListParagraph"/>
        <w:numPr>
          <w:ilvl w:val="0"/>
          <w:numId w:val="2"/>
        </w:numPr>
        <w:spacing w:after="80" w:line="290"/>
      </w:pPr>
      <w:r>
        <w:rPr>
          <w:rFonts w:ascii="Arial" w:cs="Arial" w:eastAsia="Arial" w:hAnsi="Arial"/>
          <w:b w:val="false"/>
          <w:bCs w:val="false"/>
          <w:i w:val="false"/>
          <w:iCs w:val="false"/>
          <w:color w:val="333333"/>
          <w:sz w:val="19"/>
          <w:szCs w:val="19"/>
        </w:rPr>
        <w:t xml:space="preserve">Training for the liaison and, on request, for reception and ward staff on receiving concerns.</w:t>
      </w:r>
    </w:p>
    <w:p>
      <w:pPr>
        <w:pStyle w:val="ListParagraph"/>
        <w:numPr>
          <w:ilvl w:val="0"/>
          <w:numId w:val="2"/>
        </w:numPr>
        <w:spacing w:after="80" w:line="290"/>
      </w:pPr>
      <w:r>
        <w:rPr>
          <w:rFonts w:ascii="Arial" w:cs="Arial" w:eastAsia="Arial" w:hAnsi="Arial"/>
          <w:b w:val="false"/>
          <w:bCs w:val="false"/>
          <w:i w:val="false"/>
          <w:iCs w:val="false"/>
          <w:color w:val="333333"/>
          <w:sz w:val="19"/>
          <w:szCs w:val="19"/>
        </w:rPr>
        <w:t xml:space="preserve">Same-day escalation to the facility's director of any matter coded severity 4 (immediate danger).</w:t>
      </w:r>
    </w:p>
    <w:p>
      <w:pPr>
        <w:pStyle w:val="Heading1"/>
        <w:keepNext/>
        <w:spacing w:after="160" w:before="360"/>
      </w:pPr>
      <w:r>
        <w:rPr>
          <w:rFonts w:ascii="Arial" w:cs="Arial" w:eastAsia="Arial" w:hAnsi="Arial"/>
          <w:b/>
          <w:bCs/>
          <w:i w:val="false"/>
          <w:iCs w:val="false"/>
          <w:color w:val="0E2647"/>
          <w:sz w:val="27"/>
          <w:szCs w:val="27"/>
        </w:rPr>
        <w:t xml:space="preserve">4. Channels</w:t>
      </w:r>
    </w:p>
    <w:p>
      <w:pPr>
        <w:pStyle w:val="Heading2"/>
        <w:keepNext/>
        <w:spacing w:after="120" w:before="240"/>
      </w:pPr>
      <w:r>
        <w:rPr>
          <w:rFonts w:ascii="Arial" w:cs="Arial" w:eastAsia="Arial" w:hAnsi="Arial"/>
          <w:b/>
          <w:bCs/>
          <w:i w:val="false"/>
          <w:iCs w:val="false"/>
          <w:color w:val="0E2647"/>
          <w:sz w:val="22"/>
          <w:szCs w:val="22"/>
        </w:rPr>
        <w:t xml:space="preserve">4.1 QR code</w:t>
      </w:r>
    </w:p>
    <w:p>
      <w:pPr>
        <w:spacing w:after="120" w:before="0" w:line="300"/>
      </w:pPr>
      <w:r>
        <w:rPr>
          <w:rFonts w:ascii="Arial" w:cs="Arial" w:eastAsia="Arial" w:hAnsi="Arial"/>
          <w:b w:val="false"/>
          <w:bCs w:val="false"/>
          <w:i w:val="false"/>
          <w:iCs w:val="false"/>
          <w:color w:val="333333"/>
          <w:sz w:val="19"/>
          <w:szCs w:val="19"/>
        </w:rPr>
        <w:t xml:space="preserve">The secretariat supplies the QR design (Annex A). The facility prints and displays it at the sizes and locations in Annex A. The code opens the Patient Voice form on the secretariat's site; nothing is routed through the facility.</w:t>
      </w:r>
    </w:p>
    <w:p>
      <w:pPr>
        <w:pStyle w:val="Heading2"/>
        <w:keepNext/>
        <w:spacing w:after="120" w:before="240"/>
      </w:pPr>
      <w:r>
        <w:rPr>
          <w:rFonts w:ascii="Arial" w:cs="Arial" w:eastAsia="Arial" w:hAnsi="Arial"/>
          <w:b/>
          <w:bCs/>
          <w:i w:val="false"/>
          <w:iCs w:val="false"/>
          <w:color w:val="0E2647"/>
          <w:sz w:val="22"/>
          <w:szCs w:val="22"/>
        </w:rPr>
        <w:t xml:space="preserve">4.2 Hotline</w:t>
      </w:r>
    </w:p>
    <w:p>
      <w:pPr>
        <w:spacing w:after="120" w:before="0" w:line="300"/>
      </w:pPr>
      <w:r>
        <w:rPr>
          <w:rFonts w:ascii="Arial" w:cs="Arial" w:eastAsia="Arial" w:hAnsi="Arial"/>
          <w:b w:val="false"/>
          <w:bCs w:val="false"/>
          <w:i w:val="false"/>
          <w:iCs w:val="false"/>
          <w:color w:val="333333"/>
          <w:sz w:val="19"/>
          <w:szCs w:val="19"/>
        </w:rPr>
        <w:t xml:space="preserve">The number is the secretariat's. Hours, languages and voicemail handling are stated in Annex D. Calls are answered by the secretariat, a case number is given on the call, and the caller is told when to expect a written acknowledgement.</w:t>
      </w:r>
    </w:p>
    <w:p>
      <w:pPr>
        <w:pStyle w:val="Heading2"/>
        <w:keepNext/>
        <w:spacing w:after="120" w:before="240"/>
      </w:pPr>
      <w:r>
        <w:rPr>
          <w:rFonts w:ascii="Arial" w:cs="Arial" w:eastAsia="Arial" w:hAnsi="Arial"/>
          <w:b/>
          <w:bCs/>
          <w:i w:val="false"/>
          <w:iCs w:val="false"/>
          <w:color w:val="0E2647"/>
          <w:sz w:val="22"/>
          <w:szCs w:val="22"/>
        </w:rPr>
        <w:t xml:space="preserve">4.3 Online form and email</w:t>
      </w:r>
    </w:p>
    <w:p>
      <w:pPr>
        <w:spacing w:after="120" w:before="0" w:line="300"/>
      </w:pPr>
      <w:r>
        <w:rPr>
          <w:rFonts w:ascii="Arial" w:cs="Arial" w:eastAsia="Arial" w:hAnsi="Arial"/>
          <w:b w:val="false"/>
          <w:bCs w:val="false"/>
          <w:i w:val="false"/>
          <w:iCs w:val="false"/>
          <w:color w:val="333333"/>
          <w:sz w:val="19"/>
          <w:szCs w:val="19"/>
        </w:rPr>
        <w:t xml:space="preserve">The Patient Voice form on the secretariat's site, with case tracking; and the secretariat's email address. The facility links to both from its website.</w:t>
      </w:r>
    </w:p>
    <w:p>
      <w:pPr>
        <w:pStyle w:val="Heading2"/>
        <w:keepNext/>
        <w:spacing w:after="120" w:before="240"/>
      </w:pPr>
      <w:r>
        <w:rPr>
          <w:rFonts w:ascii="Arial" w:cs="Arial" w:eastAsia="Arial" w:hAnsi="Arial"/>
          <w:b/>
          <w:bCs/>
          <w:i w:val="false"/>
          <w:iCs w:val="false"/>
          <w:color w:val="0E2647"/>
          <w:sz w:val="22"/>
          <w:szCs w:val="22"/>
        </w:rPr>
        <w:t xml:space="preserve">4.4 Social media</w:t>
      </w:r>
    </w:p>
    <w:p>
      <w:pPr>
        <w:spacing w:after="120" w:before="0" w:line="300"/>
      </w:pPr>
      <w:r>
        <w:rPr>
          <w:rFonts w:ascii="Arial" w:cs="Arial" w:eastAsia="Arial" w:hAnsi="Arial"/>
          <w:b w:val="false"/>
          <w:bCs w:val="false"/>
          <w:i w:val="false"/>
          <w:iCs w:val="false"/>
          <w:color w:val="333333"/>
          <w:sz w:val="19"/>
          <w:szCs w:val="19"/>
        </w:rPr>
        <w:t xml:space="preserve">A public post or message in which the facility is tagged and a concern is expressed is registered as a case. The secretariat replies publicly once, briefly, to move the conversation into a case, and thereafter privately. The facility does not reply to the substance publicly.</w:t>
      </w:r>
    </w:p>
    <w:p>
      <w:pPr>
        <w:pStyle w:val="Heading2"/>
        <w:keepNext/>
        <w:spacing w:after="120" w:before="240"/>
      </w:pPr>
      <w:r>
        <w:rPr>
          <w:rFonts w:ascii="Arial" w:cs="Arial" w:eastAsia="Arial" w:hAnsi="Arial"/>
          <w:b/>
          <w:bCs/>
          <w:i w:val="false"/>
          <w:iCs w:val="false"/>
          <w:color w:val="0E2647"/>
          <w:sz w:val="22"/>
          <w:szCs w:val="22"/>
        </w:rPr>
        <w:t xml:space="preserve">4.5 Paper</w:t>
      </w:r>
    </w:p>
    <w:p>
      <w:pPr>
        <w:spacing w:after="120" w:before="0" w:line="300"/>
      </w:pPr>
      <w:r>
        <w:rPr>
          <w:rFonts w:ascii="Arial" w:cs="Arial" w:eastAsia="Arial" w:hAnsi="Arial"/>
          <w:b w:val="false"/>
          <w:bCs w:val="false"/>
          <w:i w:val="false"/>
          <w:iCs w:val="false"/>
          <w:color w:val="333333"/>
          <w:sz w:val="19"/>
          <w:szCs w:val="19"/>
        </w:rPr>
        <w:t xml:space="preserve">A locked box in the patient corner, key held by the secretariat, emptied weekly by the secretariat.</w:t>
      </w:r>
    </w:p>
    <w:p>
      <w:pPr>
        <w:pStyle w:val="Heading1"/>
        <w:keepNext/>
        <w:spacing w:after="160" w:before="360"/>
      </w:pPr>
      <w:r>
        <w:rPr>
          <w:rFonts w:ascii="Arial" w:cs="Arial" w:eastAsia="Arial" w:hAnsi="Arial"/>
          <w:b/>
          <w:bCs/>
          <w:i w:val="false"/>
          <w:iCs w:val="false"/>
          <w:color w:val="0E2647"/>
          <w:sz w:val="27"/>
          <w:szCs w:val="27"/>
        </w:rPr>
        <w:t xml:space="preserve">5. Data Sharing and Protection</w:t>
      </w:r>
    </w:p>
    <w:p>
      <w:pPr>
        <w:pStyle w:val="Heading2"/>
        <w:keepNext/>
        <w:spacing w:after="120" w:before="240"/>
      </w:pPr>
      <w:r>
        <w:rPr>
          <w:rFonts w:ascii="Arial" w:cs="Arial" w:eastAsia="Arial" w:hAnsi="Arial"/>
          <w:b/>
          <w:bCs/>
          <w:i w:val="false"/>
          <w:iCs w:val="false"/>
          <w:color w:val="0E2647"/>
          <w:sz w:val="22"/>
          <w:szCs w:val="22"/>
        </w:rPr>
        <w:t xml:space="preserve">5.1 Roles</w:t>
      </w:r>
    </w:p>
    <w:p>
      <w:pPr>
        <w:spacing w:after="120" w:before="0" w:line="300"/>
      </w:pPr>
      <w:r>
        <w:rPr>
          <w:rFonts w:ascii="Arial" w:cs="Arial" w:eastAsia="Arial" w:hAnsi="Arial"/>
          <w:b w:val="false"/>
          <w:bCs w:val="false"/>
          <w:i w:val="false"/>
          <w:iCs w:val="false"/>
          <w:color w:val="333333"/>
          <w:sz w:val="19"/>
          <w:szCs w:val="19"/>
        </w:rPr>
        <w:t xml:space="preserve">For council feedback data, the secretariat is the controller: it collects, holds and decides how the data is used. The facility is a recipient of the verified report. For its own patient records, the facility remains the controller and shares nothing from them with the secretariat except what is needed to verify a case, with identifiers removed where possible.</w:t>
      </w:r>
    </w:p>
    <w:p>
      <w:pPr>
        <w:pStyle w:val="Heading2"/>
        <w:keepNext/>
        <w:spacing w:after="120" w:before="240"/>
      </w:pPr>
      <w:r>
        <w:rPr>
          <w:rFonts w:ascii="Arial" w:cs="Arial" w:eastAsia="Arial" w:hAnsi="Arial"/>
          <w:b/>
          <w:bCs/>
          <w:i w:val="false"/>
          <w:iCs w:val="false"/>
          <w:color w:val="0E2647"/>
          <w:sz w:val="22"/>
          <w:szCs w:val="22"/>
        </w:rPr>
        <w:t xml:space="preserve">5.2 What is shared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rPr>
          <w:tblHeader/>
        </w:trPr>
        <w:tc>
          <w:tcPr>
            <w:tcW w:type="dxa" w:w="4513"/>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From secretariat to facility</w:t>
            </w:r>
          </w:p>
        </w:tc>
        <w:tc>
          <w:tcPr>
            <w:tcW w:type="dxa" w:w="4513"/>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From facility to secretariat</w:t>
            </w:r>
          </w:p>
        </w:tc>
      </w:tr>
      <w:tr>
        <w:trPr>
          <w:tblHeader w:val="false"/>
        </w:trPr>
        <w:tc>
          <w:tcPr>
            <w:tcW w:type="dxa" w:w="4513"/>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The verified monthly report (case content, theme, severity, and identity only where the patient consented)</w:t>
            </w:r>
          </w:p>
        </w:tc>
        <w:tc>
          <w:tcPr>
            <w:tcW w:type="dxa" w:w="4513"/>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The facility's clarification and response, per case</w:t>
            </w:r>
          </w:p>
        </w:tc>
      </w:tr>
      <w:tr>
        <w:trPr>
          <w:tblHeader w:val="false"/>
        </w:trPr>
        <w:tc>
          <w:tcPr>
            <w:tcW w:type="dxa" w:w="4513"/>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Member names and attendance</w:t>
            </w:r>
          </w:p>
        </w:tc>
        <w:tc>
          <w:tcPr>
            <w:tcW w:type="dxa" w:w="4513"/>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Names and roles of liaison and representatives</w:t>
            </w:r>
          </w:p>
        </w:tc>
      </w:tr>
      <w:tr>
        <w:trPr>
          <w:tblHeader w:val="false"/>
        </w:trPr>
        <w:tc>
          <w:tcPr>
            <w:tcW w:type="dxa" w:w="4513"/>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Council records</w:t>
            </w:r>
          </w:p>
        </w:tc>
        <w:tc>
          <w:tcPr>
            <w:tcW w:type="dxa" w:w="4513"/>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Action-log updates</w:t>
            </w:r>
          </w:p>
        </w:tc>
      </w:tr>
      <w:tr>
        <w:trPr>
          <w:tblHeader w:val="false"/>
        </w:trPr>
        <w:tc>
          <w:tcPr>
            <w:tcW w:type="dxa" w:w="4513"/>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Nothing else</w:t>
            </w:r>
          </w:p>
        </w:tc>
        <w:tc>
          <w:tcPr>
            <w:tcW w:type="dxa" w:w="4513"/>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No patient record content beyond what a case requires</w:t>
            </w:r>
          </w:p>
        </w:tc>
      </w:tr>
    </w:tbl>
    <w:p>
      <w:pPr>
        <w:pStyle w:val="Heading2"/>
        <w:keepNext/>
        <w:spacing w:after="120" w:before="240"/>
      </w:pPr>
      <w:r>
        <w:rPr>
          <w:rFonts w:ascii="Arial" w:cs="Arial" w:eastAsia="Arial" w:hAnsi="Arial"/>
          <w:b/>
          <w:bCs/>
          <w:i w:val="false"/>
          <w:iCs w:val="false"/>
          <w:color w:val="0E2647"/>
          <w:sz w:val="22"/>
          <w:szCs w:val="22"/>
        </w:rPr>
        <w:t xml:space="preserve">5.3 Lawful basis</w:t>
      </w:r>
    </w:p>
    <w:p>
      <w:pPr>
        <w:spacing w:after="120" w:before="0" w:line="300"/>
      </w:pPr>
      <w:r>
        <w:rPr>
          <w:rFonts w:ascii="Arial" w:cs="Arial" w:eastAsia="Arial" w:hAnsi="Arial"/>
          <w:b w:val="false"/>
          <w:bCs w:val="false"/>
          <w:i w:val="false"/>
          <w:iCs w:val="false"/>
          <w:color w:val="333333"/>
          <w:sz w:val="19"/>
          <w:szCs w:val="19"/>
        </w:rPr>
        <w:t xml:space="preserve">Consent of the patient (who chooses the channel and whether to be identified) and the legitimate interest of both parties in improving the quality and safety of care, balanced against the patient's rights by the anonymity option and the minimal sharing above. Health data within a case is processed for the purposes of quality assurance under Article 9(2)(h)/(i) GDPR or the local equivalent named in Annex C.</w:t>
      </w:r>
    </w:p>
    <w:p>
      <w:pPr>
        <w:pStyle w:val="Heading2"/>
        <w:keepNext/>
        <w:spacing w:after="120" w:before="240"/>
      </w:pPr>
      <w:r>
        <w:rPr>
          <w:rFonts w:ascii="Arial" w:cs="Arial" w:eastAsia="Arial" w:hAnsi="Arial"/>
          <w:b/>
          <w:bCs/>
          <w:i w:val="false"/>
          <w:iCs w:val="false"/>
          <w:color w:val="0E2647"/>
          <w:sz w:val="22"/>
          <w:szCs w:val="22"/>
        </w:rPr>
        <w:t xml:space="preserve">5.4 Security and retention</w:t>
      </w:r>
    </w:p>
    <w:p>
      <w:pPr>
        <w:spacing w:after="120" w:before="0" w:line="300"/>
      </w:pPr>
      <w:r>
        <w:rPr>
          <w:rFonts w:ascii="Arial" w:cs="Arial" w:eastAsia="Arial" w:hAnsi="Arial"/>
          <w:b w:val="false"/>
          <w:bCs w:val="false"/>
          <w:i w:val="false"/>
          <w:iCs w:val="false"/>
          <w:color w:val="333333"/>
          <w:sz w:val="19"/>
          <w:szCs w:val="19"/>
        </w:rPr>
        <w:t xml:space="preserve">Reports are shared as password-protected PDF or via the secretariat's portal, never over WhatsApp. Case files are deleted three years after closure; council records and annual summaries are kept permanently, anonymised. Breaches are notified to the other party within 24 hours and to the supervisory authority within 72 hours where required.</w:t>
      </w:r>
    </w:p>
    <w:p>
      <w:pPr>
        <w:pStyle w:val="Heading1"/>
        <w:keepNext/>
        <w:spacing w:after="160" w:before="360"/>
      </w:pPr>
      <w:r>
        <w:rPr>
          <w:rFonts w:ascii="Arial" w:cs="Arial" w:eastAsia="Arial" w:hAnsi="Arial"/>
          <w:b/>
          <w:bCs/>
          <w:i w:val="false"/>
          <w:iCs w:val="false"/>
          <w:color w:val="0E2647"/>
          <w:sz w:val="27"/>
          <w:szCs w:val="27"/>
        </w:rPr>
        <w:t xml:space="preserve">6. Publication</w:t>
      </w:r>
    </w:p>
    <w:p>
      <w:pPr>
        <w:spacing w:after="120" w:before="0" w:line="300"/>
      </w:pPr>
      <w:r>
        <w:rPr>
          <w:rFonts w:ascii="Arial" w:cs="Arial" w:eastAsia="Arial" w:hAnsi="Arial"/>
          <w:b w:val="false"/>
          <w:bCs w:val="false"/>
          <w:i w:val="false"/>
          <w:iCs w:val="false"/>
          <w:color w:val="333333"/>
          <w:sz w:val="19"/>
          <w:szCs w:val="19"/>
        </w:rPr>
        <w:t xml:space="preserve">The facility consents to publication of the council record (anonymised) and the annual summary on the secretariat's site and, where the facility has one, on its ASF profile. The facility may reproduce both. Neither party publishes an individual case. The facility may state publicly that it hosts a Patient Voice Council and may display the Patient Voice mark for the term of this agreement.</w:t>
      </w:r>
    </w:p>
    <w:p>
      <w:pPr>
        <w:pStyle w:val="Heading1"/>
        <w:keepNext/>
        <w:spacing w:after="160" w:before="360"/>
      </w:pPr>
      <w:r>
        <w:rPr>
          <w:rFonts w:ascii="Arial" w:cs="Arial" w:eastAsia="Arial" w:hAnsi="Arial"/>
          <w:b/>
          <w:bCs/>
          <w:i w:val="false"/>
          <w:iCs w:val="false"/>
          <w:color w:val="0E2647"/>
          <w:sz w:val="27"/>
          <w:szCs w:val="27"/>
        </w:rPr>
        <w:t xml:space="preserve">7. Fees</w:t>
      </w:r>
    </w:p>
    <w:p>
      <w:pPr>
        <w:spacing w:after="120" w:before="0" w:line="300"/>
      </w:pPr>
      <w:r>
        <w:rPr>
          <w:rFonts w:ascii="Arial" w:cs="Arial" w:eastAsia="Arial" w:hAnsi="Arial"/>
          <w:b w:val="false"/>
          <w:bCs w:val="false"/>
          <w:i w:val="false"/>
          <w:iCs w:val="false"/>
          <w:color w:val="333333"/>
          <w:sz w:val="19"/>
          <w:szCs w:val="19"/>
        </w:rPr>
        <w:t xml:space="preserve">Where the secretariat is Accréditation Sans Frontières, the fee is the Patient Voice Package as published in ASF Local Advisory Services (ASF-LAS-001) — €120 per month at the date of this edition — or nil where Patient Voice is included in ASF membership (services 5–6). No fee is linked to any outcome. Where another organization is secretariat, the fee, if any, is stated in Annex D and may not be linked to any outcome.</w:t>
      </w:r>
    </w:p>
    <w:p>
      <w:pPr>
        <w:pStyle w:val="Heading1"/>
        <w:keepNext/>
        <w:spacing w:after="160" w:before="360"/>
      </w:pPr>
      <w:r>
        <w:rPr>
          <w:rFonts w:ascii="Arial" w:cs="Arial" w:eastAsia="Arial" w:hAnsi="Arial"/>
          <w:b/>
          <w:bCs/>
          <w:i w:val="false"/>
          <w:iCs w:val="false"/>
          <w:color w:val="0E2647"/>
          <w:sz w:val="27"/>
          <w:szCs w:val="27"/>
        </w:rPr>
        <w:t xml:space="preserve">8. Law and Disputes</w:t>
      </w:r>
    </w:p>
    <w:p>
      <w:pPr>
        <w:spacing w:after="120" w:before="0" w:line="300"/>
      </w:pPr>
      <w:r>
        <w:rPr>
          <w:rFonts w:ascii="Arial" w:cs="Arial" w:eastAsia="Arial" w:hAnsi="Arial"/>
          <w:b w:val="false"/>
          <w:bCs w:val="false"/>
          <w:i w:val="false"/>
          <w:iCs w:val="false"/>
          <w:color w:val="333333"/>
          <w:sz w:val="19"/>
          <w:szCs w:val="19"/>
        </w:rPr>
        <w:t xml:space="preserve">French law, with the local-law annex (Annex C) governing the clauses it names. Disputes go first to the two liaisons, then to the ASF Public Complaints and Feedback Policy, and only then to the courts of Paris or the local forum named in Annex C.</w:t>
      </w:r>
    </w:p>
    <w:p>
      <w:r>
        <w:br w:type="page"/>
      </w:r>
    </w:p>
    <w:p>
      <w:pPr>
        <w:pStyle w:val="Heading1"/>
        <w:keepNext/>
        <w:spacing w:after="160" w:before="360"/>
      </w:pPr>
      <w:r>
        <w:rPr>
          <w:rFonts w:ascii="Arial" w:cs="Arial" w:eastAsia="Arial" w:hAnsi="Arial"/>
          <w:b/>
          <w:bCs/>
          <w:i w:val="false"/>
          <w:iCs w:val="false"/>
          <w:color w:val="0E2647"/>
          <w:sz w:val="27"/>
          <w:szCs w:val="27"/>
        </w:rPr>
        <w:t xml:space="preserve">Annex A — QR Code Placement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200"/>
        <w:gridCol w:w="1600"/>
        <w:gridCol w:w="4226"/>
      </w:tblGrid>
      <w:tr>
        <w:trPr>
          <w:tblHeader/>
        </w:trPr>
        <w:tc>
          <w:tcPr>
            <w:tcW w:type="dxa" w:w="3200"/>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Location</w:t>
            </w:r>
          </w:p>
        </w:tc>
        <w:tc>
          <w:tcPr>
            <w:tcW w:type="dxa" w:w="1600"/>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Size</w:t>
            </w:r>
          </w:p>
        </w:tc>
        <w:tc>
          <w:tcPr>
            <w:tcW w:type="dxa" w:w="4226"/>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Text beside the code</w:t>
            </w:r>
          </w:p>
        </w:tc>
      </w:tr>
      <w:tr>
        <w:trPr>
          <w:tblHeader w:val="false"/>
        </w:trPr>
        <w:tc>
          <w:tcPr>
            <w:tcW w:type="dxa" w:w="3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Every ward — beside the bed board or on the door</w:t>
            </w:r>
          </w:p>
        </w:tc>
        <w:tc>
          <w:tcPr>
            <w:tcW w:type="dxa" w:w="1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A5</w:t>
            </w:r>
          </w:p>
        </w:tc>
        <w:tc>
          <w:tcPr>
            <w:tcW w:type="dxa" w:w="42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"Something to say about your care? Scan. It goes to an independent body, not to the hospital. You may stay anonymous."</w:t>
            </w:r>
          </w:p>
        </w:tc>
      </w:tr>
      <w:tr>
        <w:trPr>
          <w:tblHeader w:val="false"/>
        </w:trPr>
        <w:tc>
          <w:tcPr>
            <w:tcW w:type="dxa" w:w="3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Reception and waiting areas</w:t>
            </w:r>
          </w:p>
        </w:tc>
        <w:tc>
          <w:tcPr>
            <w:tcW w:type="dxa" w:w="1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A4</w:t>
            </w:r>
          </w:p>
        </w:tc>
        <w:tc>
          <w:tcPr>
            <w:tcW w:type="dxa" w:w="42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Same, plus the hotline number and hours</w:t>
            </w:r>
          </w:p>
        </w:tc>
      </w:tr>
      <w:tr>
        <w:trPr>
          <w:tblHeader w:val="false"/>
        </w:trPr>
        <w:tc>
          <w:tcPr>
            <w:tcW w:type="dxa" w:w="3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Discharge papers</w:t>
            </w:r>
          </w:p>
        </w:tc>
        <w:tc>
          <w:tcPr>
            <w:tcW w:type="dxa" w:w="1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One line, 25 mm code</w:t>
            </w:r>
          </w:p>
        </w:tc>
        <w:tc>
          <w:tcPr>
            <w:tcW w:type="dxa" w:w="42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"Tell us how it went — scan or call [hotline]"</w:t>
            </w:r>
          </w:p>
        </w:tc>
      </w:tr>
      <w:tr>
        <w:trPr>
          <w:tblHeader w:val="false"/>
        </w:trPr>
        <w:tc>
          <w:tcPr>
            <w:tcW w:type="dxa" w:w="3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Patient corner</w:t>
            </w:r>
          </w:p>
        </w:tc>
        <w:tc>
          <w:tcPr>
            <w:tcW w:type="dxa" w:w="1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A4, with paper forms and the locked box</w:t>
            </w:r>
          </w:p>
        </w:tc>
        <w:tc>
          <w:tcPr>
            <w:tcW w:type="dxa" w:w="42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Same, plus "or write it down and post it here"</w:t>
            </w:r>
          </w:p>
        </w:tc>
      </w:tr>
      <w:tr>
        <w:trPr>
          <w:tblHeader w:val="false"/>
        </w:trPr>
        <w:tc>
          <w:tcPr>
            <w:tcW w:type="dxa" w:w="3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Facility website — footer of every page</w:t>
            </w:r>
          </w:p>
        </w:tc>
        <w:tc>
          <w:tcPr>
            <w:tcW w:type="dxa" w:w="1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Link + code</w:t>
            </w:r>
          </w:p>
        </w:tc>
        <w:tc>
          <w:tcPr>
            <w:tcW w:type="dxa" w:w="42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"Patient Voice — independent feedback"</w:t>
            </w:r>
          </w:p>
        </w:tc>
      </w:tr>
    </w:tbl>
    <w:p>
      <w:r>
        <w:br w:type="page"/>
      </w:r>
    </w:p>
    <w:p>
      <w:pPr>
        <w:pStyle w:val="Heading1"/>
        <w:keepNext/>
        <w:spacing w:after="160" w:before="360"/>
      </w:pPr>
      <w:r>
        <w:rPr>
          <w:rFonts w:ascii="Arial" w:cs="Arial" w:eastAsia="Arial" w:hAnsi="Arial"/>
          <w:b/>
          <w:bCs/>
          <w:i w:val="false"/>
          <w:iCs w:val="false"/>
          <w:color w:val="0E2647"/>
          <w:sz w:val="27"/>
          <w:szCs w:val="27"/>
        </w:rPr>
        <w:t xml:space="preserve">Annex B — Liaison Role Description</w:t>
      </w:r>
    </w:p>
    <w:p>
      <w:pPr>
        <w:pStyle w:val="ListParagraph"/>
        <w:numPr>
          <w:ilvl w:val="0"/>
          <w:numId w:val="3"/>
        </w:numPr>
        <w:spacing w:after="80" w:line="290"/>
      </w:pPr>
      <w:r>
        <w:rPr>
          <w:rFonts w:ascii="Arial" w:cs="Arial" w:eastAsia="Arial" w:hAnsi="Arial"/>
          <w:b w:val="false"/>
          <w:bCs w:val="false"/>
          <w:i w:val="false"/>
          <w:iCs w:val="false"/>
          <w:color w:val="333333"/>
          <w:sz w:val="19"/>
          <w:szCs w:val="19"/>
        </w:rPr>
        <w:t xml:space="preserve">Receives the draft report on the first working day of the month; returns it verified within five working days</w:t>
      </w:r>
    </w:p>
    <w:p>
      <w:pPr>
        <w:pStyle w:val="ListParagraph"/>
        <w:numPr>
          <w:ilvl w:val="0"/>
          <w:numId w:val="3"/>
        </w:numPr>
        <w:spacing w:after="80" w:line="290"/>
      </w:pPr>
      <w:r>
        <w:rPr>
          <w:rFonts w:ascii="Arial" w:cs="Arial" w:eastAsia="Arial" w:hAnsi="Arial"/>
          <w:b w:val="false"/>
          <w:bCs w:val="false"/>
          <w:i w:val="false"/>
          <w:iCs w:val="false"/>
          <w:color w:val="333333"/>
          <w:sz w:val="19"/>
          <w:szCs w:val="19"/>
        </w:rPr>
        <w:t xml:space="preserve">Attends every council meeting; brings the clinical lead when needed</w:t>
      </w:r>
    </w:p>
    <w:p>
      <w:pPr>
        <w:pStyle w:val="ListParagraph"/>
        <w:numPr>
          <w:ilvl w:val="0"/>
          <w:numId w:val="3"/>
        </w:numPr>
        <w:spacing w:after="80" w:line="290"/>
      </w:pPr>
      <w:r>
        <w:rPr>
          <w:rFonts w:ascii="Arial" w:cs="Arial" w:eastAsia="Arial" w:hAnsi="Arial"/>
          <w:b w:val="false"/>
          <w:bCs w:val="false"/>
          <w:i w:val="false"/>
          <w:iCs w:val="false"/>
          <w:color w:val="333333"/>
          <w:sz w:val="19"/>
          <w:szCs w:val="19"/>
        </w:rPr>
        <w:t xml:space="preserve">Owns the action log on the facility side; reports status before each meeting</w:t>
      </w:r>
    </w:p>
    <w:p>
      <w:pPr>
        <w:pStyle w:val="ListParagraph"/>
        <w:numPr>
          <w:ilvl w:val="0"/>
          <w:numId w:val="3"/>
        </w:numPr>
        <w:spacing w:after="80" w:line="290"/>
      </w:pPr>
      <w:r>
        <w:rPr>
          <w:rFonts w:ascii="Arial" w:cs="Arial" w:eastAsia="Arial" w:hAnsi="Arial"/>
          <w:b w:val="false"/>
          <w:bCs w:val="false"/>
          <w:i w:val="false"/>
          <w:iCs w:val="false"/>
          <w:color w:val="333333"/>
          <w:sz w:val="19"/>
          <w:szCs w:val="19"/>
        </w:rPr>
        <w:t xml:space="preserve">Ensures QR codes, notices and the Patient Charter stay displayed</w:t>
      </w:r>
    </w:p>
    <w:p>
      <w:pPr>
        <w:pStyle w:val="ListParagraph"/>
        <w:numPr>
          <w:ilvl w:val="0"/>
          <w:numId w:val="3"/>
        </w:numPr>
        <w:spacing w:after="80" w:line="290"/>
      </w:pPr>
      <w:r>
        <w:rPr>
          <w:rFonts w:ascii="Arial" w:cs="Arial" w:eastAsia="Arial" w:hAnsi="Arial"/>
          <w:b w:val="false"/>
          <w:bCs w:val="false"/>
          <w:i w:val="false"/>
          <w:iCs w:val="false"/>
          <w:color w:val="333333"/>
          <w:sz w:val="19"/>
          <w:szCs w:val="19"/>
        </w:rPr>
        <w:t xml:space="preserve">Never asks who complained; never lets anyone else ask</w:t>
      </w:r>
    </w:p>
    <w:p>
      <w:pPr>
        <w:pStyle w:val="ListParagraph"/>
        <w:numPr>
          <w:ilvl w:val="0"/>
          <w:numId w:val="3"/>
        </w:numPr>
        <w:spacing w:after="80" w:line="290"/>
      </w:pPr>
      <w:r>
        <w:rPr>
          <w:rFonts w:ascii="Arial" w:cs="Arial" w:eastAsia="Arial" w:hAnsi="Arial"/>
          <w:b w:val="false"/>
          <w:bCs w:val="false"/>
          <w:i w:val="false"/>
          <w:iCs w:val="false"/>
          <w:color w:val="333333"/>
          <w:sz w:val="19"/>
          <w:szCs w:val="19"/>
        </w:rPr>
        <w:t xml:space="preserve">Time: about four hours a month</w:t>
      </w:r>
    </w:p>
    <w:p>
      <w:r>
        <w:br w:type="page"/>
      </w:r>
    </w:p>
    <w:p>
      <w:pPr>
        <w:pStyle w:val="Heading1"/>
        <w:keepNext/>
        <w:spacing w:after="160" w:before="360"/>
      </w:pPr>
      <w:r>
        <w:rPr>
          <w:rFonts w:ascii="Arial" w:cs="Arial" w:eastAsia="Arial" w:hAnsi="Arial"/>
          <w:b/>
          <w:bCs/>
          <w:i w:val="false"/>
          <w:iCs w:val="false"/>
          <w:color w:val="0E2647"/>
          <w:sz w:val="27"/>
          <w:szCs w:val="27"/>
        </w:rPr>
        <w:t xml:space="preserve">Annex C — Local-Law Annex (template)</w:t>
      </w:r>
    </w:p>
    <w:p>
      <w:pPr>
        <w:spacing w:after="120" w:before="0" w:line="300"/>
      </w:pPr>
      <w:r>
        <w:rPr>
          <w:rFonts w:ascii="Arial" w:cs="Arial" w:eastAsia="Arial" w:hAnsi="Arial"/>
          <w:b w:val="false"/>
          <w:bCs w:val="false"/>
          <w:i w:val="false"/>
          <w:iCs w:val="false"/>
          <w:color w:val="333333"/>
          <w:sz w:val="19"/>
          <w:szCs w:val="19"/>
        </w:rPr>
        <w:t xml:space="preserve">Complete for each country in which a council operates. The clauses named here are governed by the local law stated; all other clauses remain under French law.</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600"/>
        <w:gridCol w:w="5426"/>
      </w:tblGrid>
      <w:tr>
        <w:trPr>
          <w:tblHeader w:val="false"/>
        </w:trPr>
        <w:tc>
          <w:tcPr>
            <w:tcW w:type="dxa" w:w="3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Country</w:t>
            </w:r>
          </w:p>
        </w:tc>
        <w:tc>
          <w:tcPr>
            <w:tcW w:type="dxa" w:w="54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
            </w:r>
          </w:p>
        </w:tc>
      </w:tr>
      <w:tr>
        <w:trPr>
          <w:tblHeader w:val="false"/>
        </w:trPr>
        <w:tc>
          <w:tcPr>
            <w:tcW w:type="dxa" w:w="3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Data protection law and supervisory authority</w:t>
            </w:r>
          </w:p>
        </w:tc>
        <w:tc>
          <w:tcPr>
            <w:tcW w:type="dxa" w:w="54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e.g. Law of Georgia on Personal Data Protection (2023); Personal Data Protection Service</w:t>
            </w:r>
          </w:p>
        </w:tc>
      </w:tr>
      <w:tr>
        <w:trPr>
          <w:tblHeader w:val="false"/>
        </w:trPr>
        <w:tc>
          <w:tcPr>
            <w:tcW w:type="dxa" w:w="3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Health-data processing basis</w:t>
            </w:r>
          </w:p>
        </w:tc>
        <w:tc>
          <w:tcPr>
            <w:tcW w:type="dxa" w:w="54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e.g. Article 6 — processing for quality assurance of healthcare</w:t>
            </w:r>
          </w:p>
        </w:tc>
      </w:tr>
      <w:tr>
        <w:trPr>
          <w:tblHeader w:val="false"/>
        </w:trPr>
        <w:tc>
          <w:tcPr>
            <w:tcW w:type="dxa" w:w="3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Confidentiality of patient information — governing law</w:t>
            </w:r>
          </w:p>
        </w:tc>
        <w:tc>
          <w:tcPr>
            <w:tcW w:type="dxa" w:w="54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
            </w:r>
          </w:p>
        </w:tc>
      </w:tr>
      <w:tr>
        <w:trPr>
          <w:tblHeader w:val="false"/>
        </w:trPr>
        <w:tc>
          <w:tcPr>
            <w:tcW w:type="dxa" w:w="3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Defamation and public statements — governing law</w:t>
            </w:r>
          </w:p>
        </w:tc>
        <w:tc>
          <w:tcPr>
            <w:tcW w:type="dxa" w:w="54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
            </w:r>
          </w:p>
        </w:tc>
      </w:tr>
      <w:tr>
        <w:trPr>
          <w:tblHeader w:val="false"/>
        </w:trPr>
        <w:tc>
          <w:tcPr>
            <w:tcW w:type="dxa" w:w="3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Volunteer status of members</w:t>
            </w:r>
          </w:p>
        </w:tc>
        <w:tc>
          <w:tcPr>
            <w:tcW w:type="dxa" w:w="54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e.g. members are volunteers under [law]; no employment relationship arises</w:t>
            </w:r>
          </w:p>
        </w:tc>
      </w:tr>
      <w:tr>
        <w:trPr>
          <w:tblHeader w:val="false"/>
        </w:trPr>
        <w:tc>
          <w:tcPr>
            <w:tcW w:type="dxa" w:w="3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Local forum for disputes</w:t>
            </w:r>
          </w:p>
        </w:tc>
        <w:tc>
          <w:tcPr>
            <w:tcW w:type="dxa" w:w="54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
            </w:r>
          </w:p>
        </w:tc>
      </w:tr>
      <w:tr>
        <w:trPr>
          <w:tblHeader w:val="false"/>
        </w:trPr>
        <w:tc>
          <w:tcPr>
            <w:tcW w:type="dxa" w:w="3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Language of the signed documents</w:t>
            </w:r>
          </w:p>
        </w:tc>
        <w:tc>
          <w:tcPr>
            <w:tcW w:type="dxa" w:w="54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
            </w:r>
          </w:p>
        </w:tc>
      </w:tr>
    </w:tbl>
    <w:p>
      <w:pPr>
        <w:spacing w:after="120" w:before="0" w:line="300"/>
      </w:pPr>
      <w:r>
        <w:rPr>
          <w:rFonts w:ascii="Arial" w:cs="Arial" w:eastAsia="Arial" w:hAnsi="Arial"/>
          <w:b/>
          <w:bCs/>
          <w:i w:val="false"/>
          <w:iCs w:val="false"/>
          <w:color w:val="0E2647"/>
          <w:sz w:val="19"/>
          <w:szCs w:val="19"/>
        </w:rPr>
        <w:t xml:space="preserve">Georgia — completed example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600"/>
        <w:gridCol w:w="5426"/>
      </w:tblGrid>
      <w:tr>
        <w:trPr>
          <w:tblHeader w:val="false"/>
        </w:trPr>
        <w:tc>
          <w:tcPr>
            <w:tcW w:type="dxa" w:w="3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Country</w:t>
            </w:r>
          </w:p>
        </w:tc>
        <w:tc>
          <w:tcPr>
            <w:tcW w:type="dxa" w:w="54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Georgia</w:t>
            </w:r>
          </w:p>
        </w:tc>
      </w:tr>
      <w:tr>
        <w:trPr>
          <w:tblHeader w:val="false"/>
        </w:trPr>
        <w:tc>
          <w:tcPr>
            <w:tcW w:type="dxa" w:w="3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Data protection law and supervisory authority</w:t>
            </w:r>
          </w:p>
        </w:tc>
        <w:tc>
          <w:tcPr>
            <w:tcW w:type="dxa" w:w="54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Law of Georgia on Personal Data Protection; Personal Data Protection Service (pdps.ge)</w:t>
            </w:r>
          </w:p>
        </w:tc>
      </w:tr>
      <w:tr>
        <w:trPr>
          <w:tblHeader w:val="false"/>
        </w:trPr>
        <w:tc>
          <w:tcPr>
            <w:tcW w:type="dxa" w:w="3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Health-data processing basis</w:t>
            </w:r>
          </w:p>
        </w:tc>
        <w:tc>
          <w:tcPr>
            <w:tcW w:type="dxa" w:w="54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Processing necessary for the provision and quality assurance of healthcare, with the patient's consent for identified cases</w:t>
            </w:r>
          </w:p>
        </w:tc>
      </w:tr>
      <w:tr>
        <w:trPr>
          <w:tblHeader w:val="false"/>
        </w:trPr>
        <w:tc>
          <w:tcPr>
            <w:tcW w:type="dxa" w:w="3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Confidentiality of patient information</w:t>
            </w:r>
          </w:p>
        </w:tc>
        <w:tc>
          <w:tcPr>
            <w:tcW w:type="dxa" w:w="54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Law of Georgia on Health Care, Article 42 (medical confidentiality); Law on Patients' Rights</w:t>
            </w:r>
          </w:p>
        </w:tc>
      </w:tr>
      <w:tr>
        <w:trPr>
          <w:tblHeader w:val="false"/>
        </w:trPr>
        <w:tc>
          <w:tcPr>
            <w:tcW w:type="dxa" w:w="3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Defamation and public statements</w:t>
            </w:r>
          </w:p>
        </w:tc>
        <w:tc>
          <w:tcPr>
            <w:tcW w:type="dxa" w:w="54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Law of Georgia on Freedom of Speech and Expression</w:t>
            </w:r>
          </w:p>
        </w:tc>
      </w:tr>
      <w:tr>
        <w:trPr>
          <w:tblHeader w:val="false"/>
        </w:trPr>
        <w:tc>
          <w:tcPr>
            <w:tcW w:type="dxa" w:w="3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Volunteer status</w:t>
            </w:r>
          </w:p>
        </w:tc>
        <w:tc>
          <w:tcPr>
            <w:tcW w:type="dxa" w:w="54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Law of Georgia on Volunteering (2015)</w:t>
            </w:r>
          </w:p>
        </w:tc>
      </w:tr>
      <w:tr>
        <w:trPr>
          <w:tblHeader w:val="false"/>
        </w:trPr>
        <w:tc>
          <w:tcPr>
            <w:tcW w:type="dxa" w:w="3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Local forum</w:t>
            </w:r>
          </w:p>
        </w:tc>
        <w:tc>
          <w:tcPr>
            <w:tcW w:type="dxa" w:w="54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Tbilisi City Court</w:t>
            </w:r>
          </w:p>
        </w:tc>
      </w:tr>
      <w:tr>
        <w:trPr>
          <w:tblHeader w:val="false"/>
        </w:trPr>
        <w:tc>
          <w:tcPr>
            <w:tcW w:type="dxa" w:w="3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Language</w:t>
            </w:r>
          </w:p>
        </w:tc>
        <w:tc>
          <w:tcPr>
            <w:tcW w:type="dxa" w:w="54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Georgian and English; Georgian prevails for the member agreement</w:t>
            </w:r>
          </w:p>
        </w:tc>
      </w:tr>
    </w:tbl>
    <w:p>
      <w:r>
        <w:br w:type="page"/>
      </w:r>
    </w:p>
    <w:p>
      <w:pPr>
        <w:pStyle w:val="Heading1"/>
        <w:keepNext/>
        <w:spacing w:after="160" w:before="360"/>
      </w:pPr>
      <w:r>
        <w:rPr>
          <w:rFonts w:ascii="Arial" w:cs="Arial" w:eastAsia="Arial" w:hAnsi="Arial"/>
          <w:b/>
          <w:bCs/>
          <w:i w:val="false"/>
          <w:iCs w:val="false"/>
          <w:color w:val="0E2647"/>
          <w:sz w:val="27"/>
          <w:szCs w:val="27"/>
        </w:rPr>
        <w:t xml:space="preserve">Annex D — Signature Form</w:t>
      </w:r>
    </w:p>
    <w:p>
      <w:pPr>
        <w:spacing w:after="160" w:line="320"/>
      </w:pPr>
      <w:r>
        <w:rPr>
          <w:rFonts w:ascii="Arial" w:cs="Arial" w:eastAsia="Arial" w:hAnsi="Arial"/>
          <w:b/>
          <w:bCs/>
          <w:i w:val="false"/>
          <w:iCs w:val="false"/>
          <w:color w:val="333333"/>
          <w:sz w:val="18"/>
          <w:szCs w:val="18"/>
        </w:rPr>
        <w:t xml:space="preserve">Facility — legal name, address, registration number:  </w:t>
      </w:r>
      <w:r>
        <w:rPr>
          <w:rFonts w:ascii="Arial" w:cs="Arial" w:eastAsia="Arial" w:hAnsi="Arial"/>
          <w:b w:val="false"/>
          <w:bCs w:val="false"/>
          <w:i w:val="false"/>
          <w:iCs w:val="false"/>
          <w:color w:val="6B778C"/>
          <w:sz w:val="19"/>
          <w:szCs w:val="19"/>
        </w:rPr>
        <w:t xml:space="preserve">__________________________________________________</w:t>
      </w:r>
    </w:p>
    <w:p>
      <w:pPr>
        <w:spacing w:after="160" w:line="320"/>
      </w:pPr>
      <w:r>
        <w:rPr>
          <w:rFonts w:ascii="Arial" w:cs="Arial" w:eastAsia="Arial" w:hAnsi="Arial"/>
          <w:b/>
          <w:bCs/>
          <w:i w:val="false"/>
          <w:iCs w:val="false"/>
          <w:color w:val="333333"/>
          <w:sz w:val="18"/>
          <w:szCs w:val="18"/>
        </w:rPr>
        <w:t xml:space="preserve">Facility liaison — name, role, phone, email:  </w:t>
      </w:r>
      <w:r>
        <w:rPr>
          <w:rFonts w:ascii="Arial" w:cs="Arial" w:eastAsia="Arial" w:hAnsi="Arial"/>
          <w:b w:val="false"/>
          <w:bCs w:val="false"/>
          <w:i w:val="false"/>
          <w:iCs w:val="false"/>
          <w:color w:val="6B778C"/>
          <w:sz w:val="19"/>
          <w:szCs w:val="19"/>
        </w:rPr>
        <w:t xml:space="preserve">__________________________________________________</w:t>
      </w:r>
    </w:p>
    <w:p>
      <w:pPr>
        <w:spacing w:after="160" w:line="320"/>
      </w:pPr>
      <w:r>
        <w:rPr>
          <w:rFonts w:ascii="Arial" w:cs="Arial" w:eastAsia="Arial" w:hAnsi="Arial"/>
          <w:b/>
          <w:bCs/>
          <w:i w:val="false"/>
          <w:iCs w:val="false"/>
          <w:color w:val="333333"/>
          <w:sz w:val="18"/>
          <w:szCs w:val="18"/>
        </w:rPr>
        <w:t xml:space="preserve">Deputy liaison:  </w:t>
      </w:r>
      <w:r>
        <w:rPr>
          <w:rFonts w:ascii="Arial" w:cs="Arial" w:eastAsia="Arial" w:hAnsi="Arial"/>
          <w:b w:val="false"/>
          <w:bCs w:val="false"/>
          <w:i w:val="false"/>
          <w:iCs w:val="false"/>
          <w:color w:val="6B778C"/>
          <w:sz w:val="19"/>
          <w:szCs w:val="19"/>
        </w:rPr>
        <w:t xml:space="preserve">__________________________________________________</w:t>
      </w:r>
    </w:p>
    <w:p>
      <w:pPr>
        <w:spacing w:after="160" w:line="320"/>
      </w:pPr>
      <w:r>
        <w:rPr>
          <w:rFonts w:ascii="Arial" w:cs="Arial" w:eastAsia="Arial" w:hAnsi="Arial"/>
          <w:b/>
          <w:bCs/>
          <w:i w:val="false"/>
          <w:iCs w:val="false"/>
          <w:color w:val="333333"/>
          <w:sz w:val="18"/>
          <w:szCs w:val="18"/>
        </w:rPr>
        <w:t xml:space="preserve">Secretariat organization:  </w:t>
      </w:r>
      <w:r>
        <w:rPr>
          <w:rFonts w:ascii="Arial" w:cs="Arial" w:eastAsia="Arial" w:hAnsi="Arial"/>
          <w:b w:val="false"/>
          <w:bCs w:val="false"/>
          <w:i w:val="false"/>
          <w:iCs w:val="false"/>
          <w:color w:val="6B778C"/>
          <w:sz w:val="19"/>
          <w:szCs w:val="19"/>
        </w:rPr>
        <w:t xml:space="preserve">__________________________________________________</w:t>
      </w:r>
    </w:p>
    <w:p>
      <w:pPr>
        <w:spacing w:after="160" w:line="320"/>
      </w:pPr>
      <w:r>
        <w:rPr>
          <w:rFonts w:ascii="Arial" w:cs="Arial" w:eastAsia="Arial" w:hAnsi="Arial"/>
          <w:b/>
          <w:bCs/>
          <w:i w:val="false"/>
          <w:iCs w:val="false"/>
          <w:color w:val="333333"/>
          <w:sz w:val="18"/>
          <w:szCs w:val="18"/>
        </w:rPr>
        <w:t xml:space="preserve">Named secretariat and deputy:  </w:t>
      </w:r>
      <w:r>
        <w:rPr>
          <w:rFonts w:ascii="Arial" w:cs="Arial" w:eastAsia="Arial" w:hAnsi="Arial"/>
          <w:b w:val="false"/>
          <w:bCs w:val="false"/>
          <w:i w:val="false"/>
          <w:iCs w:val="false"/>
          <w:color w:val="6B778C"/>
          <w:sz w:val="19"/>
          <w:szCs w:val="19"/>
        </w:rPr>
        <w:t xml:space="preserve">__________________________________________________</w:t>
      </w:r>
    </w:p>
    <w:p>
      <w:pPr>
        <w:spacing w:after="160" w:line="320"/>
      </w:pPr>
      <w:r>
        <w:rPr>
          <w:rFonts w:ascii="Arial" w:cs="Arial" w:eastAsia="Arial" w:hAnsi="Arial"/>
          <w:b/>
          <w:bCs/>
          <w:i w:val="false"/>
          <w:iCs w:val="false"/>
          <w:color w:val="333333"/>
          <w:sz w:val="18"/>
          <w:szCs w:val="18"/>
        </w:rPr>
        <w:t xml:space="preserve">Hotline number, hours, languages:  </w:t>
      </w:r>
      <w:r>
        <w:rPr>
          <w:rFonts w:ascii="Arial" w:cs="Arial" w:eastAsia="Arial" w:hAnsi="Arial"/>
          <w:b w:val="false"/>
          <w:bCs w:val="false"/>
          <w:i w:val="false"/>
          <w:iCs w:val="false"/>
          <w:color w:val="6B778C"/>
          <w:sz w:val="19"/>
          <w:szCs w:val="19"/>
        </w:rPr>
        <w:t xml:space="preserve">__________________________________________________</w:t>
      </w:r>
    </w:p>
    <w:p>
      <w:pPr>
        <w:spacing w:after="160" w:line="320"/>
      </w:pPr>
      <w:r>
        <w:rPr>
          <w:rFonts w:ascii="Arial" w:cs="Arial" w:eastAsia="Arial" w:hAnsi="Arial"/>
          <w:b/>
          <w:bCs/>
          <w:i w:val="false"/>
          <w:iCs w:val="false"/>
          <w:color w:val="333333"/>
          <w:sz w:val="18"/>
          <w:szCs w:val="18"/>
        </w:rPr>
        <w:t xml:space="preserve">Fee (or "included in membership" / "nil"):  </w:t>
      </w:r>
      <w:r>
        <w:rPr>
          <w:rFonts w:ascii="Arial" w:cs="Arial" w:eastAsia="Arial" w:hAnsi="Arial"/>
          <w:b w:val="false"/>
          <w:bCs w:val="false"/>
          <w:i w:val="false"/>
          <w:iCs w:val="false"/>
          <w:color w:val="6B778C"/>
          <w:sz w:val="19"/>
          <w:szCs w:val="19"/>
        </w:rPr>
        <w:t xml:space="preserve">__________________________________________________</w:t>
      </w:r>
    </w:p>
    <w:p>
      <w:pPr>
        <w:spacing w:after="160" w:line="320"/>
      </w:pPr>
      <w:r>
        <w:rPr>
          <w:rFonts w:ascii="Arial" w:cs="Arial" w:eastAsia="Arial" w:hAnsi="Arial"/>
          <w:b/>
          <w:bCs/>
          <w:i w:val="false"/>
          <w:iCs w:val="false"/>
          <w:color w:val="333333"/>
          <w:sz w:val="18"/>
          <w:szCs w:val="18"/>
        </w:rPr>
        <w:t xml:space="preserve">Local-law annex attached (country):  </w:t>
      </w:r>
      <w:r>
        <w:rPr>
          <w:rFonts w:ascii="Arial" w:cs="Arial" w:eastAsia="Arial" w:hAnsi="Arial"/>
          <w:b w:val="false"/>
          <w:bCs w:val="false"/>
          <w:i w:val="false"/>
          <w:iCs w:val="false"/>
          <w:color w:val="6B778C"/>
          <w:sz w:val="19"/>
          <w:szCs w:val="19"/>
        </w:rPr>
        <w:t xml:space="preserve">__________________________________________________</w:t>
      </w:r>
    </w:p>
    <w:p>
      <w:pPr>
        <w:spacing w:after="160" w:line="320"/>
      </w:pPr>
      <w:r>
        <w:rPr>
          <w:rFonts w:ascii="Arial" w:cs="Arial" w:eastAsia="Arial" w:hAnsi="Arial"/>
          <w:b/>
          <w:bCs/>
          <w:i w:val="false"/>
          <w:iCs w:val="false"/>
          <w:color w:val="333333"/>
          <w:sz w:val="18"/>
          <w:szCs w:val="18"/>
        </w:rPr>
        <w:t xml:space="preserve">Start date:  </w:t>
      </w:r>
      <w:r>
        <w:rPr>
          <w:rFonts w:ascii="Arial" w:cs="Arial" w:eastAsia="Arial" w:hAnsi="Arial"/>
          <w:b w:val="false"/>
          <w:bCs w:val="false"/>
          <w:i w:val="false"/>
          <w:iCs w:val="false"/>
          <w:color w:val="6B778C"/>
          <w:sz w:val="19"/>
          <w:szCs w:val="19"/>
        </w:rPr>
        <w:t xml:space="preserve">__________________________________________________</w:t>
      </w:r>
    </w:p>
    <w:p>
      <w:pPr>
        <w:spacing w:after="120"/>
      </w:pPr>
    </w:p>
    <w:p>
      <w:pPr>
        <w:spacing w:after="120" w:before="0" w:line="300"/>
      </w:pPr>
      <w:r>
        <w:rPr>
          <w:rFonts w:ascii="Arial" w:cs="Arial" w:eastAsia="Arial" w:hAnsi="Arial"/>
          <w:b/>
          <w:bCs/>
          <w:i w:val="false"/>
          <w:iCs w:val="false"/>
          <w:color w:val="333333"/>
          <w:sz w:val="19"/>
          <w:szCs w:val="19"/>
        </w:rPr>
        <w:t xml:space="preserve">Signed for the facility and for the secretariat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rPr>
          <w:tblHeader w:val="false"/>
        </w:trPr>
        <w:tc>
          <w:tcPr>
            <w:tcW w:type="dxa" w:w="4513"/>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300" w:before="0" w:line="300"/>
            </w:pPr>
            <w:r>
              <w:rPr>
                <w:rFonts w:ascii="Arial" w:cs="Arial" w:eastAsia="Arial" w:hAnsi="Arial"/>
                <w:b/>
                <w:bCs/>
                <w:i w:val="false"/>
                <w:iCs w:val="false"/>
                <w:color w:val="333333"/>
                <w:sz w:val="17"/>
                <w:szCs w:val="17"/>
              </w:rPr>
              <w:t xml:space="preserve">Name:</w:t>
            </w:r>
          </w:p>
          <w:p>
            <w:pPr>
              <w:spacing w:after="300" w:before="0" w:line="300"/>
            </w:pPr>
            <w:r>
              <w:rPr>
                <w:rFonts w:ascii="Arial" w:cs="Arial" w:eastAsia="Arial" w:hAnsi="Arial"/>
                <w:b/>
                <w:bCs/>
                <w:i w:val="false"/>
                <w:iCs w:val="false"/>
                <w:color w:val="333333"/>
                <w:sz w:val="17"/>
                <w:szCs w:val="17"/>
              </w:rPr>
              <w:t xml:space="preserve">Signature:</w:t>
            </w:r>
          </w:p>
          <w:p>
            <w:pPr>
              <w:spacing w:after="40" w:before="0" w:line="300"/>
            </w:pPr>
            <w:r>
              <w:rPr>
                <w:rFonts w:ascii="Arial" w:cs="Arial" w:eastAsia="Arial" w:hAnsi="Arial"/>
                <w:b/>
                <w:bCs/>
                <w:i w:val="false"/>
                <w:iCs w:val="false"/>
                <w:color w:val="333333"/>
                <w:sz w:val="17"/>
                <w:szCs w:val="17"/>
              </w:rPr>
              <w:t xml:space="preserve">Date:</w:t>
            </w:r>
          </w:p>
        </w:tc>
        <w:tc>
          <w:tcPr>
            <w:tcW w:type="dxa" w:w="4513"/>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300" w:before="0" w:line="300"/>
            </w:pPr>
            <w:r>
              <w:rPr>
                <w:rFonts w:ascii="Arial" w:cs="Arial" w:eastAsia="Arial" w:hAnsi="Arial"/>
                <w:b/>
                <w:bCs/>
                <w:i w:val="false"/>
                <w:iCs w:val="false"/>
                <w:color w:val="333333"/>
                <w:sz w:val="17"/>
                <w:szCs w:val="17"/>
              </w:rPr>
              <w:t xml:space="preserve">Name:</w:t>
            </w:r>
          </w:p>
          <w:p>
            <w:pPr>
              <w:spacing w:after="300" w:before="0" w:line="300"/>
            </w:pPr>
            <w:r>
              <w:rPr>
                <w:rFonts w:ascii="Arial" w:cs="Arial" w:eastAsia="Arial" w:hAnsi="Arial"/>
                <w:b/>
                <w:bCs/>
                <w:i w:val="false"/>
                <w:iCs w:val="false"/>
                <w:color w:val="333333"/>
                <w:sz w:val="17"/>
                <w:szCs w:val="17"/>
              </w:rPr>
              <w:t xml:space="preserve">Signature:</w:t>
            </w:r>
          </w:p>
          <w:p>
            <w:pPr>
              <w:spacing w:after="40" w:before="0" w:line="300"/>
            </w:pPr>
            <w:r>
              <w:rPr>
                <w:rFonts w:ascii="Arial" w:cs="Arial" w:eastAsia="Arial" w:hAnsi="Arial"/>
                <w:b/>
                <w:bCs/>
                <w:i w:val="false"/>
                <w:iCs w:val="false"/>
                <w:color w:val="333333"/>
                <w:sz w:val="17"/>
                <w:szCs w:val="17"/>
              </w:rPr>
              <w:t xml:space="preserve">Date:</w:t>
            </w:r>
          </w:p>
        </w:tc>
      </w:tr>
    </w:tbl>
    <w:p>
      <w:r>
        <w:br w:type="page"/>
      </w:r>
    </w:p>
    <w:p>
      <w:pPr>
        <w:pStyle w:val="Heading1"/>
        <w:keepNext/>
        <w:spacing w:after="160" w:before="360"/>
      </w:pPr>
      <w:r>
        <w:rPr>
          <w:rFonts w:ascii="Arial" w:cs="Arial" w:eastAsia="Arial" w:hAnsi="Arial"/>
          <w:b/>
          <w:bCs/>
          <w:i w:val="false"/>
          <w:iCs w:val="false"/>
          <w:color w:val="0E2647"/>
          <w:sz w:val="27"/>
          <w:szCs w:val="27"/>
        </w:rPr>
        <w:t xml:space="preserve">References</w:t>
      </w:r>
    </w:p>
    <w:p>
      <w:pPr>
        <w:spacing w:after="80" w:line="300"/>
        <w:ind w:left="400" w:hanging="400"/>
      </w:pPr>
      <w:r>
        <w:rPr>
          <w:rFonts w:ascii="Arial" w:cs="Arial" w:eastAsia="Arial" w:hAnsi="Arial"/>
          <w:b/>
          <w:bCs/>
          <w:i w:val="false"/>
          <w:iCs w:val="false"/>
          <w:color w:val="0E2647"/>
          <w:sz w:val="17"/>
          <w:szCs w:val="17"/>
        </w:rPr>
        <w:t xml:space="preserve">[1] </w:t>
      </w:r>
      <w:r>
        <w:rPr>
          <w:rFonts w:ascii="Arial" w:cs="Arial" w:eastAsia="Arial" w:hAnsi="Arial"/>
          <w:b w:val="false"/>
          <w:bCs w:val="false"/>
          <w:i w:val="false"/>
          <w:iCs w:val="false"/>
          <w:color w:val="333333"/>
          <w:sz w:val="17"/>
          <w:szCs w:val="17"/>
        </w:rPr>
        <w:t xml:space="preserve">Regulation (EU) 2016/679 (GDPR), Articles 6, 9, 28, 33.</w:t>
      </w:r>
    </w:p>
    <w:p>
      <w:pPr>
        <w:spacing w:after="80" w:line="300"/>
        <w:ind w:left="400" w:hanging="400"/>
      </w:pPr>
      <w:r>
        <w:rPr>
          <w:rFonts w:ascii="Arial" w:cs="Arial" w:eastAsia="Arial" w:hAnsi="Arial"/>
          <w:b/>
          <w:bCs/>
          <w:i w:val="false"/>
          <w:iCs w:val="false"/>
          <w:color w:val="0E2647"/>
          <w:sz w:val="17"/>
          <w:szCs w:val="17"/>
        </w:rPr>
        <w:t xml:space="preserve">[2] </w:t>
      </w:r>
      <w:r>
        <w:rPr>
          <w:rFonts w:ascii="Arial" w:cs="Arial" w:eastAsia="Arial" w:hAnsi="Arial"/>
          <w:b w:val="false"/>
          <w:bCs w:val="false"/>
          <w:i w:val="false"/>
          <w:iCs w:val="false"/>
          <w:color w:val="333333"/>
          <w:sz w:val="17"/>
          <w:szCs w:val="17"/>
        </w:rPr>
        <w:t xml:space="preserve">Accréditation Sans Frontières. Data Protection Policy, ASF-DATAPROTECT-001-v1. Paris: ASF; 2026.</w:t>
      </w:r>
    </w:p>
    <w:p>
      <w:pPr>
        <w:spacing w:after="80" w:line="300"/>
        <w:ind w:left="400" w:hanging="400"/>
      </w:pPr>
      <w:r>
        <w:rPr>
          <w:rFonts w:ascii="Arial" w:cs="Arial" w:eastAsia="Arial" w:hAnsi="Arial"/>
          <w:b/>
          <w:bCs/>
          <w:i w:val="false"/>
          <w:iCs w:val="false"/>
          <w:color w:val="0E2647"/>
          <w:sz w:val="17"/>
          <w:szCs w:val="17"/>
        </w:rPr>
        <w:t xml:space="preserve">[3] </w:t>
      </w:r>
      <w:r>
        <w:rPr>
          <w:rFonts w:ascii="Arial" w:cs="Arial" w:eastAsia="Arial" w:hAnsi="Arial"/>
          <w:b w:val="false"/>
          <w:bCs w:val="false"/>
          <w:i w:val="false"/>
          <w:iCs w:val="false"/>
          <w:color w:val="333333"/>
          <w:sz w:val="17"/>
          <w:szCs w:val="17"/>
        </w:rPr>
        <w:t xml:space="preserve">Accréditation Sans Frontières. IT and Data Security Policy, ASF-SECURITY-001-v2. Paris: ASF; 2026.</w:t>
      </w:r>
    </w:p>
    <w:p>
      <w:pPr>
        <w:spacing w:after="80" w:line="300"/>
        <w:ind w:left="400" w:hanging="400"/>
      </w:pPr>
      <w:r>
        <w:rPr>
          <w:rFonts w:ascii="Arial" w:cs="Arial" w:eastAsia="Arial" w:hAnsi="Arial"/>
          <w:b/>
          <w:bCs/>
          <w:i w:val="false"/>
          <w:iCs w:val="false"/>
          <w:color w:val="0E2647"/>
          <w:sz w:val="17"/>
          <w:szCs w:val="17"/>
        </w:rPr>
        <w:t xml:space="preserve">[4] </w:t>
      </w:r>
      <w:r>
        <w:rPr>
          <w:rFonts w:ascii="Arial" w:cs="Arial" w:eastAsia="Arial" w:hAnsi="Arial"/>
          <w:b w:val="false"/>
          <w:bCs w:val="false"/>
          <w:i w:val="false"/>
          <w:iCs w:val="false"/>
          <w:color w:val="333333"/>
          <w:sz w:val="17"/>
          <w:szCs w:val="17"/>
        </w:rPr>
        <w:t xml:space="preserve">Accréditation Sans Frontières. Local Advisory Services, ASF-LAS-001-v1. Paris: ASF; 2026.</w:t>
      </w:r>
    </w:p>
    <w:p>
      <w:pPr>
        <w:spacing w:after="80" w:line="300"/>
        <w:ind w:left="400" w:hanging="400"/>
      </w:pPr>
      <w:r>
        <w:rPr>
          <w:rFonts w:ascii="Arial" w:cs="Arial" w:eastAsia="Arial" w:hAnsi="Arial"/>
          <w:b/>
          <w:bCs/>
          <w:i w:val="false"/>
          <w:iCs w:val="false"/>
          <w:color w:val="0E2647"/>
          <w:sz w:val="17"/>
          <w:szCs w:val="17"/>
        </w:rPr>
        <w:t xml:space="preserve">[5] </w:t>
      </w:r>
      <w:r>
        <w:rPr>
          <w:rFonts w:ascii="Arial" w:cs="Arial" w:eastAsia="Arial" w:hAnsi="Arial"/>
          <w:b w:val="false"/>
          <w:bCs w:val="false"/>
          <w:i w:val="false"/>
          <w:iCs w:val="false"/>
          <w:color w:val="333333"/>
          <w:sz w:val="17"/>
          <w:szCs w:val="17"/>
        </w:rPr>
        <w:t xml:space="preserve">Accréditation Sans Frontières. Sentinel Event Policy, ASF-SEP-001-v1. Paris: ASF; 2026.</w:t>
      </w:r>
    </w:p>
    <w:p>
      <w:pPr>
        <w:spacing w:after="80" w:line="300"/>
        <w:ind w:left="400" w:hanging="400"/>
      </w:pPr>
      <w:r>
        <w:rPr>
          <w:rFonts w:ascii="Arial" w:cs="Arial" w:eastAsia="Arial" w:hAnsi="Arial"/>
          <w:b/>
          <w:bCs/>
          <w:i w:val="false"/>
          <w:iCs w:val="false"/>
          <w:color w:val="0E2647"/>
          <w:sz w:val="17"/>
          <w:szCs w:val="17"/>
        </w:rPr>
        <w:t xml:space="preserve">[6] </w:t>
      </w:r>
      <w:r>
        <w:rPr>
          <w:rFonts w:ascii="Arial" w:cs="Arial" w:eastAsia="Arial" w:hAnsi="Arial"/>
          <w:b w:val="false"/>
          <w:bCs w:val="false"/>
          <w:i w:val="false"/>
          <w:iCs w:val="false"/>
          <w:color w:val="333333"/>
          <w:sz w:val="17"/>
          <w:szCs w:val="17"/>
        </w:rPr>
        <w:t xml:space="preserve">Law of Georgia on Personal Data Protection, 2023.</w:t>
      </w:r>
    </w:p>
    <w:p>
      <w:r>
        <w:br w:type="page"/>
      </w:r>
    </w:p>
    <w:p>
      <w:pPr>
        <w:pStyle w:val="Heading1"/>
        <w:keepNext/>
        <w:spacing w:after="160" w:before="360"/>
      </w:pPr>
      <w:r>
        <w:rPr>
          <w:rFonts w:ascii="Arial" w:cs="Arial" w:eastAsia="Arial" w:hAnsi="Arial"/>
          <w:b/>
          <w:bCs/>
          <w:i w:val="false"/>
          <w:iCs w:val="false"/>
          <w:color w:val="0E2647"/>
          <w:sz w:val="27"/>
          <w:szCs w:val="27"/>
        </w:rPr>
        <w:t xml:space="preserve">Index</w:t>
      </w:r>
    </w:p>
    <w:p>
      <w:pPr>
        <w:spacing w:after="60" w:line="300"/>
      </w:pPr>
      <w:r>
        <w:rPr>
          <w:rFonts w:ascii="Arial" w:cs="Arial" w:eastAsia="Arial" w:hAnsi="Arial"/>
          <w:b/>
          <w:bCs/>
          <w:i w:val="false"/>
          <w:iCs w:val="false"/>
          <w:color w:val="333333"/>
          <w:sz w:val="17"/>
          <w:szCs w:val="17"/>
        </w:rPr>
        <w:t xml:space="preserve">Anonymity, </w:t>
      </w:r>
      <w:r>
        <w:rPr>
          <w:rFonts w:ascii="Arial" w:cs="Arial" w:eastAsia="Arial" w:hAnsi="Arial"/>
          <w:b w:val="false"/>
          <w:bCs w:val="false"/>
          <w:i w:val="false"/>
          <w:iCs w:val="false"/>
          <w:color w:val="333333"/>
          <w:sz w:val="17"/>
          <w:szCs w:val="17"/>
        </w:rPr>
        <w:t xml:space="preserve">2 (8)</w:t>
      </w:r>
    </w:p>
    <w:p>
      <w:pPr>
        <w:spacing w:after="60" w:line="300"/>
      </w:pPr>
      <w:r>
        <w:rPr>
          <w:rFonts w:ascii="Arial" w:cs="Arial" w:eastAsia="Arial" w:hAnsi="Arial"/>
          <w:b/>
          <w:bCs/>
          <w:i w:val="false"/>
          <w:iCs w:val="false"/>
          <w:color w:val="333333"/>
          <w:sz w:val="17"/>
          <w:szCs w:val="17"/>
        </w:rPr>
        <w:t xml:space="preserve">Data sharing, </w:t>
      </w:r>
      <w:r>
        <w:rPr>
          <w:rFonts w:ascii="Arial" w:cs="Arial" w:eastAsia="Arial" w:hAnsi="Arial"/>
          <w:b w:val="false"/>
          <w:bCs w:val="false"/>
          <w:i w:val="false"/>
          <w:iCs w:val="false"/>
          <w:color w:val="333333"/>
          <w:sz w:val="17"/>
          <w:szCs w:val="17"/>
        </w:rPr>
        <w:t xml:space="preserve">5</w:t>
      </w:r>
    </w:p>
    <w:p>
      <w:pPr>
        <w:spacing w:after="60" w:line="300"/>
      </w:pPr>
      <w:r>
        <w:rPr>
          <w:rFonts w:ascii="Arial" w:cs="Arial" w:eastAsia="Arial" w:hAnsi="Arial"/>
          <w:b/>
          <w:bCs/>
          <w:i w:val="false"/>
          <w:iCs w:val="false"/>
          <w:color w:val="333333"/>
          <w:sz w:val="17"/>
          <w:szCs w:val="17"/>
        </w:rPr>
        <w:t xml:space="preserve">Fees, </w:t>
      </w:r>
      <w:r>
        <w:rPr>
          <w:rFonts w:ascii="Arial" w:cs="Arial" w:eastAsia="Arial" w:hAnsi="Arial"/>
          <w:b w:val="false"/>
          <w:bCs w:val="false"/>
          <w:i w:val="false"/>
          <w:iCs w:val="false"/>
          <w:color w:val="333333"/>
          <w:sz w:val="17"/>
          <w:szCs w:val="17"/>
        </w:rPr>
        <w:t xml:space="preserve">7</w:t>
      </w:r>
    </w:p>
    <w:p>
      <w:pPr>
        <w:spacing w:after="60" w:line="300"/>
      </w:pPr>
      <w:r>
        <w:rPr>
          <w:rFonts w:ascii="Arial" w:cs="Arial" w:eastAsia="Arial" w:hAnsi="Arial"/>
          <w:b/>
          <w:bCs/>
          <w:i w:val="false"/>
          <w:iCs w:val="false"/>
          <w:color w:val="333333"/>
          <w:sz w:val="17"/>
          <w:szCs w:val="17"/>
        </w:rPr>
        <w:t xml:space="preserve">Hotline, </w:t>
      </w:r>
      <w:r>
        <w:rPr>
          <w:rFonts w:ascii="Arial" w:cs="Arial" w:eastAsia="Arial" w:hAnsi="Arial"/>
          <w:b w:val="false"/>
          <w:bCs w:val="false"/>
          <w:i w:val="false"/>
          <w:iCs w:val="false"/>
          <w:color w:val="333333"/>
          <w:sz w:val="17"/>
          <w:szCs w:val="17"/>
        </w:rPr>
        <w:t xml:space="preserve">4.2</w:t>
      </w:r>
    </w:p>
    <w:p>
      <w:pPr>
        <w:spacing w:after="60" w:line="300"/>
      </w:pPr>
      <w:r>
        <w:rPr>
          <w:rFonts w:ascii="Arial" w:cs="Arial" w:eastAsia="Arial" w:hAnsi="Arial"/>
          <w:b/>
          <w:bCs/>
          <w:i w:val="false"/>
          <w:iCs w:val="false"/>
          <w:color w:val="333333"/>
          <w:sz w:val="17"/>
          <w:szCs w:val="17"/>
        </w:rPr>
        <w:t xml:space="preserve">Liaison, </w:t>
      </w:r>
      <w:r>
        <w:rPr>
          <w:rFonts w:ascii="Arial" w:cs="Arial" w:eastAsia="Arial" w:hAnsi="Arial"/>
          <w:b w:val="false"/>
          <w:bCs w:val="false"/>
          <w:i w:val="false"/>
          <w:iCs w:val="false"/>
          <w:color w:val="333333"/>
          <w:sz w:val="17"/>
          <w:szCs w:val="17"/>
        </w:rPr>
        <w:t xml:space="preserve">2 (1), Annex B</w:t>
      </w:r>
    </w:p>
    <w:p>
      <w:pPr>
        <w:spacing w:after="60" w:line="300"/>
      </w:pPr>
      <w:r>
        <w:rPr>
          <w:rFonts w:ascii="Arial" w:cs="Arial" w:eastAsia="Arial" w:hAnsi="Arial"/>
          <w:b/>
          <w:bCs/>
          <w:i w:val="false"/>
          <w:iCs w:val="false"/>
          <w:color w:val="333333"/>
          <w:sz w:val="17"/>
          <w:szCs w:val="17"/>
        </w:rPr>
        <w:t xml:space="preserve">Local-law annex, </w:t>
      </w:r>
      <w:r>
        <w:rPr>
          <w:rFonts w:ascii="Arial" w:cs="Arial" w:eastAsia="Arial" w:hAnsi="Arial"/>
          <w:b w:val="false"/>
          <w:bCs w:val="false"/>
          <w:i w:val="false"/>
          <w:iCs w:val="false"/>
          <w:color w:val="333333"/>
          <w:sz w:val="17"/>
          <w:szCs w:val="17"/>
        </w:rPr>
        <w:t xml:space="preserve">Annex C</w:t>
      </w:r>
    </w:p>
    <w:p>
      <w:pPr>
        <w:spacing w:after="60" w:line="300"/>
      </w:pPr>
      <w:r>
        <w:rPr>
          <w:rFonts w:ascii="Arial" w:cs="Arial" w:eastAsia="Arial" w:hAnsi="Arial"/>
          <w:b/>
          <w:bCs/>
          <w:i w:val="false"/>
          <w:iCs w:val="false"/>
          <w:color w:val="333333"/>
          <w:sz w:val="17"/>
          <w:szCs w:val="17"/>
        </w:rPr>
        <w:t xml:space="preserve">Publication, </w:t>
      </w:r>
      <w:r>
        <w:rPr>
          <w:rFonts w:ascii="Arial" w:cs="Arial" w:eastAsia="Arial" w:hAnsi="Arial"/>
          <w:b w:val="false"/>
          <w:bCs w:val="false"/>
          <w:i w:val="false"/>
          <w:iCs w:val="false"/>
          <w:color w:val="333333"/>
          <w:sz w:val="17"/>
          <w:szCs w:val="17"/>
        </w:rPr>
        <w:t xml:space="preserve">6</w:t>
      </w:r>
    </w:p>
    <w:p>
      <w:pPr>
        <w:spacing w:after="60" w:line="300"/>
      </w:pPr>
      <w:r>
        <w:rPr>
          <w:rFonts w:ascii="Arial" w:cs="Arial" w:eastAsia="Arial" w:hAnsi="Arial"/>
          <w:b/>
          <w:bCs/>
          <w:i w:val="false"/>
          <w:iCs w:val="false"/>
          <w:color w:val="333333"/>
          <w:sz w:val="17"/>
          <w:szCs w:val="17"/>
        </w:rPr>
        <w:t xml:space="preserve">QR code, </w:t>
      </w:r>
      <w:r>
        <w:rPr>
          <w:rFonts w:ascii="Arial" w:cs="Arial" w:eastAsia="Arial" w:hAnsi="Arial"/>
          <w:b w:val="false"/>
          <w:bCs w:val="false"/>
          <w:i w:val="false"/>
          <w:iCs w:val="false"/>
          <w:color w:val="333333"/>
          <w:sz w:val="17"/>
          <w:szCs w:val="17"/>
        </w:rPr>
        <w:t xml:space="preserve">4.1, Annex A</w:t>
      </w:r>
    </w:p>
    <w:p>
      <w:pPr>
        <w:spacing w:after="60" w:line="300"/>
      </w:pPr>
      <w:r>
        <w:rPr>
          <w:rFonts w:ascii="Arial" w:cs="Arial" w:eastAsia="Arial" w:hAnsi="Arial"/>
          <w:b/>
          <w:bCs/>
          <w:i w:val="false"/>
          <w:iCs w:val="false"/>
          <w:color w:val="333333"/>
          <w:sz w:val="17"/>
          <w:szCs w:val="17"/>
        </w:rPr>
        <w:t xml:space="preserve">Social media, </w:t>
      </w:r>
      <w:r>
        <w:rPr>
          <w:rFonts w:ascii="Arial" w:cs="Arial" w:eastAsia="Arial" w:hAnsi="Arial"/>
          <w:b w:val="false"/>
          <w:bCs w:val="false"/>
          <w:i w:val="false"/>
          <w:iCs w:val="false"/>
          <w:color w:val="333333"/>
          <w:sz w:val="17"/>
          <w:szCs w:val="17"/>
        </w:rPr>
        <w:t xml:space="preserve">4.4</w:t>
      </w:r>
    </w:p>
    <w:p>
      <w:pPr>
        <w:spacing w:after="60" w:line="300"/>
      </w:pPr>
      <w:r>
        <w:rPr>
          <w:rFonts w:ascii="Arial" w:cs="Arial" w:eastAsia="Arial" w:hAnsi="Arial"/>
          <w:b/>
          <w:bCs/>
          <w:i w:val="false"/>
          <w:iCs w:val="false"/>
          <w:color w:val="333333"/>
          <w:sz w:val="17"/>
          <w:szCs w:val="17"/>
        </w:rPr>
        <w:t xml:space="preserve">Term, </w:t>
      </w:r>
      <w:r>
        <w:rPr>
          <w:rFonts w:ascii="Arial" w:cs="Arial" w:eastAsia="Arial" w:hAnsi="Arial"/>
          <w:b w:val="false"/>
          <w:bCs w:val="false"/>
          <w:i w:val="false"/>
          <w:iCs w:val="false"/>
          <w:color w:val="333333"/>
          <w:sz w:val="17"/>
          <w:szCs w:val="17"/>
        </w:rPr>
        <w:t xml:space="preserve">1</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b w:val="false"/>
        <w:bCs w:val="false"/>
        <w:i w:val="false"/>
        <w:iCs w:val="false"/>
        <w:color w:val="6B778C"/>
        <w:sz w:val="15"/>
        <w:szCs w:val="15"/>
      </w:rPr>
      <w:t xml:space="preserve">© 2026 Accréditation Sans Frontières · Paris · Geneva · Tbilisi · france-asf.fr   ·   Page </w:t>
    </w:r>
    <w:r>
      <w:rPr>
        <w:color w:val="6B778C"/>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CE3EE" w:sz="4" w:space="4"/>
      </w:pBdr>
      <w:jc w:val="right"/>
    </w:pPr>
    <w:r>
      <w:rPr>
        <w:rFonts w:ascii="Arial" w:cs="Arial" w:eastAsia="Arial" w:hAnsi="Arial"/>
        <w:b w:val="false"/>
        <w:bCs w:val="false"/>
        <w:i/>
        <w:iCs/>
        <w:color w:val="6B778C"/>
        <w:sz w:val="15"/>
        <w:szCs w:val="15"/>
      </w:rPr>
      <w:t xml:space="preserve">Patient Voice Council — Facility Participation Agreement  ·  ASF-PV-FACILITY-001-v1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0" w:hanging="280"/>
      </w:pPr>
      <w:rPr>
        <w:color w:val="C9A227"/>
      </w:rPr>
    </w:lvl>
    <w:lvl w:ilvl="1" w15:tentative="1">
      <w:start w:val="1"/>
      <w:numFmt w:val="bullet"/>
      <w:lvlText w:val="–"/>
      <w:lvlJc w:val="left"/>
      <w:pPr>
        <w:ind w:left="1000" w:hanging="280"/>
      </w:pPr>
    </w:lvl>
  </w:abstractNum>
  <w:abstractNum w:abstractNumId="3" w15:restartNumberingAfterBreak="0">
    <w:multiLevelType w:val="hybridMultilevel"/>
    <w:lvl w:ilvl="0" w15:tentative="1">
      <w:start w:val="1"/>
      <w:numFmt w:val="decimal"/>
      <w:lvlText w:val="%1."/>
      <w:lvlJc w:val="left"/>
      <w:pPr>
        <w:ind w:left="560" w:hanging="360"/>
      </w:pPr>
      <w:rPr>
        <w:b/>
        <w:bCs/>
        <w:color w:val="0E2647"/>
      </w:r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333333"/>
        <w:sz w:val="19"/>
        <w:szCs w:val="19"/>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681fd126cdf550e781c9e30e2a67f8bbf2b2a95d.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2026-09-13T02:30:08.570Z</dcterms:created>
  <dcterms:modified xsi:type="dcterms:W3CDTF">2026-09-13T02:30:08.570Z</dcterms:modified>
</cp:coreProperties>
</file>

<file path=docProps/custom.xml><?xml version="1.0" encoding="utf-8"?>
<Properties xmlns="http://schemas.openxmlformats.org/officeDocument/2006/custom-properties" xmlns:vt="http://schemas.openxmlformats.org/officeDocument/2006/docPropsVTypes"/>
</file>