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before="1800"/>
        <w:jc w:val="center"/>
      </w:pPr>
      <w:r>
        <w:drawing>
          <wp:inline distT="0" distB="0" distL="0" distR="0">
            <wp:extent cx="914400" cy="84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914400" cy="847725"/>
                    </a:xfrm>
                    <a:prstGeom prst="rect">
                      <a:avLst/>
                    </a:prstGeom>
                  </pic:spPr>
                </pic:pic>
              </a:graphicData>
            </a:graphic>
          </wp:inline>
        </w:drawing>
      </w:r>
    </w:p>
    <w:p>
      <w:pPr>
        <w:spacing w:after="200" w:before="0" w:line="300"/>
        <w:jc w:val="center"/>
      </w:pPr>
      <w:r>
        <w:rPr>
          <w:rFonts w:ascii="Arial" w:cs="Arial" w:eastAsia="Arial" w:hAnsi="Arial"/>
          <w:b/>
          <w:bCs/>
          <w:i w:val="false"/>
          <w:iCs w:val="false"/>
          <w:color w:val="C9A227"/>
          <w:sz w:val="20"/>
          <w:szCs w:val="20"/>
        </w:rPr>
        <w:t xml:space="preserve">ACCRÉDITATION SANS FRONTIÈRES</w:t>
      </w:r>
    </w:p>
    <w:p>
      <w:pPr>
        <w:spacing w:after="300" w:before="0" w:line="300"/>
        <w:jc w:val="center"/>
      </w:pPr>
      <w:r>
        <w:rPr>
          <w:rFonts w:ascii="Arial" w:cs="Arial" w:eastAsia="Arial" w:hAnsi="Arial"/>
          <w:b w:val="false"/>
          <w:bCs w:val="false"/>
          <w:i w:val="false"/>
          <w:iCs w:val="false"/>
          <w:color w:val="6B778C"/>
          <w:sz w:val="18"/>
          <w:szCs w:val="18"/>
        </w:rPr>
        <w:t xml:space="preserve">Patient Voice Toolkit</w:t>
      </w:r>
    </w:p>
    <w:p>
      <w:pPr>
        <w:spacing w:after="200" w:line="400"/>
        <w:jc w:val="center"/>
      </w:pPr>
      <w:r>
        <w:rPr>
          <w:rFonts w:ascii="Georgia" w:cs="Georgia" w:eastAsia="Georgia" w:hAnsi="Georgia"/>
          <w:b/>
          <w:bCs/>
          <w:i w:val="false"/>
          <w:iCs w:val="false"/>
          <w:color w:val="0E2647"/>
          <w:sz w:val="40"/>
          <w:szCs w:val="40"/>
        </w:rPr>
        <w:t xml:space="preserve">Patient Voice — Monthly Report Template</w:t>
      </w:r>
    </w:p>
    <w:p>
      <w:pPr>
        <w:spacing w:after="600" w:before="0" w:line="300"/>
        <w:jc w:val="center"/>
      </w:pPr>
      <w:r>
        <w:rPr>
          <w:rFonts w:ascii="Arial" w:cs="Arial" w:eastAsia="Arial" w:hAnsi="Arial"/>
          <w:b w:val="false"/>
          <w:bCs w:val="false"/>
          <w:i/>
          <w:iCs/>
          <w:color w:val="6B778C"/>
          <w:sz w:val="21"/>
          <w:szCs w:val="21"/>
        </w:rPr>
        <w:t xml:space="preserve">The report the whole cycle runs on: register, themes, praise, cases with the facility's response, action log. With a complete worked example month</w:t>
      </w:r>
    </w:p>
    <w:p>
      <w:pPr>
        <w:spacing w:after="100" w:before="0" w:line="300"/>
        <w:jc w:val="center"/>
      </w:pPr>
      <w:r>
        <w:rPr>
          <w:rFonts w:ascii="Arial" w:cs="Arial" w:eastAsia="Arial" w:hAnsi="Arial"/>
          <w:b/>
          <w:bCs/>
          <w:i w:val="false"/>
          <w:iCs w:val="false"/>
          <w:color w:val="0E2647"/>
          <w:sz w:val="19"/>
          <w:szCs w:val="19"/>
        </w:rPr>
        <w:t xml:space="preserve">Version 1 · 2026</w:t>
      </w:r>
    </w:p>
    <w:p>
      <w:pPr>
        <w:spacing w:after="120" w:before="0" w:line="300"/>
        <w:jc w:val="center"/>
      </w:pPr>
      <w:r>
        <w:rPr>
          <w:rFonts w:ascii="Arial" w:cs="Arial" w:eastAsia="Arial" w:hAnsi="Arial"/>
          <w:b w:val="false"/>
          <w:bCs w:val="false"/>
          <w:i w:val="false"/>
          <w:iCs w:val="false"/>
          <w:color w:val="6B778C"/>
          <w:sz w:val="17"/>
          <w:szCs w:val="17"/>
        </w:rPr>
        <w:t xml:space="preserve">Paris · Geneva · Tbilisi</w:t>
      </w:r>
    </w:p>
    <w:p>
      <w:r>
        <w:br w:type="page"/>
      </w:r>
    </w:p>
    <w:p>
      <w:pPr>
        <w:pStyle w:val="Heading1"/>
        <w:keepNext/>
        <w:spacing w:after="160" w:before="360"/>
      </w:pPr>
      <w:r>
        <w:rPr>
          <w:rFonts w:ascii="Arial" w:cs="Arial" w:eastAsia="Arial" w:hAnsi="Arial"/>
          <w:b/>
          <w:bCs/>
          <w:i w:val="false"/>
          <w:iCs w:val="false"/>
          <w:color w:val="0E2647"/>
          <w:sz w:val="27"/>
          <w:szCs w:val="27"/>
        </w:rPr>
        <w:t xml:space="preserve">Document Control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Title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Patient Voice — Monthly Report Template</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Reference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ASF-PV-REPORT-001-v1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Version / Edition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Version 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Status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Published</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Date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Place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Paris, France</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Issuing Authority</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 International Standards Council, Accréditation Sans Frontières</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Language of Origin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English</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Effective Date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Next Scheduled Review</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2028</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Supersedes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None — first edition</w:t>
            </w:r>
          </w:p>
        </w:tc>
      </w:tr>
    </w:tbl>
    <w:p>
      <w:pPr>
        <w:spacing w:after="200"/>
      </w:pP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Free to reuse. </w:t>
      </w:r>
      <w:r>
        <w:rPr>
          <w:rFonts w:ascii="Arial" w:cs="Arial" w:eastAsia="Arial" w:hAnsi="Arial"/>
          <w:b w:val="false"/>
          <w:bCs w:val="false"/>
          <w:i w:val="false"/>
          <w:iCs w:val="false"/>
          <w:color w:val="5C4A0A"/>
          <w:sz w:val="18"/>
          <w:szCs w:val="18"/>
        </w:rPr>
        <w:t xml:space="preserve">This document is published in full by Accréditation Sans Frontières and may be adapted by any organization establishing a patient council in its own country, with attribution and a note of what was changed. It forms part of the Patient Voice Toolkit, all of which is available at france-asf.fr/patient-voice.</w:t>
      </w:r>
    </w:p>
    <w:p>
      <w:r>
        <w:br w:type="page"/>
      </w:r>
    </w:p>
    <w:p>
      <w:pPr>
        <w:pStyle w:val="Heading1"/>
        <w:keepNext/>
        <w:spacing w:after="160" w:before="360"/>
      </w:pPr>
      <w:r>
        <w:rPr>
          <w:rFonts w:ascii="Arial" w:cs="Arial" w:eastAsia="Arial" w:hAnsi="Arial"/>
          <w:b/>
          <w:bCs/>
          <w:i w:val="false"/>
          <w:iCs w:val="false"/>
          <w:color w:val="0E2647"/>
          <w:sz w:val="27"/>
          <w:szCs w:val="27"/>
        </w:rPr>
        <w:t xml:space="preserve">Table of Contents</w:t>
      </w:r>
    </w:p>
    <w:p>
      <w:pPr>
        <w:spacing w:after="60" w:before="0" w:line="300"/>
      </w:pPr>
      <w:r>
        <w:rPr>
          <w:rFonts w:ascii="Arial" w:cs="Arial" w:eastAsia="Arial" w:hAnsi="Arial"/>
          <w:b/>
          <w:bCs/>
          <w:i w:val="false"/>
          <w:iCs w:val="false"/>
          <w:color w:val="0E2647"/>
          <w:sz w:val="19"/>
          <w:szCs w:val="19"/>
        </w:rPr>
        <w:t xml:space="preserve">Foreword</w:t>
      </w:r>
    </w:p>
    <w:p>
      <w:pPr>
        <w:spacing w:after="60" w:before="0" w:line="300"/>
      </w:pPr>
      <w:r>
        <w:rPr>
          <w:rFonts w:ascii="Arial" w:cs="Arial" w:eastAsia="Arial" w:hAnsi="Arial"/>
          <w:b w:val="false"/>
          <w:bCs w:val="false"/>
          <w:i w:val="false"/>
          <w:iCs w:val="false"/>
          <w:color w:val="0E2647"/>
          <w:sz w:val="19"/>
          <w:szCs w:val="19"/>
        </w:rPr>
        <w:t xml:space="preserve">1. Part A — The Template</w:t>
      </w:r>
    </w:p>
    <w:p>
      <w:pPr>
        <w:spacing w:after="40" w:before="0" w:line="300"/>
        <w:ind w:left="400"/>
      </w:pPr>
      <w:r>
        <w:rPr>
          <w:rFonts w:ascii="Arial" w:cs="Arial" w:eastAsia="Arial" w:hAnsi="Arial"/>
          <w:b w:val="false"/>
          <w:bCs w:val="false"/>
          <w:i w:val="false"/>
          <w:iCs w:val="false"/>
          <w:color w:val="6B778C"/>
          <w:sz w:val="17"/>
          <w:szCs w:val="17"/>
        </w:rPr>
        <w:t xml:space="preserve">A1 Cover</w:t>
      </w:r>
    </w:p>
    <w:p>
      <w:pPr>
        <w:spacing w:after="40" w:before="0" w:line="300"/>
        <w:ind w:left="400"/>
      </w:pPr>
      <w:r>
        <w:rPr>
          <w:rFonts w:ascii="Arial" w:cs="Arial" w:eastAsia="Arial" w:hAnsi="Arial"/>
          <w:b w:val="false"/>
          <w:bCs w:val="false"/>
          <w:i w:val="false"/>
          <w:iCs w:val="false"/>
          <w:color w:val="6B778C"/>
          <w:sz w:val="17"/>
          <w:szCs w:val="17"/>
        </w:rPr>
        <w:t xml:space="preserve">A2 The month in numbers</w:t>
      </w:r>
    </w:p>
    <w:p>
      <w:pPr>
        <w:spacing w:after="40" w:before="0" w:line="300"/>
        <w:ind w:left="400"/>
      </w:pPr>
      <w:r>
        <w:rPr>
          <w:rFonts w:ascii="Arial" w:cs="Arial" w:eastAsia="Arial" w:hAnsi="Arial"/>
          <w:b w:val="false"/>
          <w:bCs w:val="false"/>
          <w:i w:val="false"/>
          <w:iCs w:val="false"/>
          <w:color w:val="6B778C"/>
          <w:sz w:val="17"/>
          <w:szCs w:val="17"/>
        </w:rPr>
        <w:t xml:space="preserve">A3 Themes</w:t>
      </w:r>
    </w:p>
    <w:p>
      <w:pPr>
        <w:spacing w:after="40" w:before="0" w:line="300"/>
        <w:ind w:left="400"/>
      </w:pPr>
      <w:r>
        <w:rPr>
          <w:rFonts w:ascii="Arial" w:cs="Arial" w:eastAsia="Arial" w:hAnsi="Arial"/>
          <w:b w:val="false"/>
          <w:bCs w:val="false"/>
          <w:i w:val="false"/>
          <w:iCs w:val="false"/>
          <w:color w:val="6B778C"/>
          <w:sz w:val="17"/>
          <w:szCs w:val="17"/>
        </w:rPr>
        <w:t xml:space="preserve">A4 Praise</w:t>
      </w:r>
    </w:p>
    <w:p>
      <w:pPr>
        <w:spacing w:after="40" w:before="0" w:line="300"/>
        <w:ind w:left="400"/>
      </w:pPr>
      <w:r>
        <w:rPr>
          <w:rFonts w:ascii="Arial" w:cs="Arial" w:eastAsia="Arial" w:hAnsi="Arial"/>
          <w:b w:val="false"/>
          <w:bCs w:val="false"/>
          <w:i w:val="false"/>
          <w:iCs w:val="false"/>
          <w:color w:val="6B778C"/>
          <w:sz w:val="17"/>
          <w:szCs w:val="17"/>
        </w:rPr>
        <w:t xml:space="preserve">A5 Cases and the facility's response</w:t>
      </w:r>
    </w:p>
    <w:p>
      <w:pPr>
        <w:spacing w:after="40" w:before="0" w:line="300"/>
        <w:ind w:left="400"/>
      </w:pPr>
      <w:r>
        <w:rPr>
          <w:rFonts w:ascii="Arial" w:cs="Arial" w:eastAsia="Arial" w:hAnsi="Arial"/>
          <w:b w:val="false"/>
          <w:bCs w:val="false"/>
          <w:i w:val="false"/>
          <w:iCs w:val="false"/>
          <w:color w:val="6B778C"/>
          <w:sz w:val="17"/>
          <w:szCs w:val="17"/>
        </w:rPr>
        <w:t xml:space="preserve">A6 Action log</w:t>
      </w:r>
    </w:p>
    <w:p>
      <w:pPr>
        <w:spacing w:after="60" w:before="0" w:line="300"/>
      </w:pPr>
      <w:r>
        <w:rPr>
          <w:rFonts w:ascii="Arial" w:cs="Arial" w:eastAsia="Arial" w:hAnsi="Arial"/>
          <w:b w:val="false"/>
          <w:bCs w:val="false"/>
          <w:i w:val="false"/>
          <w:iCs w:val="false"/>
          <w:color w:val="0E2647"/>
          <w:sz w:val="19"/>
          <w:szCs w:val="19"/>
        </w:rPr>
        <w:t xml:space="preserve">2. Part B — Worked Example: March 2026, Central District Hospital (120 beds)</w:t>
      </w:r>
    </w:p>
    <w:p>
      <w:pPr>
        <w:spacing w:after="40" w:before="0" w:line="300"/>
        <w:ind w:left="400"/>
      </w:pPr>
      <w:r>
        <w:rPr>
          <w:rFonts w:ascii="Arial" w:cs="Arial" w:eastAsia="Arial" w:hAnsi="Arial"/>
          <w:b w:val="false"/>
          <w:bCs w:val="false"/>
          <w:i w:val="false"/>
          <w:iCs w:val="false"/>
          <w:color w:val="6B778C"/>
          <w:sz w:val="17"/>
          <w:szCs w:val="17"/>
        </w:rPr>
        <w:t xml:space="preserve">B1 Cover</w:t>
      </w:r>
    </w:p>
    <w:p>
      <w:pPr>
        <w:spacing w:after="40" w:before="0" w:line="300"/>
        <w:ind w:left="400"/>
      </w:pPr>
      <w:r>
        <w:rPr>
          <w:rFonts w:ascii="Arial" w:cs="Arial" w:eastAsia="Arial" w:hAnsi="Arial"/>
          <w:b w:val="false"/>
          <w:bCs w:val="false"/>
          <w:i w:val="false"/>
          <w:iCs w:val="false"/>
          <w:color w:val="6B778C"/>
          <w:sz w:val="17"/>
          <w:szCs w:val="17"/>
        </w:rPr>
        <w:t xml:space="preserve">B2 Numbers</w:t>
      </w:r>
    </w:p>
    <w:p>
      <w:pPr>
        <w:spacing w:after="40" w:before="0" w:line="300"/>
        <w:ind w:left="400"/>
      </w:pPr>
      <w:r>
        <w:rPr>
          <w:rFonts w:ascii="Arial" w:cs="Arial" w:eastAsia="Arial" w:hAnsi="Arial"/>
          <w:b w:val="false"/>
          <w:bCs w:val="false"/>
          <w:i w:val="false"/>
          <w:iCs w:val="false"/>
          <w:color w:val="6B778C"/>
          <w:sz w:val="17"/>
          <w:szCs w:val="17"/>
        </w:rPr>
        <w:t xml:space="preserve">B3 Themes</w:t>
      </w:r>
    </w:p>
    <w:p>
      <w:pPr>
        <w:spacing w:after="40" w:before="0" w:line="300"/>
        <w:ind w:left="400"/>
      </w:pPr>
      <w:r>
        <w:rPr>
          <w:rFonts w:ascii="Arial" w:cs="Arial" w:eastAsia="Arial" w:hAnsi="Arial"/>
          <w:b w:val="false"/>
          <w:bCs w:val="false"/>
          <w:i w:val="false"/>
          <w:iCs w:val="false"/>
          <w:color w:val="6B778C"/>
          <w:sz w:val="17"/>
          <w:szCs w:val="17"/>
        </w:rPr>
        <w:t xml:space="preserve">B4 Praise</w:t>
      </w:r>
    </w:p>
    <w:p>
      <w:pPr>
        <w:spacing w:after="40" w:before="0" w:line="300"/>
        <w:ind w:left="400"/>
      </w:pPr>
      <w:r>
        <w:rPr>
          <w:rFonts w:ascii="Arial" w:cs="Arial" w:eastAsia="Arial" w:hAnsi="Arial"/>
          <w:b w:val="false"/>
          <w:bCs w:val="false"/>
          <w:i w:val="false"/>
          <w:iCs w:val="false"/>
          <w:color w:val="6B778C"/>
          <w:sz w:val="17"/>
          <w:szCs w:val="17"/>
        </w:rPr>
        <w:t xml:space="preserve">B5 Cases</w:t>
      </w:r>
    </w:p>
    <w:p>
      <w:pPr>
        <w:spacing w:after="40" w:before="0" w:line="300"/>
        <w:ind w:left="400"/>
      </w:pPr>
      <w:r>
        <w:rPr>
          <w:rFonts w:ascii="Arial" w:cs="Arial" w:eastAsia="Arial" w:hAnsi="Arial"/>
          <w:b w:val="false"/>
          <w:bCs w:val="false"/>
          <w:i w:val="false"/>
          <w:iCs w:val="false"/>
          <w:color w:val="6B778C"/>
          <w:sz w:val="17"/>
          <w:szCs w:val="17"/>
        </w:rPr>
        <w:t xml:space="preserve">B6 Action log</w:t>
      </w:r>
    </w:p>
    <w:p>
      <w:pPr>
        <w:spacing w:after="40" w:before="0" w:line="300"/>
        <w:ind w:left="400"/>
      </w:pPr>
      <w:r>
        <w:rPr>
          <w:rFonts w:ascii="Arial" w:cs="Arial" w:eastAsia="Arial" w:hAnsi="Arial"/>
          <w:b w:val="false"/>
          <w:bCs w:val="false"/>
          <w:i w:val="false"/>
          <w:iCs w:val="false"/>
          <w:color w:val="6B778C"/>
          <w:sz w:val="17"/>
          <w:szCs w:val="17"/>
        </w:rPr>
        <w:t xml:space="preserve">B7 The meeting that followed</w:t>
      </w:r>
    </w:p>
    <w:p>
      <w:pPr>
        <w:spacing w:after="60" w:before="0" w:line="300"/>
      </w:pPr>
      <w:r>
        <w:rPr>
          <w:rFonts w:ascii="Arial" w:cs="Arial" w:eastAsia="Arial" w:hAnsi="Arial"/>
          <w:b w:val="false"/>
          <w:bCs w:val="false"/>
          <w:i w:val="false"/>
          <w:iCs w:val="false"/>
          <w:color w:val="0E2647"/>
          <w:sz w:val="19"/>
          <w:szCs w:val="19"/>
        </w:rPr>
        <w:t xml:space="preserve">Annex A — Register Format (spreadsheet columns)</w:t>
      </w:r>
    </w:p>
    <w:p>
      <w:pPr>
        <w:spacing w:after="60" w:before="0" w:line="300"/>
      </w:pPr>
      <w:r>
        <w:rPr>
          <w:rFonts w:ascii="Arial" w:cs="Arial" w:eastAsia="Arial" w:hAnsi="Arial"/>
          <w:b w:val="false"/>
          <w:bCs w:val="false"/>
          <w:i w:val="false"/>
          <w:iCs w:val="false"/>
          <w:color w:val="0E2647"/>
          <w:sz w:val="19"/>
          <w:szCs w:val="19"/>
        </w:rPr>
        <w:t xml:space="preserve">References</w:t>
      </w:r>
    </w:p>
    <w:p>
      <w:pPr>
        <w:spacing w:after="60" w:before="0" w:line="300"/>
      </w:pPr>
      <w:r>
        <w:rPr>
          <w:rFonts w:ascii="Arial" w:cs="Arial" w:eastAsia="Arial" w:hAnsi="Arial"/>
          <w:b w:val="false"/>
          <w:bCs w:val="false"/>
          <w:i w:val="false"/>
          <w:iCs w:val="false"/>
          <w:color w:val="0E2647"/>
          <w:sz w:val="19"/>
          <w:szCs w:val="19"/>
        </w:rPr>
        <w:t xml:space="preserve">Index</w:t>
      </w:r>
    </w:p>
    <w:p>
      <w:r>
        <w:br w:type="page"/>
      </w:r>
    </w:p>
    <w:p>
      <w:pPr>
        <w:pStyle w:val="Heading1"/>
        <w:keepNext/>
        <w:spacing w:after="160" w:before="360"/>
      </w:pPr>
      <w:r>
        <w:rPr>
          <w:rFonts w:ascii="Arial" w:cs="Arial" w:eastAsia="Arial" w:hAnsi="Arial"/>
          <w:b/>
          <w:bCs/>
          <w:i w:val="false"/>
          <w:iCs w:val="false"/>
          <w:color w:val="0E2647"/>
          <w:sz w:val="27"/>
          <w:szCs w:val="27"/>
        </w:rPr>
        <w:t xml:space="preserve">Foreword</w:t>
      </w:r>
    </w:p>
    <w:p>
      <w:pPr>
        <w:spacing w:after="120" w:before="0" w:line="300"/>
      </w:pPr>
      <w:r>
        <w:rPr>
          <w:rFonts w:ascii="Arial" w:cs="Arial" w:eastAsia="Arial" w:hAnsi="Arial"/>
          <w:b w:val="false"/>
          <w:bCs w:val="false"/>
          <w:i w:val="false"/>
          <w:iCs w:val="false"/>
          <w:color w:val="333333"/>
          <w:sz w:val="19"/>
          <w:szCs w:val="19"/>
        </w:rPr>
        <w:t xml:space="preserve">The report is the council's memory and its agenda. It is written by the secretariat on the last working day of every month, sent to the facility for verification, and then to the members 48 hours before the meeting. It has six parts, always in the same order, so that months are comparable and nobody has to hunt for anything. Part A of this document is the template with instructions; Part B is a complete example month from a fictional 120-bed hospital.</w:t>
      </w: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Two rules. </w:t>
      </w:r>
      <w:r>
        <w:rPr>
          <w:rFonts w:ascii="Arial" w:cs="Arial" w:eastAsia="Arial" w:hAnsi="Arial"/>
          <w:b w:val="false"/>
          <w:bCs w:val="false"/>
          <w:i w:val="false"/>
          <w:iCs w:val="false"/>
          <w:color w:val="5C4A0A"/>
          <w:sz w:val="18"/>
          <w:szCs w:val="18"/>
        </w:rPr>
        <w:t xml:space="preserve">Every case appears, including the ones the facility disputes. No identity appears where the patient asked for anonymity — not in the report, not in the meeting, not in the WhatsApp group.</w:t>
      </w:r>
    </w:p>
    <w:p>
      <w:pPr>
        <w:pStyle w:val="Heading1"/>
        <w:keepNext/>
        <w:spacing w:after="160" w:before="360"/>
      </w:pPr>
      <w:r>
        <w:rPr>
          <w:rFonts w:ascii="Arial" w:cs="Arial" w:eastAsia="Arial" w:hAnsi="Arial"/>
          <w:b/>
          <w:bCs/>
          <w:i w:val="false"/>
          <w:iCs w:val="false"/>
          <w:color w:val="0E2647"/>
          <w:sz w:val="27"/>
          <w:szCs w:val="27"/>
        </w:rPr>
        <w:t xml:space="preserve">1. Part A — The Template</w:t>
      </w:r>
    </w:p>
    <w:p>
      <w:pPr>
        <w:pStyle w:val="Heading2"/>
        <w:keepNext/>
        <w:spacing w:after="120" w:before="240"/>
      </w:pPr>
      <w:r>
        <w:rPr>
          <w:rFonts w:ascii="Arial" w:cs="Arial" w:eastAsia="Arial" w:hAnsi="Arial"/>
          <w:b/>
          <w:bCs/>
          <w:i w:val="false"/>
          <w:iCs w:val="false"/>
          <w:color w:val="0E2647"/>
          <w:sz w:val="22"/>
          <w:szCs w:val="22"/>
        </w:rPr>
        <w:t xml:space="preserve">A1 Cover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Facility</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Month</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Report number</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PV-[facility code]-[YYYY-MM]</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Prepared by (secretariat)</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Draft sent to facility</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date</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Facility response received</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date</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Sent to council</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date</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Meeting date</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bl>
    <w:p>
      <w:pPr>
        <w:pStyle w:val="Heading2"/>
        <w:keepNext/>
        <w:spacing w:after="120" w:before="240"/>
      </w:pPr>
      <w:r>
        <w:rPr>
          <w:rFonts w:ascii="Arial" w:cs="Arial" w:eastAsia="Arial" w:hAnsi="Arial"/>
          <w:b/>
          <w:bCs/>
          <w:i w:val="false"/>
          <w:iCs w:val="false"/>
          <w:color w:val="0E2647"/>
          <w:sz w:val="22"/>
          <w:szCs w:val="22"/>
        </w:rPr>
        <w:t xml:space="preserve">A2 The month in numbers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200"/>
        <w:gridCol w:w="1600"/>
        <w:gridCol w:w="1600"/>
        <w:gridCol w:w="1626"/>
      </w:tblGrid>
      <w:tr>
        <w:trPr>
          <w:tblHeader/>
        </w:trPr>
        <w:tc>
          <w:tcPr>
            <w:tcW w:type="dxa" w:w="4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Measure</w:t>
            </w:r>
          </w:p>
        </w:tc>
        <w:tc>
          <w:tcPr>
            <w:tcW w:type="dxa" w:w="16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This month</w:t>
            </w:r>
          </w:p>
        </w:tc>
        <w:tc>
          <w:tcPr>
            <w:tcW w:type="dxa" w:w="16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Last month</w:t>
            </w:r>
          </w:p>
        </w:tc>
        <w:tc>
          <w:tcPr>
            <w:tcW w:type="dxa" w:w="16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3-month average</w:t>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Items received</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concerns</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praise</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questions and ideas</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By channel: QR · hotline · form · email · paper · social</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Anonymous</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Severity 3 or 4</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Acknowledged within 2 working days (%)</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Loop closed within 5 working days of meeting (%)</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Open actions carried forward</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bl>
    <w:p>
      <w:pPr>
        <w:pStyle w:val="Heading2"/>
        <w:keepNext/>
        <w:spacing w:after="120" w:before="240"/>
      </w:pPr>
      <w:r>
        <w:rPr>
          <w:rFonts w:ascii="Arial" w:cs="Arial" w:eastAsia="Arial" w:hAnsi="Arial"/>
          <w:b/>
          <w:bCs/>
          <w:i w:val="false"/>
          <w:iCs w:val="false"/>
          <w:color w:val="0E2647"/>
          <w:sz w:val="22"/>
          <w:szCs w:val="22"/>
        </w:rPr>
        <w:t xml:space="preserve">A3 Themes</w:t>
      </w:r>
    </w:p>
    <w:p>
      <w:pPr>
        <w:spacing w:after="120" w:before="0" w:line="300"/>
      </w:pPr>
      <w:r>
        <w:rPr>
          <w:rFonts w:ascii="Arial" w:cs="Arial" w:eastAsia="Arial" w:hAnsi="Arial"/>
          <w:b w:val="false"/>
          <w:bCs w:val="false"/>
          <w:i w:val="false"/>
          <w:iCs w:val="false"/>
          <w:color w:val="333333"/>
          <w:sz w:val="19"/>
          <w:szCs w:val="19"/>
        </w:rPr>
        <w:t xml:space="preserve">One line per theme with the count and the trend arrow. Themes come from Annex A of the Terms of Reference (clinical · management · relationships).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1000"/>
        <w:gridCol w:w="1000"/>
        <w:gridCol w:w="3826"/>
      </w:tblGrid>
      <w:tr>
        <w:trPr>
          <w:tblHeader/>
        </w:trPr>
        <w:tc>
          <w:tcPr>
            <w:tcW w:type="dxa" w:w="3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Theme</w:t>
            </w:r>
          </w:p>
        </w:tc>
        <w:tc>
          <w:tcPr>
            <w:tcW w:type="dxa" w:w="10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Count</w:t>
            </w:r>
          </w:p>
        </w:tc>
        <w:tc>
          <w:tcPr>
            <w:tcW w:type="dxa" w:w="10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Trend</w:t>
            </w:r>
          </w:p>
        </w:tc>
        <w:tc>
          <w:tcPr>
            <w:tcW w:type="dxa" w:w="38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One-line note</w:t>
            </w:r>
          </w:p>
        </w:tc>
      </w:tr>
    </w:tbl>
    <w:p>
      <w:pPr>
        <w:pStyle w:val="Heading2"/>
        <w:keepNext/>
        <w:spacing w:after="120" w:before="240"/>
      </w:pPr>
      <w:r>
        <w:rPr>
          <w:rFonts w:ascii="Arial" w:cs="Arial" w:eastAsia="Arial" w:hAnsi="Arial"/>
          <w:b/>
          <w:bCs/>
          <w:i w:val="false"/>
          <w:iCs w:val="false"/>
          <w:color w:val="0E2647"/>
          <w:sz w:val="22"/>
          <w:szCs w:val="22"/>
        </w:rPr>
        <w:t xml:space="preserve">A4 Praise</w:t>
      </w:r>
    </w:p>
    <w:p>
      <w:pPr>
        <w:spacing w:after="120" w:before="0" w:line="300"/>
      </w:pPr>
      <w:r>
        <w:rPr>
          <w:rFonts w:ascii="Arial" w:cs="Arial" w:eastAsia="Arial" w:hAnsi="Arial"/>
          <w:b w:val="false"/>
          <w:bCs w:val="false"/>
          <w:i w:val="false"/>
          <w:iCs w:val="false"/>
          <w:color w:val="333333"/>
          <w:sz w:val="19"/>
          <w:szCs w:val="19"/>
        </w:rPr>
        <w:t xml:space="preserve">By name of the staff member praised, with the ward and the patient's words (with consent). Praise is passed to the ward manager for the staff board before the meeting.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2826"/>
        <w:gridCol w:w="2000"/>
      </w:tblGrid>
      <w:tr>
        <w:trPr>
          <w:tblHeader/>
        </w:trPr>
        <w:tc>
          <w:tcPr>
            <w:tcW w:type="dxa" w:w="2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Staff member</w:t>
            </w:r>
          </w:p>
        </w:tc>
        <w:tc>
          <w:tcPr>
            <w:tcW w:type="dxa" w:w="20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Ward / service</w:t>
            </w:r>
          </w:p>
        </w:tc>
        <w:tc>
          <w:tcPr>
            <w:tcW w:type="dxa" w:w="28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Patient's words</w:t>
            </w:r>
          </w:p>
        </w:tc>
        <w:tc>
          <w:tcPr>
            <w:tcW w:type="dxa" w:w="20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Passed on (date)</w:t>
            </w:r>
          </w:p>
        </w:tc>
      </w:tr>
    </w:tbl>
    <w:p>
      <w:pPr>
        <w:pStyle w:val="Heading2"/>
        <w:keepNext/>
        <w:spacing w:after="120" w:before="240"/>
      </w:pPr>
      <w:r>
        <w:rPr>
          <w:rFonts w:ascii="Arial" w:cs="Arial" w:eastAsia="Arial" w:hAnsi="Arial"/>
          <w:b/>
          <w:bCs/>
          <w:i w:val="false"/>
          <w:iCs w:val="false"/>
          <w:color w:val="0E2647"/>
          <w:sz w:val="22"/>
          <w:szCs w:val="22"/>
        </w:rPr>
        <w:t xml:space="preserve">A5 Cases and the facility's response</w:t>
      </w:r>
    </w:p>
    <w:p>
      <w:pPr>
        <w:spacing w:after="120" w:before="0" w:line="300"/>
      </w:pPr>
      <w:r>
        <w:rPr>
          <w:rFonts w:ascii="Arial" w:cs="Arial" w:eastAsia="Arial" w:hAnsi="Arial"/>
          <w:b w:val="false"/>
          <w:bCs w:val="false"/>
          <w:i w:val="false"/>
          <w:iCs w:val="false"/>
          <w:color w:val="333333"/>
          <w:sz w:val="19"/>
          <w:szCs w:val="19"/>
        </w:rPr>
        <w:t xml:space="preserve">One block per case. The facility completes the shaded column. Nothing in the white columns is changed by the facility.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100"/>
        <w:gridCol w:w="1300"/>
        <w:gridCol w:w="2800"/>
        <w:gridCol w:w="1300"/>
        <w:gridCol w:w="2000"/>
        <w:gridCol w:w="526"/>
      </w:tblGrid>
      <w:tr>
        <w:trPr>
          <w:tblHeader/>
        </w:trPr>
        <w:tc>
          <w:tcPr>
            <w:tcW w:type="dxa" w:w="11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Case no.</w:t>
            </w:r>
          </w:p>
        </w:tc>
        <w:tc>
          <w:tcPr>
            <w:tcW w:type="dxa" w:w="13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Channel · date</w:t>
            </w:r>
          </w:p>
        </w:tc>
        <w:tc>
          <w:tcPr>
            <w:tcW w:type="dxa" w:w="28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What the patient said (verbatim or close)</w:t>
            </w:r>
          </w:p>
        </w:tc>
        <w:tc>
          <w:tcPr>
            <w:tcW w:type="dxa" w:w="13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Theme · severity</w:t>
            </w:r>
          </w:p>
        </w:tc>
        <w:tc>
          <w:tcPr>
            <w:tcW w:type="dxa" w:w="20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Facility response (found · done · date)</w:t>
            </w:r>
          </w:p>
        </w:tc>
        <w:tc>
          <w:tcPr>
            <w:tcW w:type="dxa" w:w="5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Status</w:t>
            </w:r>
          </w:p>
        </w:tc>
      </w:tr>
    </w:tbl>
    <w:p>
      <w:pPr>
        <w:pStyle w:val="Heading2"/>
        <w:keepNext/>
        <w:spacing w:after="120" w:before="240"/>
      </w:pPr>
      <w:r>
        <w:rPr>
          <w:rFonts w:ascii="Arial" w:cs="Arial" w:eastAsia="Arial" w:hAnsi="Arial"/>
          <w:b/>
          <w:bCs/>
          <w:i w:val="false"/>
          <w:iCs w:val="false"/>
          <w:color w:val="0E2647"/>
          <w:sz w:val="22"/>
          <w:szCs w:val="22"/>
        </w:rPr>
        <w:t xml:space="preserve">A6 Action log</w:t>
      </w:r>
    </w:p>
    <w:p>
      <w:pPr>
        <w:spacing w:after="120" w:before="0" w:line="300"/>
      </w:pPr>
      <w:r>
        <w:rPr>
          <w:rFonts w:ascii="Arial" w:cs="Arial" w:eastAsia="Arial" w:hAnsi="Arial"/>
          <w:b w:val="false"/>
          <w:bCs w:val="false"/>
          <w:i w:val="false"/>
          <w:iCs w:val="false"/>
          <w:color w:val="333333"/>
          <w:sz w:val="19"/>
          <w:szCs w:val="19"/>
        </w:rPr>
        <w:t xml:space="preserve">Carried from meeting to meeting until closed.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3600"/>
        <w:gridCol w:w="1600"/>
        <w:gridCol w:w="1100"/>
        <w:gridCol w:w="1200"/>
        <w:gridCol w:w="826"/>
      </w:tblGrid>
      <w:tr>
        <w:trPr>
          <w:tblHeader/>
        </w:trPr>
        <w:tc>
          <w:tcPr>
            <w:tcW w:type="dxa" w:w="7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No.</w:t>
            </w:r>
          </w:p>
        </w:tc>
        <w:tc>
          <w:tcPr>
            <w:tcW w:type="dxa" w:w="36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Action</w:t>
            </w:r>
          </w:p>
        </w:tc>
        <w:tc>
          <w:tcPr>
            <w:tcW w:type="dxa" w:w="16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Owner</w:t>
            </w:r>
          </w:p>
        </w:tc>
        <w:tc>
          <w:tcPr>
            <w:tcW w:type="dxa" w:w="11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Due</w:t>
            </w:r>
          </w:p>
        </w:tc>
        <w:tc>
          <w:tcPr>
            <w:tcW w:type="dxa" w:w="1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Status</w:t>
            </w:r>
          </w:p>
        </w:tc>
        <w:tc>
          <w:tcPr>
            <w:tcW w:type="dxa" w:w="8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Closed on</w:t>
            </w:r>
          </w:p>
        </w:tc>
      </w:tr>
    </w:tbl>
    <w:p>
      <w:pPr>
        <w:pStyle w:val="Heading1"/>
        <w:keepNext/>
        <w:spacing w:after="160" w:before="360"/>
      </w:pPr>
      <w:r>
        <w:rPr>
          <w:rFonts w:ascii="Arial" w:cs="Arial" w:eastAsia="Arial" w:hAnsi="Arial"/>
          <w:b/>
          <w:bCs/>
          <w:i w:val="false"/>
          <w:iCs w:val="false"/>
          <w:color w:val="0E2647"/>
          <w:sz w:val="27"/>
          <w:szCs w:val="27"/>
        </w:rPr>
        <w:t xml:space="preserve">2. Part B — Worked Example: March 2026, Central District Hospital (120 beds)</w:t>
      </w:r>
    </w:p>
    <w:p>
      <w:pPr>
        <w:spacing w:after="120" w:before="0" w:line="300"/>
      </w:pPr>
      <w:r>
        <w:rPr>
          <w:rFonts w:ascii="Arial" w:cs="Arial" w:eastAsia="Arial" w:hAnsi="Arial"/>
          <w:b w:val="false"/>
          <w:bCs w:val="false"/>
          <w:i/>
          <w:iCs/>
          <w:color w:val="333333"/>
          <w:sz w:val="19"/>
          <w:szCs w:val="19"/>
        </w:rPr>
        <w:t xml:space="preserve">All names and facts are fictional.</w:t>
      </w:r>
    </w:p>
    <w:p>
      <w:pPr>
        <w:pStyle w:val="Heading2"/>
        <w:keepNext/>
        <w:spacing w:after="120" w:before="240"/>
      </w:pPr>
      <w:r>
        <w:rPr>
          <w:rFonts w:ascii="Arial" w:cs="Arial" w:eastAsia="Arial" w:hAnsi="Arial"/>
          <w:b/>
          <w:bCs/>
          <w:i w:val="false"/>
          <w:iCs w:val="false"/>
          <w:color w:val="0E2647"/>
          <w:sz w:val="22"/>
          <w:szCs w:val="22"/>
        </w:rPr>
        <w:t xml:space="preserve">B1 Cover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Facility</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Central District Hospital, Kutaisi</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Month</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March 2026</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Report number</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PV-CDH-2026-03</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Prepared by</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 Beridze, ASF secretariat</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Draft sent to facility</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 April 2026</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Facility response received</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6 April 2026</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Sent to council</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7 April 2026</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Meeting date</w:t>
            </w:r>
          </w:p>
        </w:tc>
        <w:tc>
          <w:tcPr>
            <w:tcW w:type="dxa" w:w="5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9 April 2026, 17:30</w:t>
            </w:r>
          </w:p>
        </w:tc>
      </w:tr>
    </w:tbl>
    <w:p>
      <w:pPr>
        <w:pStyle w:val="Heading2"/>
        <w:keepNext/>
        <w:spacing w:after="120" w:before="240"/>
      </w:pPr>
      <w:r>
        <w:rPr>
          <w:rFonts w:ascii="Arial" w:cs="Arial" w:eastAsia="Arial" w:hAnsi="Arial"/>
          <w:b/>
          <w:bCs/>
          <w:i w:val="false"/>
          <w:iCs w:val="false"/>
          <w:color w:val="0E2647"/>
          <w:sz w:val="22"/>
          <w:szCs w:val="22"/>
        </w:rPr>
        <w:t xml:space="preserve">B2 Numbers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200"/>
        <w:gridCol w:w="1600"/>
        <w:gridCol w:w="1600"/>
        <w:gridCol w:w="1626"/>
      </w:tblGrid>
      <w:tr>
        <w:trPr>
          <w:tblHeader/>
        </w:trPr>
        <w:tc>
          <w:tcPr>
            <w:tcW w:type="dxa" w:w="4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Measure</w:t>
            </w:r>
          </w:p>
        </w:tc>
        <w:tc>
          <w:tcPr>
            <w:tcW w:type="dxa" w:w="16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March</w:t>
            </w:r>
          </w:p>
        </w:tc>
        <w:tc>
          <w:tcPr>
            <w:tcW w:type="dxa" w:w="16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February</w:t>
            </w:r>
          </w:p>
        </w:tc>
        <w:tc>
          <w:tcPr>
            <w:tcW w:type="dxa" w:w="16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3-month avg</w:t>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Items received</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31</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24</w:t>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26</w:t>
            </w:r>
          </w:p>
        </w:tc>
      </w:tr>
      <w:tr>
        <w:trPr>
          <w:tblHeader w:val="false"/>
        </w:trPr>
        <w:tc>
          <w:tcPr>
            <w:tcW w:type="dxa" w:w="42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concerns</w:t>
            </w:r>
          </w:p>
        </w:tc>
        <w:tc>
          <w:tcPr>
            <w:tcW w:type="dxa" w:w="16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22</w:t>
            </w:r>
          </w:p>
        </w:tc>
        <w:tc>
          <w:tcPr>
            <w:tcW w:type="dxa" w:w="16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18</w:t>
            </w:r>
          </w:p>
        </w:tc>
        <w:tc>
          <w:tcPr>
            <w:tcW w:type="dxa" w:w="16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19</w:t>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praise</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7</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4</w:t>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5</w:t>
            </w:r>
          </w:p>
        </w:tc>
      </w:tr>
      <w:tr>
        <w:trPr>
          <w:tblHeader w:val="false"/>
        </w:trPr>
        <w:tc>
          <w:tcPr>
            <w:tcW w:type="dxa" w:w="42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questions and ideas</w:t>
            </w:r>
          </w:p>
        </w:tc>
        <w:tc>
          <w:tcPr>
            <w:tcW w:type="dxa" w:w="16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2</w:t>
            </w:r>
          </w:p>
        </w:tc>
        <w:tc>
          <w:tcPr>
            <w:tcW w:type="dxa" w:w="16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2</w:t>
            </w:r>
          </w:p>
        </w:tc>
        <w:tc>
          <w:tcPr>
            <w:tcW w:type="dxa" w:w="16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2</w:t>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By channel</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QR 14 · hotline 6 · form 5 · paper 4 · social 2</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QR 11 · hotline 5 · form 4 · paper 3 · social 1</w:t>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t>
            </w:r>
          </w:p>
        </w:tc>
      </w:tr>
      <w:tr>
        <w:trPr>
          <w:tblHeader w:val="false"/>
        </w:trPr>
        <w:tc>
          <w:tcPr>
            <w:tcW w:type="dxa" w:w="42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Anonymous</w:t>
            </w:r>
          </w:p>
        </w:tc>
        <w:tc>
          <w:tcPr>
            <w:tcW w:type="dxa" w:w="16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9 (29%)</w:t>
            </w:r>
          </w:p>
        </w:tc>
        <w:tc>
          <w:tcPr>
            <w:tcW w:type="dxa" w:w="16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7</w:t>
            </w:r>
          </w:p>
        </w:tc>
        <w:tc>
          <w:tcPr>
            <w:tcW w:type="dxa" w:w="16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8</w:t>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Severity 3 or 4</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 (sev. 3)</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w:t>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0.3</w:t>
            </w:r>
          </w:p>
        </w:tc>
      </w:tr>
      <w:tr>
        <w:trPr>
          <w:tblHeader w:val="false"/>
        </w:trPr>
        <w:tc>
          <w:tcPr>
            <w:tcW w:type="dxa" w:w="42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Acknowledged within 2 working days</w:t>
            </w:r>
          </w:p>
        </w:tc>
        <w:tc>
          <w:tcPr>
            <w:tcW w:type="dxa" w:w="16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100%</w:t>
            </w:r>
          </w:p>
        </w:tc>
        <w:tc>
          <w:tcPr>
            <w:tcW w:type="dxa" w:w="16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96%</w:t>
            </w:r>
          </w:p>
        </w:tc>
        <w:tc>
          <w:tcPr>
            <w:tcW w:type="dxa" w:w="16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98%</w:t>
            </w:r>
          </w:p>
        </w:tc>
      </w:tr>
      <w:tr>
        <w:trPr>
          <w:tblHeader w:val="false"/>
        </w:trPr>
        <w:tc>
          <w:tcPr>
            <w:tcW w:type="dxa" w:w="4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Loop closed within 5 working days</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(this meeting)</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100%</w:t>
            </w:r>
          </w:p>
        </w:tc>
        <w:tc>
          <w:tcPr>
            <w:tcW w:type="dxa" w:w="16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100%</w:t>
            </w:r>
          </w:p>
        </w:tc>
      </w:tr>
      <w:tr>
        <w:trPr>
          <w:tblHeader w:val="false"/>
        </w:trPr>
        <w:tc>
          <w:tcPr>
            <w:tcW w:type="dxa" w:w="42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Open actions carried forward</w:t>
            </w:r>
          </w:p>
        </w:tc>
        <w:tc>
          <w:tcPr>
            <w:tcW w:type="dxa" w:w="16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3</w:t>
            </w:r>
          </w:p>
        </w:tc>
        <w:tc>
          <w:tcPr>
            <w:tcW w:type="dxa" w:w="16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4</w:t>
            </w:r>
          </w:p>
        </w:tc>
        <w:tc>
          <w:tcPr>
            <w:tcW w:type="dxa" w:w="16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t>
            </w:r>
          </w:p>
        </w:tc>
      </w:tr>
    </w:tbl>
    <w:p>
      <w:pPr>
        <w:pStyle w:val="Heading2"/>
        <w:keepNext/>
        <w:spacing w:after="120" w:before="240"/>
      </w:pPr>
      <w:r>
        <w:rPr>
          <w:rFonts w:ascii="Arial" w:cs="Arial" w:eastAsia="Arial" w:hAnsi="Arial"/>
          <w:b/>
          <w:bCs/>
          <w:i w:val="false"/>
          <w:iCs w:val="false"/>
          <w:color w:val="0E2647"/>
          <w:sz w:val="22"/>
          <w:szCs w:val="22"/>
        </w:rPr>
        <w:t xml:space="preserve">B3 Themes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1000"/>
        <w:gridCol w:w="1000"/>
        <w:gridCol w:w="3826"/>
      </w:tblGrid>
      <w:tr>
        <w:trPr>
          <w:tblHeader/>
        </w:trPr>
        <w:tc>
          <w:tcPr>
            <w:tcW w:type="dxa" w:w="3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Theme</w:t>
            </w:r>
          </w:p>
        </w:tc>
        <w:tc>
          <w:tcPr>
            <w:tcW w:type="dxa" w:w="10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Count</w:t>
            </w:r>
          </w:p>
        </w:tc>
        <w:tc>
          <w:tcPr>
            <w:tcW w:type="dxa" w:w="10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Trend</w:t>
            </w:r>
          </w:p>
        </w:tc>
        <w:tc>
          <w:tcPr>
            <w:tcW w:type="dxa" w:w="38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Note</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Discharge and transfer — waiting</w:t>
            </w:r>
          </w:p>
        </w:tc>
        <w:tc>
          <w:tcPr>
            <w:tcW w:type="dxa" w:w="1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9</w:t>
            </w:r>
          </w:p>
        </w:tc>
        <w:tc>
          <w:tcPr>
            <w:tcW w:type="dxa" w:w="1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from 3</w:t>
            </w:r>
          </w:p>
        </w:tc>
        <w:tc>
          <w:tcPr>
            <w:tcW w:type="dxa" w:w="3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Cluster 12–14 March</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Environment — night-time noise</w:t>
            </w:r>
          </w:p>
        </w:tc>
        <w:tc>
          <w:tcPr>
            <w:tcW w:type="dxa" w:w="1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5</w:t>
            </w:r>
          </w:p>
        </w:tc>
        <w:tc>
          <w:tcPr>
            <w:tcW w:type="dxa" w:w="1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t>
            </w:r>
          </w:p>
        </w:tc>
        <w:tc>
          <w:tcPr>
            <w:tcW w:type="dxa" w:w="3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Ward 2 and Ward 4</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Communication — not told what to expect</w:t>
            </w:r>
          </w:p>
        </w:tc>
        <w:tc>
          <w:tcPr>
            <w:tcW w:type="dxa" w:w="1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4</w:t>
            </w:r>
          </w:p>
        </w:tc>
        <w:tc>
          <w:tcPr>
            <w:tcW w:type="dxa" w:w="1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from 6</w:t>
            </w:r>
          </w:p>
        </w:tc>
        <w:tc>
          <w:tcPr>
            <w:tcW w:type="dxa" w:w="3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Medication — timing</w:t>
            </w:r>
          </w:p>
        </w:tc>
        <w:tc>
          <w:tcPr>
            <w:tcW w:type="dxa" w:w="1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w:t>
            </w:r>
          </w:p>
        </w:tc>
        <w:tc>
          <w:tcPr>
            <w:tcW w:type="dxa" w:w="1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new</w:t>
            </w:r>
          </w:p>
        </w:tc>
        <w:tc>
          <w:tcPr>
            <w:tcW w:type="dxa" w:w="3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Severity 3</w:t>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Finance — invoice unclear</w:t>
            </w:r>
          </w:p>
        </w:tc>
        <w:tc>
          <w:tcPr>
            <w:tcW w:type="dxa" w:w="1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2</w:t>
            </w:r>
          </w:p>
        </w:tc>
        <w:tc>
          <w:tcPr>
            <w:tcW w:type="dxa" w:w="1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t>
            </w:r>
          </w:p>
        </w:tc>
        <w:tc>
          <w:tcPr>
            <w:tcW w:type="dxa" w:w="3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Waiting — outpatient cardiology</w:t>
            </w:r>
          </w:p>
        </w:tc>
        <w:tc>
          <w:tcPr>
            <w:tcW w:type="dxa" w:w="1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w:t>
            </w:r>
          </w:p>
        </w:tc>
        <w:tc>
          <w:tcPr>
            <w:tcW w:type="dxa" w:w="1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t>
            </w:r>
          </w:p>
        </w:tc>
        <w:tc>
          <w:tcPr>
            <w:tcW w:type="dxa" w:w="3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bl>
    <w:p>
      <w:pPr>
        <w:pStyle w:val="Heading2"/>
        <w:keepNext/>
        <w:spacing w:after="120" w:before="240"/>
      </w:pPr>
      <w:r>
        <w:rPr>
          <w:rFonts w:ascii="Arial" w:cs="Arial" w:eastAsia="Arial" w:hAnsi="Arial"/>
          <w:b/>
          <w:bCs/>
          <w:i w:val="false"/>
          <w:iCs w:val="false"/>
          <w:color w:val="0E2647"/>
          <w:sz w:val="22"/>
          <w:szCs w:val="22"/>
        </w:rPr>
        <w:t xml:space="preserve">B4 Praise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2826"/>
        <w:gridCol w:w="2000"/>
      </w:tblGrid>
      <w:tr>
        <w:trPr>
          <w:tblHeader/>
        </w:trPr>
        <w:tc>
          <w:tcPr>
            <w:tcW w:type="dxa" w:w="2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Staff member</w:t>
            </w:r>
          </w:p>
        </w:tc>
        <w:tc>
          <w:tcPr>
            <w:tcW w:type="dxa" w:w="20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Ward / service</w:t>
            </w:r>
          </w:p>
        </w:tc>
        <w:tc>
          <w:tcPr>
            <w:tcW w:type="dxa" w:w="28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Patient's words</w:t>
            </w:r>
          </w:p>
        </w:tc>
        <w:tc>
          <w:tcPr>
            <w:tcW w:type="dxa" w:w="20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Passed on</w:t>
            </w:r>
          </w:p>
        </w:tc>
      </w:tr>
      <w:tr>
        <w:trPr>
          <w:tblHeader w:val="false"/>
        </w:trPr>
        <w:tc>
          <w:tcPr>
            <w:tcW w:type="dxa" w:w="2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Nino Kapanadze, nurse</w:t>
            </w:r>
          </w:p>
        </w:tc>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Ward 3</w:t>
            </w:r>
          </w:p>
        </w:tc>
        <w:tc>
          <w:tcPr>
            <w:tcW w:type="dxa" w:w="2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"She explained every tablet and came back to check. Four separate patients said so."</w:t>
            </w:r>
          </w:p>
        </w:tc>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3 April</w:t>
            </w:r>
          </w:p>
        </w:tc>
      </w:tr>
      <w:tr>
        <w:trPr>
          <w:tblHeader w:val="false"/>
        </w:trPr>
        <w:tc>
          <w:tcPr>
            <w:tcW w:type="dxa" w:w="2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Dr. L. Gogia</w:t>
            </w:r>
          </w:p>
        </w:tc>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Emergency</w:t>
            </w:r>
          </w:p>
        </w:tc>
        <w:tc>
          <w:tcPr>
            <w:tcW w:type="dxa" w:w="2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"Calm, clear, and he called my daughter himself."</w:t>
            </w:r>
          </w:p>
        </w:tc>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3 April</w:t>
            </w:r>
          </w:p>
        </w:tc>
      </w:tr>
      <w:tr>
        <w:trPr>
          <w:tblHeader w:val="false"/>
        </w:trPr>
        <w:tc>
          <w:tcPr>
            <w:tcW w:type="dxa" w:w="2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Reception team, morning shift</w:t>
            </w:r>
          </w:p>
        </w:tc>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Reception</w:t>
            </w:r>
          </w:p>
        </w:tc>
        <w:tc>
          <w:tcPr>
            <w:tcW w:type="dxa" w:w="2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"Fast and kind, even at 7 a.m."</w:t>
            </w:r>
          </w:p>
        </w:tc>
        <w:tc>
          <w:tcPr>
            <w:tcW w:type="dxa" w:w="2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3 April</w:t>
            </w:r>
          </w:p>
        </w:tc>
      </w:tr>
    </w:tbl>
    <w:p>
      <w:pPr>
        <w:pStyle w:val="Heading2"/>
        <w:keepNext/>
        <w:spacing w:after="120" w:before="240"/>
      </w:pPr>
      <w:r>
        <w:rPr>
          <w:rFonts w:ascii="Arial" w:cs="Arial" w:eastAsia="Arial" w:hAnsi="Arial"/>
          <w:b/>
          <w:bCs/>
          <w:i w:val="false"/>
          <w:iCs w:val="false"/>
          <w:color w:val="0E2647"/>
          <w:sz w:val="22"/>
          <w:szCs w:val="22"/>
        </w:rPr>
        <w:t xml:space="preserve">B5 Cases (selection of 5 of 22)</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300"/>
        <w:gridCol w:w="1200"/>
        <w:gridCol w:w="2500"/>
        <w:gridCol w:w="1100"/>
        <w:gridCol w:w="2200"/>
        <w:gridCol w:w="726"/>
      </w:tblGrid>
      <w:tr>
        <w:trPr>
          <w:tblHeader/>
        </w:trPr>
        <w:tc>
          <w:tcPr>
            <w:tcW w:type="dxa" w:w="13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Case</w:t>
            </w:r>
          </w:p>
        </w:tc>
        <w:tc>
          <w:tcPr>
            <w:tcW w:type="dxa" w:w="1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Channel · date</w:t>
            </w:r>
          </w:p>
        </w:tc>
        <w:tc>
          <w:tcPr>
            <w:tcW w:type="dxa" w:w="25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What the patient said</w:t>
            </w:r>
          </w:p>
        </w:tc>
        <w:tc>
          <w:tcPr>
            <w:tcW w:type="dxa" w:w="11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Theme · sev.</w:t>
            </w:r>
          </w:p>
        </w:tc>
        <w:tc>
          <w:tcPr>
            <w:tcW w:type="dxa" w:w="2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Facility response</w:t>
            </w:r>
          </w:p>
        </w:tc>
        <w:tc>
          <w:tcPr>
            <w:tcW w:type="dxa" w:w="7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Status</w:t>
            </w:r>
          </w:p>
        </w:tc>
      </w:tr>
      <w:tr>
        <w:trPr>
          <w:tblHeader w:val="false"/>
        </w:trPr>
        <w:tc>
          <w:tcPr>
            <w:tcW w:type="dxa" w:w="13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PV-CDH-2026-03-004</w:t>
            </w:r>
          </w:p>
        </w:tc>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QR · 13 Mar</w:t>
            </w:r>
          </w:p>
        </w:tc>
        <w:tc>
          <w:tcPr>
            <w:tcW w:type="dxa" w:w="25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Waited from 10:00 to 16:20 for discharge papers; nobody could say why.</w:t>
            </w:r>
          </w:p>
        </w:tc>
        <w:tc>
          <w:tcPr>
            <w:tcW w:type="dxa" w:w="11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Discharge · 2</w:t>
            </w:r>
          </w:p>
        </w:tc>
        <w:tc>
          <w:tcPr>
            <w:tcW w:type="dxa" w:w="2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Pharmacy dispensing system down 12–14 March; discharge letters delayed hospital-wide. System restored 15 March; manual fallback procedure now written. Apology offered.</w:t>
            </w:r>
          </w:p>
        </w:tc>
        <w:tc>
          <w:tcPr>
            <w:tcW w:type="dxa" w:w="7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Answer ready</w:t>
            </w:r>
          </w:p>
        </w:tc>
      </w:tr>
      <w:tr>
        <w:trPr>
          <w:tblHeader w:val="false"/>
        </w:trPr>
        <w:tc>
          <w:tcPr>
            <w:tcW w:type="dxa" w:w="13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PV-CDH-2026-03-009</w:t>
            </w:r>
          </w:p>
        </w:tc>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Hotline · 17 Mar (anonymous)</w:t>
            </w:r>
          </w:p>
        </w:tc>
        <w:tc>
          <w:tcPr>
            <w:tcW w:type="dxa" w:w="25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Evening antibiotic given at 23:40 instead of 20:00; nurse said "handover was late".</w:t>
            </w:r>
          </w:p>
        </w:tc>
        <w:tc>
          <w:tcPr>
            <w:tcW w:type="dxa" w:w="11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Medication · 3</w:t>
            </w:r>
          </w:p>
        </w:tc>
        <w:tc>
          <w:tcPr>
            <w:tcW w:type="dxa" w:w="2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Confirmed from the drug chart. Handover on Ward 4 ran 90 minutes late that evening. Written handover-time rule and a second medication round check to be in place by 30 April.</w:t>
            </w:r>
          </w:p>
        </w:tc>
        <w:tc>
          <w:tcPr>
            <w:tcW w:type="dxa" w:w="7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Action 03-A</w:t>
            </w:r>
          </w:p>
        </w:tc>
      </w:tr>
      <w:tr>
        <w:trPr>
          <w:tblHeader w:val="false"/>
        </w:trPr>
        <w:tc>
          <w:tcPr>
            <w:tcW w:type="dxa" w:w="13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PV-CDH-2026-03-012</w:t>
            </w:r>
          </w:p>
        </w:tc>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Paper · 19 Mar</w:t>
            </w:r>
          </w:p>
        </w:tc>
        <w:tc>
          <w:tcPr>
            <w:tcW w:type="dxa" w:w="25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Construction noise all night, could not sleep two nights running.</w:t>
            </w:r>
          </w:p>
        </w:tc>
        <w:tc>
          <w:tcPr>
            <w:tcW w:type="dxa" w:w="11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Environment · 1</w:t>
            </w:r>
          </w:p>
        </w:tc>
        <w:tc>
          <w:tcPr>
            <w:tcW w:type="dxa" w:w="2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Disputed: no works inside the hospital that week; municipal road works outside Ward 4 on 18–19 March. Hospital has written to the municipality. Earplugs now offered on Ward 4.</w:t>
            </w:r>
          </w:p>
        </w:tc>
        <w:tc>
          <w:tcPr>
            <w:tcW w:type="dxa" w:w="7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Answer ready (disputed, both versions shown)</w:t>
            </w:r>
          </w:p>
        </w:tc>
      </w:tr>
      <w:tr>
        <w:trPr>
          <w:tblHeader w:val="false"/>
        </w:trPr>
        <w:tc>
          <w:tcPr>
            <w:tcW w:type="dxa" w:w="13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PV-CDH-2026-03-015</w:t>
            </w:r>
          </w:p>
        </w:tc>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Form · 22 Mar</w:t>
            </w:r>
          </w:p>
        </w:tc>
        <w:tc>
          <w:tcPr>
            <w:tcW w:type="dxa" w:w="25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Was not told the scan would need fasting; came, was sent home, lost a day's work.</w:t>
            </w:r>
          </w:p>
        </w:tc>
        <w:tc>
          <w:tcPr>
            <w:tcW w:type="dxa" w:w="11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Communication · 2</w:t>
            </w:r>
          </w:p>
        </w:tc>
        <w:tc>
          <w:tcPr>
            <w:tcW w:type="dxa" w:w="2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Appointment SMS did not include preparation instructions. Template amended 25 March.</w:t>
            </w:r>
          </w:p>
        </w:tc>
        <w:tc>
          <w:tcPr>
            <w:tcW w:type="dxa" w:w="7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Answer ready</w:t>
            </w:r>
          </w:p>
        </w:tc>
      </w:tr>
      <w:tr>
        <w:trPr>
          <w:tblHeader w:val="false"/>
        </w:trPr>
        <w:tc>
          <w:tcPr>
            <w:tcW w:type="dxa" w:w="13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PV-CDH-2026-03-021</w:t>
            </w:r>
          </w:p>
        </w:tc>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Social · 28 Mar</w:t>
            </w:r>
          </w:p>
        </w:tc>
        <w:tc>
          <w:tcPr>
            <w:tcW w:type="dxa" w:w="25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Public Facebook post: invoice shows a "consumables" line with no detail.</w:t>
            </w:r>
          </w:p>
        </w:tc>
        <w:tc>
          <w:tcPr>
            <w:tcW w:type="dxa" w:w="11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Finance · 1</w:t>
            </w:r>
          </w:p>
        </w:tc>
        <w:tc>
          <w:tcPr>
            <w:tcW w:type="dxa" w:w="2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Itemised invoice issued to the patient 30 March; finance to itemise consumables on all invoices from May.</w:t>
            </w:r>
          </w:p>
        </w:tc>
        <w:tc>
          <w:tcPr>
            <w:tcW w:type="dxa" w:w="7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Action 03-B</w:t>
            </w:r>
          </w:p>
        </w:tc>
      </w:tr>
    </w:tbl>
    <w:p>
      <w:pPr>
        <w:pStyle w:val="Heading2"/>
        <w:keepNext/>
        <w:spacing w:after="120" w:before="240"/>
      </w:pPr>
      <w:r>
        <w:rPr>
          <w:rFonts w:ascii="Arial" w:cs="Arial" w:eastAsia="Arial" w:hAnsi="Arial"/>
          <w:b/>
          <w:bCs/>
          <w:i w:val="false"/>
          <w:iCs w:val="false"/>
          <w:color w:val="0E2647"/>
          <w:sz w:val="22"/>
          <w:szCs w:val="22"/>
        </w:rPr>
        <w:t xml:space="preserve">B6 Action log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700"/>
        <w:gridCol w:w="3600"/>
        <w:gridCol w:w="1600"/>
        <w:gridCol w:w="1100"/>
        <w:gridCol w:w="1200"/>
        <w:gridCol w:w="826"/>
      </w:tblGrid>
      <w:tr>
        <w:trPr>
          <w:tblHeader/>
        </w:trPr>
        <w:tc>
          <w:tcPr>
            <w:tcW w:type="dxa" w:w="7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No.</w:t>
            </w:r>
          </w:p>
        </w:tc>
        <w:tc>
          <w:tcPr>
            <w:tcW w:type="dxa" w:w="36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Action</w:t>
            </w:r>
          </w:p>
        </w:tc>
        <w:tc>
          <w:tcPr>
            <w:tcW w:type="dxa" w:w="16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Owner</w:t>
            </w:r>
          </w:p>
        </w:tc>
        <w:tc>
          <w:tcPr>
            <w:tcW w:type="dxa" w:w="11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Due</w:t>
            </w:r>
          </w:p>
        </w:tc>
        <w:tc>
          <w:tcPr>
            <w:tcW w:type="dxa" w:w="1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Status</w:t>
            </w:r>
          </w:p>
        </w:tc>
        <w:tc>
          <w:tcPr>
            <w:tcW w:type="dxa" w:w="8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Closed</w:t>
            </w:r>
          </w:p>
        </w:tc>
      </w:tr>
      <w:tr>
        <w:trPr>
          <w:tblHeader w:val="false"/>
        </w:trPr>
        <w:tc>
          <w:tcPr>
            <w:tcW w:type="dxa" w:w="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02-C</w:t>
            </w:r>
          </w:p>
        </w:tc>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Signage to outpatient cardiology in Georgian and English</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Head of admin</w:t>
            </w:r>
          </w:p>
        </w:tc>
        <w:tc>
          <w:tcPr>
            <w:tcW w:type="dxa" w:w="11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31 Mar</w:t>
            </w:r>
          </w:p>
        </w:tc>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Closed</w:t>
            </w:r>
          </w:p>
        </w:tc>
        <w:tc>
          <w:tcPr>
            <w:tcW w:type="dxa" w:w="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28 Mar</w:t>
            </w:r>
          </w:p>
        </w:tc>
      </w:tr>
      <w:tr>
        <w:trPr>
          <w:tblHeader w:val="false"/>
        </w:trPr>
        <w:tc>
          <w:tcPr>
            <w:tcW w:type="dxa" w:w="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02-D</w:t>
            </w:r>
          </w:p>
        </w:tc>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Discharge-time data reported monthly for three months</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Head of quality</w:t>
            </w:r>
          </w:p>
        </w:tc>
        <w:tc>
          <w:tcPr>
            <w:tcW w:type="dxa" w:w="11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Monthly</w:t>
            </w:r>
          </w:p>
        </w:tc>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Ongoing (1 of 3)</w:t>
            </w:r>
          </w:p>
        </w:tc>
        <w:tc>
          <w:tcPr>
            <w:tcW w:type="dxa" w:w="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03-A</w:t>
            </w:r>
          </w:p>
        </w:tc>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Written handover-time rule; second medication round check, Ward 4</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Nursing director</w:t>
            </w:r>
          </w:p>
        </w:tc>
        <w:tc>
          <w:tcPr>
            <w:tcW w:type="dxa" w:w="11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30 Apr</w:t>
            </w:r>
          </w:p>
        </w:tc>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Open</w:t>
            </w:r>
          </w:p>
        </w:tc>
        <w:tc>
          <w:tcPr>
            <w:tcW w:type="dxa" w:w="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03-B</w:t>
            </w:r>
          </w:p>
        </w:tc>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Itemised consumables on all invoices</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Finance manager</w:t>
            </w:r>
          </w:p>
        </w:tc>
        <w:tc>
          <w:tcPr>
            <w:tcW w:type="dxa" w:w="11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31 May</w:t>
            </w:r>
          </w:p>
        </w:tc>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Open</w:t>
            </w:r>
          </w:p>
        </w:tc>
        <w:tc>
          <w:tcPr>
            <w:tcW w:type="dxa" w:w="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03-C</w:t>
            </w:r>
          </w:p>
        </w:tc>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Preparation instructions in all appointment SMS templates</w:t>
            </w:r>
          </w:p>
        </w:tc>
        <w:tc>
          <w:tcPr>
            <w:tcW w:type="dxa" w:w="1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Head of admin</w:t>
            </w:r>
          </w:p>
        </w:tc>
        <w:tc>
          <w:tcPr>
            <w:tcW w:type="dxa" w:w="11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30 Apr</w:t>
            </w:r>
          </w:p>
        </w:tc>
        <w:tc>
          <w:tcPr>
            <w:tcW w:type="dxa" w:w="1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Open</w:t>
            </w:r>
          </w:p>
        </w:tc>
        <w:tc>
          <w:tcPr>
            <w:tcW w:type="dxa" w:w="8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bl>
    <w:p>
      <w:pPr>
        <w:pStyle w:val="Heading2"/>
        <w:keepNext/>
        <w:spacing w:after="120" w:before="240"/>
      </w:pPr>
      <w:r>
        <w:rPr>
          <w:rFonts w:ascii="Arial" w:cs="Arial" w:eastAsia="Arial" w:hAnsi="Arial"/>
          <w:b/>
          <w:bCs/>
          <w:i w:val="false"/>
          <w:iCs w:val="false"/>
          <w:color w:val="0E2647"/>
          <w:sz w:val="22"/>
          <w:szCs w:val="22"/>
        </w:rPr>
        <w:t xml:space="preserve">B7 The meeting that followed</w:t>
      </w:r>
    </w:p>
    <w:p>
      <w:pPr>
        <w:spacing w:after="120" w:before="0" w:line="300"/>
      </w:pPr>
      <w:r>
        <w:rPr>
          <w:rFonts w:ascii="Arial" w:cs="Arial" w:eastAsia="Arial" w:hAnsi="Arial"/>
          <w:b w:val="false"/>
          <w:bCs w:val="false"/>
          <w:i/>
          <w:iCs/>
          <w:color w:val="333333"/>
          <w:sz w:val="19"/>
          <w:szCs w:val="19"/>
        </w:rPr>
        <w:t xml:space="preserve">9 April, 17:30–19:00. Present: 6 members (chair: T. Kvirikashvili), head of quality, head of administration, nursing director (for case 009), secretariat. The council asked that discharge-time data continue for three months and that the handover rule be shared with the council when written. Praise passed to the staff board. 22 letters sent 14 April. Education session: "Questions to ask before you are discharged", 11 attendees. Record published 15 April.</w:t>
      </w:r>
    </w:p>
    <w:p>
      <w:r>
        <w:br w:type="page"/>
      </w:r>
    </w:p>
    <w:p>
      <w:pPr>
        <w:pStyle w:val="Heading1"/>
        <w:keepNext/>
        <w:spacing w:after="160" w:before="360"/>
      </w:pPr>
      <w:r>
        <w:rPr>
          <w:rFonts w:ascii="Arial" w:cs="Arial" w:eastAsia="Arial" w:hAnsi="Arial"/>
          <w:b/>
          <w:bCs/>
          <w:i w:val="false"/>
          <w:iCs w:val="false"/>
          <w:color w:val="0E2647"/>
          <w:sz w:val="27"/>
          <w:szCs w:val="27"/>
        </w:rPr>
        <w:t xml:space="preserve">Annex A — Register Format (spreadsheet columns)</w:t>
      </w:r>
    </w:p>
    <w:p>
      <w:pPr>
        <w:spacing w:after="120" w:before="0" w:line="300"/>
      </w:pPr>
      <w:r>
        <w:rPr>
          <w:rFonts w:ascii="Arial" w:cs="Arial" w:eastAsia="Arial" w:hAnsi="Arial"/>
          <w:b w:val="false"/>
          <w:bCs w:val="false"/>
          <w:i w:val="false"/>
          <w:iCs w:val="false"/>
          <w:color w:val="333333"/>
          <w:sz w:val="19"/>
          <w:szCs w:val="19"/>
        </w:rPr>
        <w:t xml:space="preserve">The secretariat keeps one register, one row per item. Columns: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Column</w:t>
            </w:r>
          </w:p>
        </w:tc>
        <w:tc>
          <w:tcPr>
            <w:tcW w:type="dxa" w:w="64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Content</w:t>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Case no.</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PV-[code]-[YYYY-MM]-[nnn]</w:t>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Received</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Date and time</w:t>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Channel</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QR · hotline · form · email · paper · WhatsApp · social</w:t>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Type</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Concern · praise · question · idea</w:t>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Anonymous</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Yes / No</w:t>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Contact (if given)</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Held by secretariat only</w:t>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Ward / service</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Text</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Verbatim</w:t>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Theme</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From taxonomy</w:t>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Severity</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1–4</w:t>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Acknowledged</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Date</w:t>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Facility response</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Text and date</w:t>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Council decision / action no.</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Loop-closure letter sent</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Date and template used</w:t>
            </w:r>
          </w:p>
        </w:tc>
      </w:tr>
      <w:tr>
        <w:trPr>
          <w:tblHeader w:val="false"/>
        </w:trPr>
        <w:tc>
          <w:tcPr>
            <w:tcW w:type="dxa" w:w="2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Status</w:t>
            </w:r>
          </w:p>
        </w:tc>
        <w:tc>
          <w:tcPr>
            <w:tcW w:type="dxa" w:w="6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Open · answered · closed</w:t>
            </w:r>
          </w:p>
        </w:tc>
      </w:tr>
    </w:tbl>
    <w:p>
      <w:r>
        <w:br w:type="page"/>
      </w:r>
    </w:p>
    <w:p>
      <w:pPr>
        <w:pStyle w:val="Heading1"/>
        <w:keepNext/>
        <w:spacing w:after="160" w:before="360"/>
      </w:pPr>
      <w:r>
        <w:rPr>
          <w:rFonts w:ascii="Arial" w:cs="Arial" w:eastAsia="Arial" w:hAnsi="Arial"/>
          <w:b/>
          <w:bCs/>
          <w:i w:val="false"/>
          <w:iCs w:val="false"/>
          <w:color w:val="0E2647"/>
          <w:sz w:val="27"/>
          <w:szCs w:val="27"/>
        </w:rPr>
        <w:t xml:space="preserve">References</w:t>
      </w:r>
    </w:p>
    <w:p>
      <w:pPr>
        <w:spacing w:after="80" w:line="300"/>
        <w:ind w:left="400" w:hanging="400"/>
      </w:pPr>
      <w:r>
        <w:rPr>
          <w:rFonts w:ascii="Arial" w:cs="Arial" w:eastAsia="Arial" w:hAnsi="Arial"/>
          <w:b/>
          <w:bCs/>
          <w:i w:val="false"/>
          <w:iCs w:val="false"/>
          <w:color w:val="0E2647"/>
          <w:sz w:val="17"/>
          <w:szCs w:val="17"/>
        </w:rPr>
        <w:t xml:space="preserve">[1] </w:t>
      </w:r>
      <w:r>
        <w:rPr>
          <w:rFonts w:ascii="Arial" w:cs="Arial" w:eastAsia="Arial" w:hAnsi="Arial"/>
          <w:b w:val="false"/>
          <w:bCs w:val="false"/>
          <w:i w:val="false"/>
          <w:iCs w:val="false"/>
          <w:color w:val="333333"/>
          <w:sz w:val="17"/>
          <w:szCs w:val="17"/>
        </w:rPr>
        <w:t xml:space="preserve">Gillespie A, Reader TW. The Healthcare Complaints Analysis Tool. BMJ Qual Saf. 2016;25(12):937–946.</w:t>
      </w:r>
    </w:p>
    <w:p>
      <w:pPr>
        <w:spacing w:after="80" w:line="300"/>
        <w:ind w:left="400" w:hanging="400"/>
      </w:pPr>
      <w:r>
        <w:rPr>
          <w:rFonts w:ascii="Arial" w:cs="Arial" w:eastAsia="Arial" w:hAnsi="Arial"/>
          <w:b/>
          <w:bCs/>
          <w:i w:val="false"/>
          <w:iCs w:val="false"/>
          <w:color w:val="0E2647"/>
          <w:sz w:val="17"/>
          <w:szCs w:val="17"/>
        </w:rPr>
        <w:t xml:space="preserve">[2] </w:t>
      </w:r>
      <w:r>
        <w:rPr>
          <w:rFonts w:ascii="Arial" w:cs="Arial" w:eastAsia="Arial" w:hAnsi="Arial"/>
          <w:b w:val="false"/>
          <w:bCs w:val="false"/>
          <w:i w:val="false"/>
          <w:iCs w:val="false"/>
          <w:color w:val="333333"/>
          <w:sz w:val="17"/>
          <w:szCs w:val="17"/>
        </w:rPr>
        <w:t xml:space="preserve">Accréditation Sans Frontières. Patient Voice Council — Terms of Reference and Method Guide, ASF-PV-TOR-001-v1. Paris: ASF; 2026.</w:t>
      </w:r>
    </w:p>
    <w:p>
      <w:r>
        <w:br w:type="page"/>
      </w:r>
    </w:p>
    <w:p>
      <w:pPr>
        <w:pStyle w:val="Heading1"/>
        <w:keepNext/>
        <w:spacing w:after="160" w:before="360"/>
      </w:pPr>
      <w:r>
        <w:rPr>
          <w:rFonts w:ascii="Arial" w:cs="Arial" w:eastAsia="Arial" w:hAnsi="Arial"/>
          <w:b/>
          <w:bCs/>
          <w:i w:val="false"/>
          <w:iCs w:val="false"/>
          <w:color w:val="0E2647"/>
          <w:sz w:val="27"/>
          <w:szCs w:val="27"/>
        </w:rPr>
        <w:t xml:space="preserve">Index</w:t>
      </w:r>
    </w:p>
    <w:p>
      <w:pPr>
        <w:spacing w:after="60" w:line="300"/>
      </w:pPr>
      <w:r>
        <w:rPr>
          <w:rFonts w:ascii="Arial" w:cs="Arial" w:eastAsia="Arial" w:hAnsi="Arial"/>
          <w:b/>
          <w:bCs/>
          <w:i w:val="false"/>
          <w:iCs w:val="false"/>
          <w:color w:val="333333"/>
          <w:sz w:val="17"/>
          <w:szCs w:val="17"/>
        </w:rPr>
        <w:t xml:space="preserve">Action log, </w:t>
      </w:r>
      <w:r>
        <w:rPr>
          <w:rFonts w:ascii="Arial" w:cs="Arial" w:eastAsia="Arial" w:hAnsi="Arial"/>
          <w:b w:val="false"/>
          <w:bCs w:val="false"/>
          <w:i w:val="false"/>
          <w:iCs w:val="false"/>
          <w:color w:val="333333"/>
          <w:sz w:val="17"/>
          <w:szCs w:val="17"/>
        </w:rPr>
        <w:t xml:space="preserve">A6, B6</w:t>
      </w:r>
    </w:p>
    <w:p>
      <w:pPr>
        <w:spacing w:after="60" w:line="300"/>
      </w:pPr>
      <w:r>
        <w:rPr>
          <w:rFonts w:ascii="Arial" w:cs="Arial" w:eastAsia="Arial" w:hAnsi="Arial"/>
          <w:b/>
          <w:bCs/>
          <w:i w:val="false"/>
          <w:iCs w:val="false"/>
          <w:color w:val="333333"/>
          <w:sz w:val="17"/>
          <w:szCs w:val="17"/>
        </w:rPr>
        <w:t xml:space="preserve">Cover, </w:t>
      </w:r>
      <w:r>
        <w:rPr>
          <w:rFonts w:ascii="Arial" w:cs="Arial" w:eastAsia="Arial" w:hAnsi="Arial"/>
          <w:b w:val="false"/>
          <w:bCs w:val="false"/>
          <w:i w:val="false"/>
          <w:iCs w:val="false"/>
          <w:color w:val="333333"/>
          <w:sz w:val="17"/>
          <w:szCs w:val="17"/>
        </w:rPr>
        <w:t xml:space="preserve">A1</w:t>
      </w:r>
    </w:p>
    <w:p>
      <w:pPr>
        <w:spacing w:after="60" w:line="300"/>
      </w:pPr>
      <w:r>
        <w:rPr>
          <w:rFonts w:ascii="Arial" w:cs="Arial" w:eastAsia="Arial" w:hAnsi="Arial"/>
          <w:b/>
          <w:bCs/>
          <w:i w:val="false"/>
          <w:iCs w:val="false"/>
          <w:color w:val="333333"/>
          <w:sz w:val="17"/>
          <w:szCs w:val="17"/>
        </w:rPr>
        <w:t xml:space="preserve">Disputed cases, </w:t>
      </w:r>
      <w:r>
        <w:rPr>
          <w:rFonts w:ascii="Arial" w:cs="Arial" w:eastAsia="Arial" w:hAnsi="Arial"/>
          <w:b w:val="false"/>
          <w:bCs w:val="false"/>
          <w:i w:val="false"/>
          <w:iCs w:val="false"/>
          <w:color w:val="333333"/>
          <w:sz w:val="17"/>
          <w:szCs w:val="17"/>
        </w:rPr>
        <w:t xml:space="preserve">B5 (case 012)</w:t>
      </w:r>
    </w:p>
    <w:p>
      <w:pPr>
        <w:spacing w:after="60" w:line="300"/>
      </w:pPr>
      <w:r>
        <w:rPr>
          <w:rFonts w:ascii="Arial" w:cs="Arial" w:eastAsia="Arial" w:hAnsi="Arial"/>
          <w:b/>
          <w:bCs/>
          <w:i w:val="false"/>
          <w:iCs w:val="false"/>
          <w:color w:val="333333"/>
          <w:sz w:val="17"/>
          <w:szCs w:val="17"/>
        </w:rPr>
        <w:t xml:space="preserve">Facility response column, </w:t>
      </w:r>
      <w:r>
        <w:rPr>
          <w:rFonts w:ascii="Arial" w:cs="Arial" w:eastAsia="Arial" w:hAnsi="Arial"/>
          <w:b w:val="false"/>
          <w:bCs w:val="false"/>
          <w:i w:val="false"/>
          <w:iCs w:val="false"/>
          <w:color w:val="333333"/>
          <w:sz w:val="17"/>
          <w:szCs w:val="17"/>
        </w:rPr>
        <w:t xml:space="preserve">A5</w:t>
      </w:r>
    </w:p>
    <w:p>
      <w:pPr>
        <w:spacing w:after="60" w:line="300"/>
      </w:pPr>
      <w:r>
        <w:rPr>
          <w:rFonts w:ascii="Arial" w:cs="Arial" w:eastAsia="Arial" w:hAnsi="Arial"/>
          <w:b/>
          <w:bCs/>
          <w:i w:val="false"/>
          <w:iCs w:val="false"/>
          <w:color w:val="333333"/>
          <w:sz w:val="17"/>
          <w:szCs w:val="17"/>
        </w:rPr>
        <w:t xml:space="preserve">Praise, </w:t>
      </w:r>
      <w:r>
        <w:rPr>
          <w:rFonts w:ascii="Arial" w:cs="Arial" w:eastAsia="Arial" w:hAnsi="Arial"/>
          <w:b w:val="false"/>
          <w:bCs w:val="false"/>
          <w:i w:val="false"/>
          <w:iCs w:val="false"/>
          <w:color w:val="333333"/>
          <w:sz w:val="17"/>
          <w:szCs w:val="17"/>
        </w:rPr>
        <w:t xml:space="preserve">A4, B4</w:t>
      </w:r>
    </w:p>
    <w:p>
      <w:pPr>
        <w:spacing w:after="60" w:line="300"/>
      </w:pPr>
      <w:r>
        <w:rPr>
          <w:rFonts w:ascii="Arial" w:cs="Arial" w:eastAsia="Arial" w:hAnsi="Arial"/>
          <w:b/>
          <w:bCs/>
          <w:i w:val="false"/>
          <w:iCs w:val="false"/>
          <w:color w:val="333333"/>
          <w:sz w:val="17"/>
          <w:szCs w:val="17"/>
        </w:rPr>
        <w:t xml:space="preserve">Register, </w:t>
      </w:r>
      <w:r>
        <w:rPr>
          <w:rFonts w:ascii="Arial" w:cs="Arial" w:eastAsia="Arial" w:hAnsi="Arial"/>
          <w:b w:val="false"/>
          <w:bCs w:val="false"/>
          <w:i w:val="false"/>
          <w:iCs w:val="false"/>
          <w:color w:val="333333"/>
          <w:sz w:val="17"/>
          <w:szCs w:val="17"/>
        </w:rPr>
        <w:t xml:space="preserve">Annex A</w:t>
      </w:r>
    </w:p>
    <w:p>
      <w:pPr>
        <w:spacing w:after="60" w:line="300"/>
      </w:pPr>
      <w:r>
        <w:rPr>
          <w:rFonts w:ascii="Arial" w:cs="Arial" w:eastAsia="Arial" w:hAnsi="Arial"/>
          <w:b/>
          <w:bCs/>
          <w:i w:val="false"/>
          <w:iCs w:val="false"/>
          <w:color w:val="333333"/>
          <w:sz w:val="17"/>
          <w:szCs w:val="17"/>
        </w:rPr>
        <w:t xml:space="preserve">Themes, </w:t>
      </w:r>
      <w:r>
        <w:rPr>
          <w:rFonts w:ascii="Arial" w:cs="Arial" w:eastAsia="Arial" w:hAnsi="Arial"/>
          <w:b w:val="false"/>
          <w:bCs w:val="false"/>
          <w:i w:val="false"/>
          <w:iCs w:val="false"/>
          <w:color w:val="333333"/>
          <w:sz w:val="17"/>
          <w:szCs w:val="17"/>
        </w:rPr>
        <w:t xml:space="preserve">A3, B3</w:t>
      </w:r>
    </w:p>
    <w:p>
      <w:pPr>
        <w:spacing w:after="60" w:line="300"/>
      </w:pPr>
      <w:r>
        <w:rPr>
          <w:rFonts w:ascii="Arial" w:cs="Arial" w:eastAsia="Arial" w:hAnsi="Arial"/>
          <w:b/>
          <w:bCs/>
          <w:i w:val="false"/>
          <w:iCs w:val="false"/>
          <w:color w:val="333333"/>
          <w:sz w:val="17"/>
          <w:szCs w:val="17"/>
        </w:rPr>
        <w:t xml:space="preserve">Worked example, </w:t>
      </w:r>
      <w:r>
        <w:rPr>
          <w:rFonts w:ascii="Arial" w:cs="Arial" w:eastAsia="Arial" w:hAnsi="Arial"/>
          <w:b w:val="false"/>
          <w:bCs w:val="false"/>
          <w:i w:val="false"/>
          <w:iCs w:val="false"/>
          <w:color w:val="333333"/>
          <w:sz w:val="17"/>
          <w:szCs w:val="17"/>
        </w:rPr>
        <w:t xml:space="preserve">Part B</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b w:val="false"/>
        <w:bCs w:val="false"/>
        <w:i w:val="false"/>
        <w:iCs w:val="false"/>
        <w:color w:val="6B778C"/>
        <w:sz w:val="15"/>
        <w:szCs w:val="15"/>
      </w:rPr>
      <w:t xml:space="preserve">© 2026 Accréditation Sans Frontières · Paris · Geneva · Tbilisi · france-asf.fr   ·   Page </w:t>
    </w:r>
    <w:r>
      <w:rPr>
        <w:color w:val="6B778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E3EE" w:sz="4" w:space="4"/>
      </w:pBdr>
      <w:jc w:val="right"/>
    </w:pPr>
    <w:r>
      <w:rPr>
        <w:rFonts w:ascii="Arial" w:cs="Arial" w:eastAsia="Arial" w:hAnsi="Arial"/>
        <w:b w:val="false"/>
        <w:bCs w:val="false"/>
        <w:i/>
        <w:iCs/>
        <w:color w:val="6B778C"/>
        <w:sz w:val="15"/>
        <w:szCs w:val="15"/>
      </w:rPr>
      <w:t xml:space="preserve">Patient Voice — Monthly Report Template  ·  ASF-PV-REPORT-001-v1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C9A227"/>
      </w:rPr>
    </w:lvl>
    <w:lvl w:ilvl="1" w15:tentative="1">
      <w:start w:val="1"/>
      <w:numFmt w:val="bullet"/>
      <w:lvlText w:val="–"/>
      <w:lvlJc w:val="left"/>
      <w:pPr>
        <w:ind w:left="1000" w:hanging="280"/>
      </w:pPr>
    </w:lvl>
  </w:abstractNum>
  <w:abstractNum w:abstractNumId="3" w15:restartNumberingAfterBreak="0">
    <w:multiLevelType w:val="hybridMultilevel"/>
    <w:lvl w:ilvl="0" w15:tentative="1">
      <w:start w:val="1"/>
      <w:numFmt w:val="decimal"/>
      <w:lvlText w:val="%1."/>
      <w:lvlJc w:val="left"/>
      <w:pPr>
        <w:ind w:left="560" w:hanging="360"/>
      </w:pPr>
      <w:rPr>
        <w:b/>
        <w:bCs/>
        <w:color w:val="0E2647"/>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81fd126cdf550e781c9e30e2a67f8bbf2b2a95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2026-09-13T02:30:08.672Z</dcterms:created>
  <dcterms:modified xsi:type="dcterms:W3CDTF">2026-09-13T02:30:08.672Z</dcterms:modified>
</cp:coreProperties>
</file>

<file path=docProps/custom.xml><?xml version="1.0" encoding="utf-8"?>
<Properties xmlns="http://schemas.openxmlformats.org/officeDocument/2006/custom-properties" xmlns:vt="http://schemas.openxmlformats.org/officeDocument/2006/docPropsVTypes"/>
</file>