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before="1800"/>
        <w:jc w:val="center"/>
      </w:pPr>
      <w:r>
        <w:drawing>
          <wp:inline distT="0" distB="0" distL="0" distR="0">
            <wp:extent cx="914400" cy="847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914400" cy="847725"/>
                    </a:xfrm>
                    <a:prstGeom prst="rect">
                      <a:avLst/>
                    </a:prstGeom>
                  </pic:spPr>
                </pic:pic>
              </a:graphicData>
            </a:graphic>
          </wp:inline>
        </w:drawing>
      </w:r>
    </w:p>
    <w:p>
      <w:pPr>
        <w:spacing w:after="200" w:before="0" w:line="300"/>
        <w:jc w:val="center"/>
      </w:pPr>
      <w:r>
        <w:rPr>
          <w:rFonts w:ascii="Arial" w:cs="Arial" w:eastAsia="Arial" w:hAnsi="Arial"/>
          <w:b/>
          <w:bCs/>
          <w:i w:val="false"/>
          <w:iCs w:val="false"/>
          <w:color w:val="C9A227"/>
          <w:sz w:val="20"/>
          <w:szCs w:val="20"/>
        </w:rPr>
        <w:t xml:space="preserve">ACCRÉDITATION SANS FRONTIÈRES</w:t>
      </w:r>
    </w:p>
    <w:p>
      <w:pPr>
        <w:spacing w:after="300" w:before="0" w:line="300"/>
        <w:jc w:val="center"/>
      </w:pPr>
      <w:r>
        <w:rPr>
          <w:rFonts w:ascii="Arial" w:cs="Arial" w:eastAsia="Arial" w:hAnsi="Arial"/>
          <w:b w:val="false"/>
          <w:bCs w:val="false"/>
          <w:i w:val="false"/>
          <w:iCs w:val="false"/>
          <w:color w:val="6B778C"/>
          <w:sz w:val="18"/>
          <w:szCs w:val="18"/>
        </w:rPr>
        <w:t xml:space="preserve">Patient Voice Toolkit</w:t>
      </w:r>
    </w:p>
    <w:p>
      <w:pPr>
        <w:spacing w:after="200" w:line="400"/>
        <w:jc w:val="center"/>
      </w:pPr>
      <w:r>
        <w:rPr>
          <w:rFonts w:ascii="Georgia" w:cs="Georgia" w:eastAsia="Georgia" w:hAnsi="Georgia"/>
          <w:b/>
          <w:bCs/>
          <w:i w:val="false"/>
          <w:iCs w:val="false"/>
          <w:color w:val="0E2647"/>
          <w:sz w:val="40"/>
          <w:szCs w:val="40"/>
        </w:rPr>
        <w:t xml:space="preserve">Patient Voice — Patient Education Calendar</w:t>
      </w:r>
    </w:p>
    <w:p>
      <w:pPr>
        <w:spacing w:after="600" w:before="0" w:line="300"/>
        <w:jc w:val="center"/>
      </w:pPr>
      <w:r>
        <w:rPr>
          <w:rFonts w:ascii="Arial" w:cs="Arial" w:eastAsia="Arial" w:hAnsi="Arial"/>
          <w:b w:val="false"/>
          <w:bCs w:val="false"/>
          <w:i/>
          <w:iCs/>
          <w:color w:val="6B778C"/>
          <w:sz w:val="21"/>
          <w:szCs w:val="21"/>
        </w:rPr>
        <w:t xml:space="preserve">Twelve thirty-minute sessions, one for every meeting, chosen by what the month's feedback shows patients most need to know. Outlines, materials, who presents</w:t>
      </w:r>
    </w:p>
    <w:p>
      <w:pPr>
        <w:spacing w:after="100" w:before="0" w:line="300"/>
        <w:jc w:val="center"/>
      </w:pPr>
      <w:r>
        <w:rPr>
          <w:rFonts w:ascii="Arial" w:cs="Arial" w:eastAsia="Arial" w:hAnsi="Arial"/>
          <w:b/>
          <w:bCs/>
          <w:i w:val="false"/>
          <w:iCs w:val="false"/>
          <w:color w:val="0E2647"/>
          <w:sz w:val="19"/>
          <w:szCs w:val="19"/>
        </w:rPr>
        <w:t xml:space="preserve">Version 1 · 2026</w:t>
      </w:r>
    </w:p>
    <w:p>
      <w:pPr>
        <w:spacing w:after="120" w:before="0" w:line="300"/>
        <w:jc w:val="center"/>
      </w:pPr>
      <w:r>
        <w:rPr>
          <w:rFonts w:ascii="Arial" w:cs="Arial" w:eastAsia="Arial" w:hAnsi="Arial"/>
          <w:b w:val="false"/>
          <w:bCs w:val="false"/>
          <w:i w:val="false"/>
          <w:iCs w:val="false"/>
          <w:color w:val="6B778C"/>
          <w:sz w:val="17"/>
          <w:szCs w:val="17"/>
        </w:rPr>
        <w:t xml:space="preserve">Paris · Geneva · Tbilisi</w:t>
      </w:r>
    </w:p>
    <w:p>
      <w:r>
        <w:br w:type="page"/>
      </w:r>
    </w:p>
    <w:p>
      <w:pPr>
        <w:pStyle w:val="Heading1"/>
        <w:keepNext/>
        <w:spacing w:after="160" w:before="360"/>
      </w:pPr>
      <w:r>
        <w:rPr>
          <w:rFonts w:ascii="Arial" w:cs="Arial" w:eastAsia="Arial" w:hAnsi="Arial"/>
          <w:b/>
          <w:bCs/>
          <w:i w:val="false"/>
          <w:iCs w:val="false"/>
          <w:color w:val="0E2647"/>
          <w:sz w:val="27"/>
          <w:szCs w:val="27"/>
        </w:rPr>
        <w:t xml:space="preserve">Document Control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Document Title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Patient Voice — Patient Education Calendar</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Document Reference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ASF-PV-EDU-001-v1</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Version / Edition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Version 1</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Status</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Published</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Date of Publication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2026</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Place of Publication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Paris, France</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Issuing Authority</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ASF International Standards Council, Accréditation Sans Frontières</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Language of Origin</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English</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Effective Date</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2026</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Next Scheduled Review</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13 September 2028</w:t>
            </w:r>
          </w:p>
        </w:tc>
      </w:tr>
      <w:tr>
        <w:trPr>
          <w:tblHeader w:val="false"/>
        </w:trPr>
        <w:tc>
          <w:tcPr>
            <w:tcW w:type="dxa" w:w="30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Supersedes</w:t>
            </w:r>
          </w:p>
        </w:tc>
        <w:tc>
          <w:tcPr>
            <w:tcW w:type="dxa" w:w="6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None — first edition</w:t>
            </w:r>
          </w:p>
        </w:tc>
      </w:tr>
    </w:tbl>
    <w:p>
      <w:pPr>
        <w:spacing w:after="200"/>
      </w:pPr>
    </w:p>
    <w:p>
      <w:pPr>
        <w:pBdr>
          <w:left w:val="single" w:color="C9A227" w:sz="24" w:space="8"/>
        </w:pBdr>
        <w:shd w:fill="FFF8E7" w:color="auto" w:val="clear"/>
        <w:spacing w:after="200" w:before="120" w:line="290"/>
        <w:ind w:left="120" w:right="120"/>
      </w:pPr>
      <w:r>
        <w:rPr>
          <w:rFonts w:ascii="Arial" w:cs="Arial" w:eastAsia="Arial" w:hAnsi="Arial"/>
          <w:b/>
          <w:bCs/>
          <w:i w:val="false"/>
          <w:iCs w:val="false"/>
          <w:color w:val="5C4A0A"/>
          <w:sz w:val="18"/>
          <w:szCs w:val="18"/>
        </w:rPr>
        <w:t xml:space="preserve">Free to reuse. </w:t>
      </w:r>
      <w:r>
        <w:rPr>
          <w:rFonts w:ascii="Arial" w:cs="Arial" w:eastAsia="Arial" w:hAnsi="Arial"/>
          <w:b w:val="false"/>
          <w:bCs w:val="false"/>
          <w:i w:val="false"/>
          <w:iCs w:val="false"/>
          <w:color w:val="5C4A0A"/>
          <w:sz w:val="18"/>
          <w:szCs w:val="18"/>
        </w:rPr>
        <w:t xml:space="preserve">This document is published in full by Accréditation Sans Frontières and may be adapted by any organization establishing a patient council in its own country, with attribution and a note of what was changed. It forms part of the Patient Voice Toolkit, all of which is available at france-asf.fr/patient-voice.</w:t>
      </w:r>
    </w:p>
    <w:p>
      <w:r>
        <w:br w:type="page"/>
      </w:r>
    </w:p>
    <w:p>
      <w:pPr>
        <w:pStyle w:val="Heading1"/>
        <w:keepNext/>
        <w:spacing w:after="160" w:before="360"/>
      </w:pPr>
      <w:r>
        <w:rPr>
          <w:rFonts w:ascii="Arial" w:cs="Arial" w:eastAsia="Arial" w:hAnsi="Arial"/>
          <w:b/>
          <w:bCs/>
          <w:i w:val="false"/>
          <w:iCs w:val="false"/>
          <w:color w:val="0E2647"/>
          <w:sz w:val="27"/>
          <w:szCs w:val="27"/>
        </w:rPr>
        <w:t xml:space="preserve">Table of Contents</w:t>
      </w:r>
    </w:p>
    <w:p>
      <w:pPr>
        <w:spacing w:after="60" w:before="0" w:line="300"/>
      </w:pPr>
      <w:r>
        <w:rPr>
          <w:rFonts w:ascii="Arial" w:cs="Arial" w:eastAsia="Arial" w:hAnsi="Arial"/>
          <w:b/>
          <w:bCs/>
          <w:i w:val="false"/>
          <w:iCs w:val="false"/>
          <w:color w:val="0E2647"/>
          <w:sz w:val="19"/>
          <w:szCs w:val="19"/>
        </w:rPr>
        <w:t xml:space="preserve">Foreword</w:t>
      </w:r>
    </w:p>
    <w:p>
      <w:pPr>
        <w:spacing w:after="60" w:before="0" w:line="300"/>
      </w:pPr>
      <w:r>
        <w:rPr>
          <w:rFonts w:ascii="Arial" w:cs="Arial" w:eastAsia="Arial" w:hAnsi="Arial"/>
          <w:b w:val="false"/>
          <w:bCs w:val="false"/>
          <w:i w:val="false"/>
          <w:iCs w:val="false"/>
          <w:color w:val="0E2647"/>
          <w:sz w:val="19"/>
          <w:szCs w:val="19"/>
        </w:rPr>
        <w:t xml:space="preserve">1. The Twelve Sessions</w:t>
      </w:r>
    </w:p>
    <w:p>
      <w:pPr>
        <w:spacing w:after="60" w:before="0" w:line="300"/>
      </w:pPr>
      <w:r>
        <w:rPr>
          <w:rFonts w:ascii="Arial" w:cs="Arial" w:eastAsia="Arial" w:hAnsi="Arial"/>
          <w:b w:val="false"/>
          <w:bCs w:val="false"/>
          <w:i w:val="false"/>
          <w:iCs w:val="false"/>
          <w:color w:val="0E2647"/>
          <w:sz w:val="19"/>
          <w:szCs w:val="19"/>
        </w:rPr>
        <w:t xml:space="preserve">2. Who Presents</w:t>
      </w:r>
    </w:p>
    <w:p>
      <w:pPr>
        <w:spacing w:after="60" w:before="0" w:line="300"/>
      </w:pPr>
      <w:r>
        <w:rPr>
          <w:rFonts w:ascii="Arial" w:cs="Arial" w:eastAsia="Arial" w:hAnsi="Arial"/>
          <w:b w:val="false"/>
          <w:bCs w:val="false"/>
          <w:i w:val="false"/>
          <w:iCs w:val="false"/>
          <w:color w:val="0E2647"/>
          <w:sz w:val="19"/>
          <w:szCs w:val="19"/>
        </w:rPr>
        <w:t xml:space="preserve">3. Choosing the Month's Topic</w:t>
      </w:r>
    </w:p>
    <w:p>
      <w:pPr>
        <w:spacing w:after="60" w:before="0" w:line="300"/>
      </w:pPr>
      <w:r>
        <w:rPr>
          <w:rFonts w:ascii="Arial" w:cs="Arial" w:eastAsia="Arial" w:hAnsi="Arial"/>
          <w:b w:val="false"/>
          <w:bCs w:val="false"/>
          <w:i w:val="false"/>
          <w:iCs w:val="false"/>
          <w:color w:val="0E2647"/>
          <w:sz w:val="19"/>
          <w:szCs w:val="19"/>
        </w:rPr>
        <w:t xml:space="preserve">4. Recording the Session</w:t>
      </w:r>
    </w:p>
    <w:p>
      <w:pPr>
        <w:spacing w:after="60" w:before="0" w:line="300"/>
      </w:pPr>
      <w:r>
        <w:rPr>
          <w:rFonts w:ascii="Arial" w:cs="Arial" w:eastAsia="Arial" w:hAnsi="Arial"/>
          <w:b w:val="false"/>
          <w:bCs w:val="false"/>
          <w:i w:val="false"/>
          <w:iCs w:val="false"/>
          <w:color w:val="0E2647"/>
          <w:sz w:val="19"/>
          <w:szCs w:val="19"/>
        </w:rPr>
        <w:t xml:space="preserve">Annex A — Session Plan Template</w:t>
      </w:r>
    </w:p>
    <w:p>
      <w:pPr>
        <w:spacing w:after="60" w:before="0" w:line="300"/>
      </w:pPr>
      <w:r>
        <w:rPr>
          <w:rFonts w:ascii="Arial" w:cs="Arial" w:eastAsia="Arial" w:hAnsi="Arial"/>
          <w:b w:val="false"/>
          <w:bCs w:val="false"/>
          <w:i w:val="false"/>
          <w:iCs w:val="false"/>
          <w:color w:val="0E2647"/>
          <w:sz w:val="19"/>
          <w:szCs w:val="19"/>
        </w:rPr>
        <w:t xml:space="preserve">Annex B — The Five-Question Discharge Card (handout for session 2)</w:t>
      </w:r>
    </w:p>
    <w:p>
      <w:pPr>
        <w:spacing w:after="60" w:before="0" w:line="300"/>
      </w:pPr>
      <w:r>
        <w:rPr>
          <w:rFonts w:ascii="Arial" w:cs="Arial" w:eastAsia="Arial" w:hAnsi="Arial"/>
          <w:b w:val="false"/>
          <w:bCs w:val="false"/>
          <w:i w:val="false"/>
          <w:iCs w:val="false"/>
          <w:color w:val="0E2647"/>
          <w:sz w:val="19"/>
          <w:szCs w:val="19"/>
        </w:rPr>
        <w:t xml:space="preserve">References</w:t>
      </w:r>
    </w:p>
    <w:p>
      <w:pPr>
        <w:spacing w:after="60" w:before="0" w:line="300"/>
      </w:pPr>
      <w:r>
        <w:rPr>
          <w:rFonts w:ascii="Arial" w:cs="Arial" w:eastAsia="Arial" w:hAnsi="Arial"/>
          <w:b w:val="false"/>
          <w:bCs w:val="false"/>
          <w:i w:val="false"/>
          <w:iCs w:val="false"/>
          <w:color w:val="0E2647"/>
          <w:sz w:val="19"/>
          <w:szCs w:val="19"/>
        </w:rPr>
        <w:t xml:space="preserve">Index</w:t>
      </w:r>
    </w:p>
    <w:p>
      <w:r>
        <w:br w:type="page"/>
      </w:r>
    </w:p>
    <w:p>
      <w:pPr>
        <w:pStyle w:val="Heading1"/>
        <w:keepNext/>
        <w:spacing w:after="160" w:before="360"/>
      </w:pPr>
      <w:r>
        <w:rPr>
          <w:rFonts w:ascii="Arial" w:cs="Arial" w:eastAsia="Arial" w:hAnsi="Arial"/>
          <w:b/>
          <w:bCs/>
          <w:i w:val="false"/>
          <w:iCs w:val="false"/>
          <w:color w:val="0E2647"/>
          <w:sz w:val="27"/>
          <w:szCs w:val="27"/>
        </w:rPr>
        <w:t xml:space="preserve">Foreword</w:t>
      </w:r>
    </w:p>
    <w:p>
      <w:pPr>
        <w:spacing w:after="120" w:before="0" w:line="300"/>
      </w:pPr>
      <w:r>
        <w:rPr>
          <w:rFonts w:ascii="Arial" w:cs="Arial" w:eastAsia="Arial" w:hAnsi="Arial"/>
          <w:b w:val="false"/>
          <w:bCs w:val="false"/>
          <w:i w:val="false"/>
          <w:iCs w:val="false"/>
          <w:color w:val="333333"/>
          <w:sz w:val="19"/>
          <w:szCs w:val="19"/>
        </w:rPr>
        <w:t xml:space="preserve">Every council meeting ends with thirty minutes of education. The topic is not fixed in advance: the secretariat chooses it from what the month's feedback shows. If discharge is the theme, the session is on discharge. If nine people asked about their invoice, the session is on invoices. This is what makes the meeting worth coming to, and it is what turns a feedback body into a learning one.</w:t>
      </w:r>
    </w:p>
    <w:p>
      <w:pPr>
        <w:spacing w:after="120" w:before="0" w:line="300"/>
      </w:pPr>
      <w:r>
        <w:rPr>
          <w:rFonts w:ascii="Arial" w:cs="Arial" w:eastAsia="Arial" w:hAnsi="Arial"/>
          <w:b w:val="false"/>
          <w:bCs w:val="false"/>
          <w:i w:val="false"/>
          <w:iCs w:val="false"/>
          <w:color w:val="333333"/>
          <w:sz w:val="19"/>
          <w:szCs w:val="19"/>
        </w:rPr>
        <w:t xml:space="preserve">This calendar gives twelve ready sessions, each with an outline, the materials, who presents, and the trigger that makes it the right month. A council can run for a year from this document, then repeat with new guests.</w:t>
      </w:r>
    </w:p>
    <w:p>
      <w:pPr>
        <w:pBdr>
          <w:left w:val="single" w:color="C9A227" w:sz="24" w:space="8"/>
        </w:pBdr>
        <w:shd w:fill="FFF8E7" w:color="auto" w:val="clear"/>
        <w:spacing w:after="200" w:before="120" w:line="290"/>
        <w:ind w:left="120" w:right="120"/>
      </w:pPr>
      <w:r>
        <w:rPr>
          <w:rFonts w:ascii="Arial" w:cs="Arial" w:eastAsia="Arial" w:hAnsi="Arial"/>
          <w:b/>
          <w:bCs/>
          <w:i w:val="false"/>
          <w:iCs w:val="false"/>
          <w:color w:val="5C4A0A"/>
          <w:sz w:val="18"/>
          <w:szCs w:val="18"/>
        </w:rPr>
        <w:t xml:space="preserve">Format for every session. </w:t>
      </w:r>
      <w:r>
        <w:rPr>
          <w:rFonts w:ascii="Arial" w:cs="Arial" w:eastAsia="Arial" w:hAnsi="Arial"/>
          <w:b w:val="false"/>
          <w:bCs w:val="false"/>
          <w:i w:val="false"/>
          <w:iCs w:val="false"/>
          <w:color w:val="5C4A0A"/>
          <w:sz w:val="18"/>
          <w:szCs w:val="18"/>
        </w:rPr>
        <w:t xml:space="preserve">Thirty minutes: ten of explanation, fifteen of questions and practice, five of "one thing I will do differently". One handout, one page. Members may bring a guest. Waiting-list applicants are always invited.</w:t>
      </w:r>
    </w:p>
    <w:p>
      <w:pPr>
        <w:pStyle w:val="Heading1"/>
        <w:keepNext/>
        <w:spacing w:after="160" w:before="360"/>
      </w:pPr>
      <w:r>
        <w:rPr>
          <w:rFonts w:ascii="Arial" w:cs="Arial" w:eastAsia="Arial" w:hAnsi="Arial"/>
          <w:b/>
          <w:bCs/>
          <w:i w:val="false"/>
          <w:iCs w:val="false"/>
          <w:color w:val="0E2647"/>
          <w:sz w:val="27"/>
          <w:szCs w:val="27"/>
        </w:rPr>
        <w:t xml:space="preserve">1. The Twelve Sessions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2400"/>
        <w:gridCol w:w="3426"/>
        <w:gridCol w:w="2700"/>
      </w:tblGrid>
      <w:tr>
        <w:trPr>
          <w:tblHeader/>
        </w:trPr>
        <w:tc>
          <w:tcPr>
            <w:tcW w:type="dxa" w:w="5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w:t>
            </w:r>
          </w:p>
        </w:tc>
        <w:tc>
          <w:tcPr>
            <w:tcW w:type="dxa" w:w="24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Topic</w:t>
            </w:r>
          </w:p>
        </w:tc>
        <w:tc>
          <w:tcPr>
            <w:tcW w:type="dxa" w:w="3426"/>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Outline</w:t>
            </w:r>
          </w:p>
        </w:tc>
        <w:tc>
          <w:tcPr>
            <w:tcW w:type="dxa" w:w="27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Use when</w:t>
            </w:r>
          </w:p>
        </w:tc>
      </w:tr>
      <w:tr>
        <w:trPr>
          <w:tblHeader w:val="false"/>
        </w:trPr>
        <w:tc>
          <w:tcPr>
            <w:tcW w:type="dxa" w:w="5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w:t>
            </w:r>
          </w:p>
        </w:tc>
        <w:tc>
          <w:tcPr>
            <w:tcW w:type="dxa" w:w="2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Your rights as a patient — the seven rights</w:t>
            </w:r>
          </w:p>
        </w:tc>
        <w:tc>
          <w:tcPr>
            <w:tcW w:type="dxa" w:w="3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Access · safety · respect · partnership · information · privacy · feedback. What each means on a ward, with the Patient Charter as the handout.</w:t>
            </w:r>
          </w:p>
        </w:tc>
        <w:tc>
          <w:tcPr>
            <w:tcW w:type="dxa" w:w="27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Any month; always the first session of a new council</w:t>
            </w:r>
          </w:p>
        </w:tc>
      </w:tr>
      <w:tr>
        <w:trPr>
          <w:tblHeader w:val="false"/>
        </w:trPr>
        <w:tc>
          <w:tcPr>
            <w:tcW w:type="dxa" w:w="5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2</w:t>
            </w:r>
          </w:p>
        </w:tc>
        <w:tc>
          <w:tcPr>
            <w:tcW w:type="dxa" w:w="24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Questions to ask before you are discharged</w:t>
            </w:r>
          </w:p>
        </w:tc>
        <w:tc>
          <w:tcPr>
            <w:tcW w:type="dxa" w:w="3426"/>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The five questions: what is my diagnosis, which medicines and why, what should I watch for, who do I call, when is my follow-up. Teach-back practice.</w:t>
            </w:r>
          </w:p>
        </w:tc>
        <w:tc>
          <w:tcPr>
            <w:tcW w:type="dxa" w:w="27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When discharge or aftercare is a theme</w:t>
            </w:r>
          </w:p>
        </w:tc>
      </w:tr>
      <w:tr>
        <w:trPr>
          <w:tblHeader w:val="false"/>
        </w:trPr>
        <w:tc>
          <w:tcPr>
            <w:tcW w:type="dxa" w:w="5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3</w:t>
            </w:r>
          </w:p>
        </w:tc>
        <w:tc>
          <w:tcPr>
            <w:tcW w:type="dxa" w:w="2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Informed consent — a conversation, not a signature</w:t>
            </w:r>
          </w:p>
        </w:tc>
        <w:tc>
          <w:tcPr>
            <w:tcW w:type="dxa" w:w="3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What consent must include; the right to ask again; the right to say no; consent for children and for people who cannot decide.</w:t>
            </w:r>
          </w:p>
        </w:tc>
        <w:tc>
          <w:tcPr>
            <w:tcW w:type="dxa" w:w="27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When consent or communication is a theme</w:t>
            </w:r>
          </w:p>
        </w:tc>
      </w:tr>
      <w:tr>
        <w:trPr>
          <w:tblHeader w:val="false"/>
        </w:trPr>
        <w:tc>
          <w:tcPr>
            <w:tcW w:type="dxa" w:w="5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4</w:t>
            </w:r>
          </w:p>
        </w:tc>
        <w:tc>
          <w:tcPr>
            <w:tcW w:type="dxa" w:w="24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Your medicines — names, doses, timing, interactions</w:t>
            </w:r>
          </w:p>
        </w:tc>
        <w:tc>
          <w:tcPr>
            <w:tcW w:type="dxa" w:w="3426"/>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Bring-your-bag session: every participant brings their medicines; a pharmacist explains. The medication list card.</w:t>
            </w:r>
          </w:p>
        </w:tc>
        <w:tc>
          <w:tcPr>
            <w:tcW w:type="dxa" w:w="27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When medication is a theme</w:t>
            </w:r>
          </w:p>
        </w:tc>
      </w:tr>
      <w:tr>
        <w:trPr>
          <w:tblHeader w:val="false"/>
        </w:trPr>
        <w:tc>
          <w:tcPr>
            <w:tcW w:type="dxa" w:w="5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5</w:t>
            </w:r>
          </w:p>
        </w:tc>
        <w:tc>
          <w:tcPr>
            <w:tcW w:type="dxa" w:w="2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Hand hygiene and infection — what you may ask of staff</w:t>
            </w:r>
          </w:p>
        </w:tc>
        <w:tc>
          <w:tcPr>
            <w:tcW w:type="dxa" w:w="3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"Have you washed your hands?" is a fair question. What clean looks like; what to do about a visitor with a cold.</w:t>
            </w:r>
          </w:p>
        </w:tc>
        <w:tc>
          <w:tcPr>
            <w:tcW w:type="dxa" w:w="27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Any month</w:t>
            </w:r>
          </w:p>
        </w:tc>
      </w:tr>
      <w:tr>
        <w:trPr>
          <w:tblHeader w:val="false"/>
        </w:trPr>
        <w:tc>
          <w:tcPr>
            <w:tcW w:type="dxa" w:w="5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6</w:t>
            </w:r>
          </w:p>
        </w:tc>
        <w:tc>
          <w:tcPr>
            <w:tcW w:type="dxa" w:w="24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Falls — at home and in hospital</w:t>
            </w:r>
          </w:p>
        </w:tc>
        <w:tc>
          <w:tcPr>
            <w:tcW w:type="dxa" w:w="3426"/>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Why patients fall; the bed, the bathroom, the slippers; what the hospital does and what the family can do.</w:t>
            </w:r>
          </w:p>
        </w:tc>
        <w:tc>
          <w:tcPr>
            <w:tcW w:type="dxa" w:w="27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When safety or the environment is a theme</w:t>
            </w:r>
          </w:p>
        </w:tc>
      </w:tr>
      <w:tr>
        <w:trPr>
          <w:tblHeader w:val="false"/>
        </w:trPr>
        <w:tc>
          <w:tcPr>
            <w:tcW w:type="dxa" w:w="5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7</w:t>
            </w:r>
          </w:p>
        </w:tc>
        <w:tc>
          <w:tcPr>
            <w:tcW w:type="dxa" w:w="2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Reading your invoice</w:t>
            </w:r>
          </w:p>
        </w:tc>
        <w:tc>
          <w:tcPr>
            <w:tcW w:type="dxa" w:w="3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What the lines mean, what the state programme covers, what to ask before you pay, where to take a billing dispute.</w:t>
            </w:r>
          </w:p>
        </w:tc>
        <w:tc>
          <w:tcPr>
            <w:tcW w:type="dxa" w:w="27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When finance is a theme</w:t>
            </w:r>
          </w:p>
        </w:tc>
      </w:tr>
      <w:tr>
        <w:trPr>
          <w:tblHeader w:val="false"/>
        </w:trPr>
        <w:tc>
          <w:tcPr>
            <w:tcW w:type="dxa" w:w="5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8</w:t>
            </w:r>
          </w:p>
        </w:tc>
        <w:tc>
          <w:tcPr>
            <w:tcW w:type="dxa" w:w="24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How to raise a concern so that it lands</w:t>
            </w:r>
          </w:p>
        </w:tc>
        <w:tc>
          <w:tcPr>
            <w:tcW w:type="dxa" w:w="3426"/>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Facts, dates, names of wards not people, what you want to happen. Practice with the QR form. Why anonymity is allowed and when it limits what can be done.</w:t>
            </w:r>
          </w:p>
        </w:tc>
        <w:tc>
          <w:tcPr>
            <w:tcW w:type="dxa" w:w="27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Second session of a new council</w:t>
            </w:r>
          </w:p>
        </w:tc>
      </w:tr>
      <w:tr>
        <w:trPr>
          <w:tblHeader w:val="false"/>
        </w:trPr>
        <w:tc>
          <w:tcPr>
            <w:tcW w:type="dxa" w:w="5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9</w:t>
            </w:r>
          </w:p>
        </w:tc>
        <w:tc>
          <w:tcPr>
            <w:tcW w:type="dxa" w:w="2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Living with a long-term condition — diabetes, heart, asthma, thyroid</w:t>
            </w:r>
          </w:p>
        </w:tc>
        <w:tc>
          <w:tcPr>
            <w:tcW w:type="dxa" w:w="3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One condition per session, with a clinician: the two things that matter most, and the electronic patient platform for updates.</w:t>
            </w:r>
          </w:p>
        </w:tc>
        <w:tc>
          <w:tcPr>
            <w:tcW w:type="dxa" w:w="27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By members' request</w:t>
            </w:r>
          </w:p>
        </w:tc>
      </w:tr>
      <w:tr>
        <w:trPr>
          <w:tblHeader w:val="false"/>
        </w:trPr>
        <w:tc>
          <w:tcPr>
            <w:tcW w:type="dxa" w:w="5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10</w:t>
            </w:r>
          </w:p>
        </w:tc>
        <w:tc>
          <w:tcPr>
            <w:tcW w:type="dxa" w:w="24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Emergencies at home — when to call, what to say</w:t>
            </w:r>
          </w:p>
        </w:tc>
        <w:tc>
          <w:tcPr>
            <w:tcW w:type="dxa" w:w="3426"/>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Stroke and heart-attack signs; what to tell the dispatcher; what to have ready by the door.</w:t>
            </w:r>
          </w:p>
        </w:tc>
        <w:tc>
          <w:tcPr>
            <w:tcW w:type="dxa" w:w="27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Any month</w:t>
            </w:r>
          </w:p>
        </w:tc>
      </w:tr>
      <w:tr>
        <w:trPr>
          <w:tblHeader w:val="false"/>
        </w:trPr>
        <w:tc>
          <w:tcPr>
            <w:tcW w:type="dxa" w:w="5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11</w:t>
            </w:r>
          </w:p>
        </w:tc>
        <w:tc>
          <w:tcPr>
            <w:tcW w:type="dxa" w:w="24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Mental health and the family — asking for help</w:t>
            </w:r>
          </w:p>
        </w:tc>
        <w:tc>
          <w:tcPr>
            <w:tcW w:type="dxa" w:w="3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Recognising distress; where to turn; what the hospital offers; confidentiality.</w:t>
            </w:r>
          </w:p>
        </w:tc>
        <w:tc>
          <w:tcPr>
            <w:tcW w:type="dxa" w:w="27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When psychosocial themes appear</w:t>
            </w:r>
          </w:p>
        </w:tc>
      </w:tr>
      <w:tr>
        <w:trPr>
          <w:tblHeader w:val="false"/>
        </w:trPr>
        <w:tc>
          <w:tcPr>
            <w:tcW w:type="dxa" w:w="5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12</w:t>
            </w:r>
          </w:p>
        </w:tc>
        <w:tc>
          <w:tcPr>
            <w:tcW w:type="dxa" w:w="24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What accreditation means for you</w:t>
            </w:r>
          </w:p>
        </w:tc>
        <w:tc>
          <w:tcPr>
            <w:tcW w:type="dxa" w:w="3426"/>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What the ASF seal does and does not guarantee, how to verify it, and how the council's work becomes evidence.</w:t>
            </w:r>
          </w:p>
        </w:tc>
        <w:tc>
          <w:tcPr>
            <w:tcW w:type="dxa" w:w="2700"/>
            <w:tcBorders>
              <w:top w:val="single" w:color="DCE3EE" w:sz="4"/>
              <w:left w:val="single" w:color="DCE3EE" w:sz="4"/>
              <w:bottom w:val="single" w:color="DCE3EE" w:sz="4"/>
              <w:right w:val="single" w:color="DCE3EE" w:sz="4"/>
            </w:tcBorders>
            <w:shd w:fill="F7F5F0" w:color="auto" w:val="clear"/>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Once a year</w:t>
            </w:r>
          </w:p>
        </w:tc>
      </w:tr>
    </w:tbl>
    <w:p>
      <w:pPr>
        <w:pStyle w:val="Heading1"/>
        <w:keepNext/>
        <w:spacing w:after="160" w:before="360"/>
      </w:pPr>
      <w:r>
        <w:rPr>
          <w:rFonts w:ascii="Arial" w:cs="Arial" w:eastAsia="Arial" w:hAnsi="Arial"/>
          <w:b/>
          <w:bCs/>
          <w:i w:val="false"/>
          <w:iCs w:val="false"/>
          <w:color w:val="0E2647"/>
          <w:sz w:val="27"/>
          <w:szCs w:val="27"/>
        </w:rPr>
        <w:t xml:space="preserve">2. Who Presents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200"/>
        <w:gridCol w:w="4026"/>
      </w:tblGrid>
      <w:tr>
        <w:trPr>
          <w:tblHeader/>
        </w:trPr>
        <w:tc>
          <w:tcPr>
            <w:tcW w:type="dxa" w:w="18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Session</w:t>
            </w:r>
          </w:p>
        </w:tc>
        <w:tc>
          <w:tcPr>
            <w:tcW w:type="dxa" w:w="3200"/>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Presenter</w:t>
            </w:r>
          </w:p>
        </w:tc>
        <w:tc>
          <w:tcPr>
            <w:tcW w:type="dxa" w:w="4026"/>
            <w:tcBorders>
              <w:top w:val="single" w:color="DCE3EE" w:sz="4"/>
              <w:left w:val="single" w:color="DCE3EE" w:sz="4"/>
              <w:bottom w:val="single" w:color="DCE3EE" w:sz="4"/>
              <w:right w:val="single" w:color="DCE3EE" w:sz="4"/>
            </w:tcBorders>
            <w:shd w:fill="0E2647" w:color="auto" w:val="clear"/>
            <w:tcMar>
              <w:top w:type="dxa" w:w="70"/>
              <w:left w:type="dxa" w:w="100"/>
              <w:bottom w:type="dxa" w:w="70"/>
              <w:right w:type="dxa" w:w="100"/>
            </w:tcMar>
          </w:tcPr>
          <w:p>
            <w:pPr>
              <w:spacing w:after="40" w:before="0" w:line="260"/>
            </w:pPr>
            <w:r>
              <w:rPr>
                <w:rFonts w:ascii="Arial" w:cs="Arial" w:eastAsia="Arial" w:hAnsi="Arial"/>
                <w:b/>
                <w:bCs/>
                <w:i w:val="false"/>
                <w:iCs w:val="false"/>
                <w:color w:val="FFFFFF"/>
                <w:sz w:val="16"/>
                <w:szCs w:val="16"/>
              </w:rPr>
              <w:t xml:space="preserve">Materials</w:t>
            </w:r>
          </w:p>
        </w:tc>
      </w:tr>
      <w:tr>
        <w:trPr>
          <w:tblHeader w:val="false"/>
        </w:trPr>
        <w:tc>
          <w:tcPr>
            <w:tcW w:type="dxa" w:w="18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1, 8, 12</w:t>
            </w:r>
          </w:p>
        </w:tc>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Secretariat</w:t>
            </w:r>
          </w:p>
        </w:tc>
        <w:tc>
          <w:tcPr>
            <w:tcW w:type="dxa" w:w="4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Patient Charter; QR form; "How to verify" card</w:t>
            </w:r>
          </w:p>
        </w:tc>
      </w:tr>
      <w:tr>
        <w:trPr>
          <w:tblHeader w:val="false"/>
        </w:trPr>
        <w:tc>
          <w:tcPr>
            <w:tcW w:type="dxa" w:w="18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2, 3</w:t>
            </w:r>
          </w:p>
        </w:tc>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Secretariat with a ward nurse</w:t>
            </w:r>
          </w:p>
        </w:tc>
        <w:tc>
          <w:tcPr>
            <w:tcW w:type="dxa" w:w="4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Five-question discharge card; consent leaflet</w:t>
            </w:r>
          </w:p>
        </w:tc>
      </w:tr>
      <w:tr>
        <w:trPr>
          <w:tblHeader w:val="false"/>
        </w:trPr>
        <w:tc>
          <w:tcPr>
            <w:tcW w:type="dxa" w:w="18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4</w:t>
            </w:r>
          </w:p>
        </w:tc>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Hospital pharmacist</w:t>
            </w:r>
          </w:p>
        </w:tc>
        <w:tc>
          <w:tcPr>
            <w:tcW w:type="dxa" w:w="4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Medication list card</w:t>
            </w:r>
          </w:p>
        </w:tc>
      </w:tr>
      <w:tr>
        <w:trPr>
          <w:tblHeader w:val="false"/>
        </w:trPr>
        <w:tc>
          <w:tcPr>
            <w:tcW w:type="dxa" w:w="18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5, 6</w:t>
            </w:r>
          </w:p>
        </w:tc>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Infection-control nurse; physiotherapist</w:t>
            </w:r>
          </w:p>
        </w:tc>
        <w:tc>
          <w:tcPr>
            <w:tcW w:type="dxa" w:w="4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Hand-hygiene poster; falls checklist</w:t>
            </w:r>
          </w:p>
        </w:tc>
      </w:tr>
      <w:tr>
        <w:trPr>
          <w:tblHeader w:val="false"/>
        </w:trPr>
        <w:tc>
          <w:tcPr>
            <w:tcW w:type="dxa" w:w="18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7</w:t>
            </w:r>
          </w:p>
        </w:tc>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Finance manager</w:t>
            </w:r>
          </w:p>
        </w:tc>
        <w:tc>
          <w:tcPr>
            <w:tcW w:type="dxa" w:w="4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Sample invoice, annotated</w:t>
            </w:r>
          </w:p>
        </w:tc>
      </w:tr>
      <w:tr>
        <w:trPr>
          <w:tblHeader w:val="false"/>
        </w:trPr>
        <w:tc>
          <w:tcPr>
            <w:tcW w:type="dxa" w:w="18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9</w:t>
            </w:r>
          </w:p>
        </w:tc>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Clinician for the condition</w:t>
            </w:r>
          </w:p>
        </w:tc>
        <w:tc>
          <w:tcPr>
            <w:tcW w:type="dxa" w:w="4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Condition sheet; platform registration</w:t>
            </w:r>
          </w:p>
        </w:tc>
      </w:tr>
      <w:tr>
        <w:trPr>
          <w:tblHeader w:val="false"/>
        </w:trPr>
        <w:tc>
          <w:tcPr>
            <w:tcW w:type="dxa" w:w="18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10</w:t>
            </w:r>
          </w:p>
        </w:tc>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Emergency physician or paramedic</w:t>
            </w:r>
          </w:p>
        </w:tc>
        <w:tc>
          <w:tcPr>
            <w:tcW w:type="dxa" w:w="4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Fridge card: signs and what to say</w:t>
            </w:r>
          </w:p>
        </w:tc>
      </w:tr>
      <w:tr>
        <w:trPr>
          <w:tblHeader w:val="false"/>
        </w:trPr>
        <w:tc>
          <w:tcPr>
            <w:tcW w:type="dxa" w:w="18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11</w:t>
            </w:r>
          </w:p>
        </w:tc>
        <w:tc>
          <w:tcPr>
            <w:tcW w:type="dxa" w:w="32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Psychologist or social worker</w:t>
            </w:r>
          </w:p>
        </w:tc>
        <w:tc>
          <w:tcPr>
            <w:tcW w:type="dxa" w:w="40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Where-to-turn card</w:t>
            </w:r>
          </w:p>
        </w:tc>
      </w:tr>
    </w:tbl>
    <w:p>
      <w:pPr>
        <w:pStyle w:val="Heading1"/>
        <w:keepNext/>
        <w:spacing w:after="160" w:before="360"/>
      </w:pPr>
      <w:r>
        <w:rPr>
          <w:rFonts w:ascii="Arial" w:cs="Arial" w:eastAsia="Arial" w:hAnsi="Arial"/>
          <w:b/>
          <w:bCs/>
          <w:i w:val="false"/>
          <w:iCs w:val="false"/>
          <w:color w:val="0E2647"/>
          <w:sz w:val="27"/>
          <w:szCs w:val="27"/>
        </w:rPr>
        <w:t xml:space="preserve">3. Choosing the Month's Topic</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Look at the themes table in the monthly report. The largest theme, or the fastest-rising one, is the default.</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If a severity-3 case occurred, the related topic takes priority (medication → session 4; falls → session 6).</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A new council runs sessions 1 and 8 first, whatever the themes.</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Session 12 runs once a year, in the month the council record is summarised.</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Members may request a topic; a request beats the default the following month.</w:t>
      </w:r>
    </w:p>
    <w:p>
      <w:pPr>
        <w:pStyle w:val="Heading1"/>
        <w:keepNext/>
        <w:spacing w:after="160" w:before="360"/>
      </w:pPr>
      <w:r>
        <w:rPr>
          <w:rFonts w:ascii="Arial" w:cs="Arial" w:eastAsia="Arial" w:hAnsi="Arial"/>
          <w:b/>
          <w:bCs/>
          <w:i w:val="false"/>
          <w:iCs w:val="false"/>
          <w:color w:val="0E2647"/>
          <w:sz w:val="27"/>
          <w:szCs w:val="27"/>
        </w:rPr>
        <w:t xml:space="preserve">4. Recording the Session</w:t>
      </w:r>
    </w:p>
    <w:p>
      <w:pPr>
        <w:spacing w:after="120" w:before="0" w:line="300"/>
      </w:pPr>
      <w:r>
        <w:rPr>
          <w:rFonts w:ascii="Arial" w:cs="Arial" w:eastAsia="Arial" w:hAnsi="Arial"/>
          <w:b w:val="false"/>
          <w:bCs w:val="false"/>
          <w:i w:val="false"/>
          <w:iCs w:val="false"/>
          <w:color w:val="333333"/>
          <w:sz w:val="19"/>
          <w:szCs w:val="19"/>
        </w:rPr>
        <w:t xml:space="preserve">One paragraph in the council record: topic, presenter, attendance, the three most useful questions asked, and the "one thing I will do differently" answers in aggregate. Handouts are posted in the WhatsApp group and on the facility's ASF profile.</w:t>
      </w:r>
    </w:p>
    <w:p>
      <w:r>
        <w:br w:type="page"/>
      </w:r>
    </w:p>
    <w:p>
      <w:pPr>
        <w:pStyle w:val="Heading1"/>
        <w:keepNext/>
        <w:spacing w:after="160" w:before="360"/>
      </w:pPr>
      <w:r>
        <w:rPr>
          <w:rFonts w:ascii="Arial" w:cs="Arial" w:eastAsia="Arial" w:hAnsi="Arial"/>
          <w:b/>
          <w:bCs/>
          <w:i w:val="false"/>
          <w:iCs w:val="false"/>
          <w:color w:val="0E2647"/>
          <w:sz w:val="27"/>
          <w:szCs w:val="27"/>
        </w:rPr>
        <w:t xml:space="preserve">Annex A — Session Plan Template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600"/>
        <w:gridCol w:w="5426"/>
      </w:tblGrid>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Session number and topic</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Trigger this month</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Presenter</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Handout</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0–10 min — explain</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10–25 min — questions and practice</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25–30 min — one thing I will do differently</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Attendance (members / guests / waiting list)</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Three best questions</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r>
        <w:trPr>
          <w:tblHeader w:val="false"/>
        </w:trPr>
        <w:tc>
          <w:tcPr>
            <w:tcW w:type="dxa" w:w="3600"/>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bCs/>
                <w:i w:val="false"/>
                <w:iCs w:val="false"/>
                <w:color w:val="333333"/>
                <w:sz w:val="17"/>
                <w:szCs w:val="17"/>
              </w:rPr>
              <w:t xml:space="preserve">Recorded by</w:t>
            </w:r>
          </w:p>
        </w:tc>
        <w:tc>
          <w:tcPr>
            <w:tcW w:type="dxa" w:w="5426"/>
            <w:tcBorders>
              <w:top w:val="single" w:color="DCE3EE" w:sz="4"/>
              <w:left w:val="single" w:color="DCE3EE" w:sz="4"/>
              <w:bottom w:val="single" w:color="DCE3EE" w:sz="4"/>
              <w:right w:val="single" w:color="DCE3EE" w:sz="4"/>
            </w:tcBorders>
            <w:tcMar>
              <w:top w:type="dxa" w:w="70"/>
              <w:left w:type="dxa" w:w="100"/>
              <w:bottom w:type="dxa" w:w="70"/>
              <w:right w:type="dxa" w:w="100"/>
            </w:tcMar>
          </w:tcPr>
          <w:p>
            <w:pPr>
              <w:spacing w:after="40" w:before="0" w:line="260"/>
            </w:pPr>
            <w:r>
              <w:rPr>
                <w:rFonts w:ascii="Arial" w:cs="Arial" w:eastAsia="Arial" w:hAnsi="Arial"/>
                <w:b w:val="false"/>
                <w:bCs w:val="false"/>
                <w:i w:val="false"/>
                <w:iCs w:val="false"/>
                <w:color w:val="333333"/>
                <w:sz w:val="17"/>
                <w:szCs w:val="17"/>
              </w:rPr>
              <w:t xml:space="preserve"/>
            </w:r>
          </w:p>
        </w:tc>
      </w:tr>
    </w:tbl>
    <w:p>
      <w:r>
        <w:br w:type="page"/>
      </w:r>
    </w:p>
    <w:p>
      <w:pPr>
        <w:pStyle w:val="Heading1"/>
        <w:keepNext/>
        <w:spacing w:after="160" w:before="360"/>
      </w:pPr>
      <w:r>
        <w:rPr>
          <w:rFonts w:ascii="Arial" w:cs="Arial" w:eastAsia="Arial" w:hAnsi="Arial"/>
          <w:b/>
          <w:bCs/>
          <w:i w:val="false"/>
          <w:iCs w:val="false"/>
          <w:color w:val="0E2647"/>
          <w:sz w:val="27"/>
          <w:szCs w:val="27"/>
        </w:rPr>
        <w:t xml:space="preserve">Annex B — The Five-Question Discharge Card (handout for session 2)</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What is my diagnosis, in words I can repeat to my family?</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Which medicines do I take, why, and has anything changed?</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What should I watch for, and what would mean I must come back?</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Who do I call if I am worried — name and number?</w:t>
      </w:r>
    </w:p>
    <w:p>
      <w:pPr>
        <w:pStyle w:val="ListParagraph"/>
        <w:numPr>
          <w:ilvl w:val="0"/>
          <w:numId w:val="2"/>
        </w:numPr>
        <w:spacing w:after="80" w:line="290"/>
      </w:pPr>
      <w:r>
        <w:rPr>
          <w:rFonts w:ascii="Arial" w:cs="Arial" w:eastAsia="Arial" w:hAnsi="Arial"/>
          <w:b w:val="false"/>
          <w:bCs w:val="false"/>
          <w:i w:val="false"/>
          <w:iCs w:val="false"/>
          <w:color w:val="333333"/>
          <w:sz w:val="19"/>
          <w:szCs w:val="19"/>
        </w:rPr>
        <w:t xml:space="preserve">When is my follow-up, where, and with whom?</w:t>
      </w:r>
    </w:p>
    <w:p>
      <w:pPr>
        <w:spacing w:after="120"/>
      </w:pPr>
    </w:p>
    <w:p>
      <w:pPr>
        <w:spacing w:after="120" w:before="0" w:line="300"/>
      </w:pPr>
      <w:r>
        <w:rPr>
          <w:rFonts w:ascii="Arial" w:cs="Arial" w:eastAsia="Arial" w:hAnsi="Arial"/>
          <w:b w:val="false"/>
          <w:bCs w:val="false"/>
          <w:i/>
          <w:iCs/>
          <w:color w:val="333333"/>
          <w:sz w:val="19"/>
          <w:szCs w:val="19"/>
        </w:rPr>
        <w:t xml:space="preserve">Ask the nurse to listen while you repeat the answers back. That is called teach-back, and it is your right.</w:t>
      </w:r>
    </w:p>
    <w:p>
      <w:r>
        <w:br w:type="page"/>
      </w:r>
    </w:p>
    <w:p>
      <w:pPr>
        <w:pStyle w:val="Heading1"/>
        <w:keepNext/>
        <w:spacing w:after="160" w:before="360"/>
      </w:pPr>
      <w:r>
        <w:rPr>
          <w:rFonts w:ascii="Arial" w:cs="Arial" w:eastAsia="Arial" w:hAnsi="Arial"/>
          <w:b/>
          <w:bCs/>
          <w:i w:val="false"/>
          <w:iCs w:val="false"/>
          <w:color w:val="0E2647"/>
          <w:sz w:val="27"/>
          <w:szCs w:val="27"/>
        </w:rPr>
        <w:t xml:space="preserve">References</w:t>
      </w:r>
    </w:p>
    <w:p>
      <w:pPr>
        <w:spacing w:after="80" w:line="300"/>
        <w:ind w:left="400" w:hanging="400"/>
      </w:pPr>
      <w:r>
        <w:rPr>
          <w:rFonts w:ascii="Arial" w:cs="Arial" w:eastAsia="Arial" w:hAnsi="Arial"/>
          <w:b/>
          <w:bCs/>
          <w:i w:val="false"/>
          <w:iCs w:val="false"/>
          <w:color w:val="0E2647"/>
          <w:sz w:val="17"/>
          <w:szCs w:val="17"/>
        </w:rPr>
        <w:t xml:space="preserve">[1] </w:t>
      </w:r>
      <w:r>
        <w:rPr>
          <w:rFonts w:ascii="Arial" w:cs="Arial" w:eastAsia="Arial" w:hAnsi="Arial"/>
          <w:b w:val="false"/>
          <w:bCs w:val="false"/>
          <w:i w:val="false"/>
          <w:iCs w:val="false"/>
          <w:color w:val="333333"/>
          <w:sz w:val="17"/>
          <w:szCs w:val="17"/>
        </w:rPr>
        <w:t xml:space="preserve">Australian Commission on Safety and Quality in Health Care. Australian Charter of Healthcare Rights, 2nd ed. 2019.</w:t>
      </w:r>
    </w:p>
    <w:p>
      <w:pPr>
        <w:spacing w:after="80" w:line="300"/>
        <w:ind w:left="400" w:hanging="400"/>
      </w:pPr>
      <w:r>
        <w:rPr>
          <w:rFonts w:ascii="Arial" w:cs="Arial" w:eastAsia="Arial" w:hAnsi="Arial"/>
          <w:b/>
          <w:bCs/>
          <w:i w:val="false"/>
          <w:iCs w:val="false"/>
          <w:color w:val="0E2647"/>
          <w:sz w:val="17"/>
          <w:szCs w:val="17"/>
        </w:rPr>
        <w:t xml:space="preserve">[2] </w:t>
      </w:r>
      <w:r>
        <w:rPr>
          <w:rFonts w:ascii="Arial" w:cs="Arial" w:eastAsia="Arial" w:hAnsi="Arial"/>
          <w:b w:val="false"/>
          <w:bCs w:val="false"/>
          <w:i w:val="false"/>
          <w:iCs w:val="false"/>
          <w:color w:val="333333"/>
          <w:sz w:val="17"/>
          <w:szCs w:val="17"/>
        </w:rPr>
        <w:t xml:space="preserve">Agency for Healthcare Research and Quality. Health Literacy Universal Precautions Toolkit — Teach-Back Method. AHRQ; 2020.</w:t>
      </w:r>
    </w:p>
    <w:p>
      <w:pPr>
        <w:spacing w:after="80" w:line="300"/>
        <w:ind w:left="400" w:hanging="400"/>
      </w:pPr>
      <w:r>
        <w:rPr>
          <w:rFonts w:ascii="Arial" w:cs="Arial" w:eastAsia="Arial" w:hAnsi="Arial"/>
          <w:b/>
          <w:bCs/>
          <w:i w:val="false"/>
          <w:iCs w:val="false"/>
          <w:color w:val="0E2647"/>
          <w:sz w:val="17"/>
          <w:szCs w:val="17"/>
        </w:rPr>
        <w:t xml:space="preserve">[3] </w:t>
      </w:r>
      <w:r>
        <w:rPr>
          <w:rFonts w:ascii="Arial" w:cs="Arial" w:eastAsia="Arial" w:hAnsi="Arial"/>
          <w:b w:val="false"/>
          <w:bCs w:val="false"/>
          <w:i w:val="false"/>
          <w:iCs w:val="false"/>
          <w:color w:val="333333"/>
          <w:sz w:val="17"/>
          <w:szCs w:val="17"/>
        </w:rPr>
        <w:t xml:space="preserve">World Health Organization. Medication Without Harm — 5 Moments for Medication Safety. Geneva: WHO; 2019.</w:t>
      </w:r>
    </w:p>
    <w:p>
      <w:pPr>
        <w:spacing w:after="80" w:line="300"/>
        <w:ind w:left="400" w:hanging="400"/>
      </w:pPr>
      <w:r>
        <w:rPr>
          <w:rFonts w:ascii="Arial" w:cs="Arial" w:eastAsia="Arial" w:hAnsi="Arial"/>
          <w:b/>
          <w:bCs/>
          <w:i w:val="false"/>
          <w:iCs w:val="false"/>
          <w:color w:val="0E2647"/>
          <w:sz w:val="17"/>
          <w:szCs w:val="17"/>
        </w:rPr>
        <w:t xml:space="preserve">[4] </w:t>
      </w:r>
      <w:r>
        <w:rPr>
          <w:rFonts w:ascii="Arial" w:cs="Arial" w:eastAsia="Arial" w:hAnsi="Arial"/>
          <w:b w:val="false"/>
          <w:bCs w:val="false"/>
          <w:i w:val="false"/>
          <w:iCs w:val="false"/>
          <w:color w:val="333333"/>
          <w:sz w:val="17"/>
          <w:szCs w:val="17"/>
        </w:rPr>
        <w:t xml:space="preserve">Accréditation Sans Frontières. Understanding Your Accreditation — Patient Guide, ASF-PATIENT-GUIDE-001-v2. Paris: ASF; 2026.</w:t>
      </w:r>
    </w:p>
    <w:p>
      <w:r>
        <w:br w:type="page"/>
      </w:r>
    </w:p>
    <w:p>
      <w:pPr>
        <w:pStyle w:val="Heading1"/>
        <w:keepNext/>
        <w:spacing w:after="160" w:before="360"/>
      </w:pPr>
      <w:r>
        <w:rPr>
          <w:rFonts w:ascii="Arial" w:cs="Arial" w:eastAsia="Arial" w:hAnsi="Arial"/>
          <w:b/>
          <w:bCs/>
          <w:i w:val="false"/>
          <w:iCs w:val="false"/>
          <w:color w:val="0E2647"/>
          <w:sz w:val="27"/>
          <w:szCs w:val="27"/>
        </w:rPr>
        <w:t xml:space="preserve">Index</w:t>
      </w:r>
    </w:p>
    <w:p>
      <w:pPr>
        <w:spacing w:after="60" w:line="300"/>
      </w:pPr>
      <w:r>
        <w:rPr>
          <w:rFonts w:ascii="Arial" w:cs="Arial" w:eastAsia="Arial" w:hAnsi="Arial"/>
          <w:b/>
          <w:bCs/>
          <w:i w:val="false"/>
          <w:iCs w:val="false"/>
          <w:color w:val="333333"/>
          <w:sz w:val="17"/>
          <w:szCs w:val="17"/>
        </w:rPr>
        <w:t xml:space="preserve">Choosing the topic, </w:t>
      </w:r>
      <w:r>
        <w:rPr>
          <w:rFonts w:ascii="Arial" w:cs="Arial" w:eastAsia="Arial" w:hAnsi="Arial"/>
          <w:b w:val="false"/>
          <w:bCs w:val="false"/>
          <w:i w:val="false"/>
          <w:iCs w:val="false"/>
          <w:color w:val="333333"/>
          <w:sz w:val="17"/>
          <w:szCs w:val="17"/>
        </w:rPr>
        <w:t xml:space="preserve">3</w:t>
      </w:r>
    </w:p>
    <w:p>
      <w:pPr>
        <w:spacing w:after="60" w:line="300"/>
      </w:pPr>
      <w:r>
        <w:rPr>
          <w:rFonts w:ascii="Arial" w:cs="Arial" w:eastAsia="Arial" w:hAnsi="Arial"/>
          <w:b/>
          <w:bCs/>
          <w:i w:val="false"/>
          <w:iCs w:val="false"/>
          <w:color w:val="333333"/>
          <w:sz w:val="17"/>
          <w:szCs w:val="17"/>
        </w:rPr>
        <w:t xml:space="preserve">Discharge card, </w:t>
      </w:r>
      <w:r>
        <w:rPr>
          <w:rFonts w:ascii="Arial" w:cs="Arial" w:eastAsia="Arial" w:hAnsi="Arial"/>
          <w:b w:val="false"/>
          <w:bCs w:val="false"/>
          <w:i w:val="false"/>
          <w:iCs w:val="false"/>
          <w:color w:val="333333"/>
          <w:sz w:val="17"/>
          <w:szCs w:val="17"/>
        </w:rPr>
        <w:t xml:space="preserve">Annex B</w:t>
      </w:r>
    </w:p>
    <w:p>
      <w:pPr>
        <w:spacing w:after="60" w:line="300"/>
      </w:pPr>
      <w:r>
        <w:rPr>
          <w:rFonts w:ascii="Arial" w:cs="Arial" w:eastAsia="Arial" w:hAnsi="Arial"/>
          <w:b/>
          <w:bCs/>
          <w:i w:val="false"/>
          <w:iCs w:val="false"/>
          <w:color w:val="333333"/>
          <w:sz w:val="17"/>
          <w:szCs w:val="17"/>
        </w:rPr>
        <w:t xml:space="preserve">Format, </w:t>
      </w:r>
      <w:r>
        <w:rPr>
          <w:rFonts w:ascii="Arial" w:cs="Arial" w:eastAsia="Arial" w:hAnsi="Arial"/>
          <w:b w:val="false"/>
          <w:bCs w:val="false"/>
          <w:i w:val="false"/>
          <w:iCs w:val="false"/>
          <w:color w:val="333333"/>
          <w:sz w:val="17"/>
          <w:szCs w:val="17"/>
        </w:rPr>
        <w:t xml:space="preserve">Foreword</w:t>
      </w:r>
    </w:p>
    <w:p>
      <w:pPr>
        <w:spacing w:after="60" w:line="300"/>
      </w:pPr>
      <w:r>
        <w:rPr>
          <w:rFonts w:ascii="Arial" w:cs="Arial" w:eastAsia="Arial" w:hAnsi="Arial"/>
          <w:b/>
          <w:bCs/>
          <w:i w:val="false"/>
          <w:iCs w:val="false"/>
          <w:color w:val="333333"/>
          <w:sz w:val="17"/>
          <w:szCs w:val="17"/>
        </w:rPr>
        <w:t xml:space="preserve">Presenters, </w:t>
      </w:r>
      <w:r>
        <w:rPr>
          <w:rFonts w:ascii="Arial" w:cs="Arial" w:eastAsia="Arial" w:hAnsi="Arial"/>
          <w:b w:val="false"/>
          <w:bCs w:val="false"/>
          <w:i w:val="false"/>
          <w:iCs w:val="false"/>
          <w:color w:val="333333"/>
          <w:sz w:val="17"/>
          <w:szCs w:val="17"/>
        </w:rPr>
        <w:t xml:space="preserve">2</w:t>
      </w:r>
    </w:p>
    <w:p>
      <w:pPr>
        <w:spacing w:after="60" w:line="300"/>
      </w:pPr>
      <w:r>
        <w:rPr>
          <w:rFonts w:ascii="Arial" w:cs="Arial" w:eastAsia="Arial" w:hAnsi="Arial"/>
          <w:b/>
          <w:bCs/>
          <w:i w:val="false"/>
          <w:iCs w:val="false"/>
          <w:color w:val="333333"/>
          <w:sz w:val="17"/>
          <w:szCs w:val="17"/>
        </w:rPr>
        <w:t xml:space="preserve">Session plan, </w:t>
      </w:r>
      <w:r>
        <w:rPr>
          <w:rFonts w:ascii="Arial" w:cs="Arial" w:eastAsia="Arial" w:hAnsi="Arial"/>
          <w:b w:val="false"/>
          <w:bCs w:val="false"/>
          <w:i w:val="false"/>
          <w:iCs w:val="false"/>
          <w:color w:val="333333"/>
          <w:sz w:val="17"/>
          <w:szCs w:val="17"/>
        </w:rPr>
        <w:t xml:space="preserve">Annex A</w:t>
      </w:r>
    </w:p>
    <w:p>
      <w:pPr>
        <w:spacing w:after="60" w:line="300"/>
      </w:pPr>
      <w:r>
        <w:rPr>
          <w:rFonts w:ascii="Arial" w:cs="Arial" w:eastAsia="Arial" w:hAnsi="Arial"/>
          <w:b/>
          <w:bCs/>
          <w:i w:val="false"/>
          <w:iCs w:val="false"/>
          <w:color w:val="333333"/>
          <w:sz w:val="17"/>
          <w:szCs w:val="17"/>
        </w:rPr>
        <w:t xml:space="preserve">Twelve sessions, </w:t>
      </w:r>
      <w:r>
        <w:rPr>
          <w:rFonts w:ascii="Arial" w:cs="Arial" w:eastAsia="Arial" w:hAnsi="Arial"/>
          <w:b w:val="false"/>
          <w:bCs w:val="false"/>
          <w:i w:val="false"/>
          <w:iCs w:val="false"/>
          <w:color w:val="333333"/>
          <w:sz w:val="17"/>
          <w:szCs w:val="17"/>
        </w:rPr>
        <w:t xml:space="preserve">1</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b w:val="false"/>
        <w:bCs w:val="false"/>
        <w:i w:val="false"/>
        <w:iCs w:val="false"/>
        <w:color w:val="6B778C"/>
        <w:sz w:val="15"/>
        <w:szCs w:val="15"/>
      </w:rPr>
      <w:t xml:space="preserve">© 2026 Accréditation Sans Frontières · Paris · Geneva · Tbilisi · france-asf.fr   ·   Page </w:t>
    </w:r>
    <w:r>
      <w:rPr>
        <w:color w:val="6B778C"/>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E3EE" w:sz="4" w:space="4"/>
      </w:pBdr>
      <w:jc w:val="right"/>
    </w:pPr>
    <w:r>
      <w:rPr>
        <w:rFonts w:ascii="Arial" w:cs="Arial" w:eastAsia="Arial" w:hAnsi="Arial"/>
        <w:b w:val="false"/>
        <w:bCs w:val="false"/>
        <w:i/>
        <w:iCs/>
        <w:color w:val="6B778C"/>
        <w:sz w:val="15"/>
        <w:szCs w:val="15"/>
      </w:rPr>
      <w:t xml:space="preserve">Patient Voice — Patient Education Calendar  ·  ASF-PV-EDU-001-v1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color w:val="C9A227"/>
      </w:rPr>
    </w:lvl>
    <w:lvl w:ilvl="1" w15:tentative="1">
      <w:start w:val="1"/>
      <w:numFmt w:val="bullet"/>
      <w:lvlText w:val="–"/>
      <w:lvlJc w:val="left"/>
      <w:pPr>
        <w:ind w:left="1000" w:hanging="280"/>
      </w:pPr>
    </w:lvl>
  </w:abstractNum>
  <w:abstractNum w:abstractNumId="3" w15:restartNumberingAfterBreak="0">
    <w:multiLevelType w:val="hybridMultilevel"/>
    <w:lvl w:ilvl="0" w15:tentative="1">
      <w:start w:val="1"/>
      <w:numFmt w:val="decimal"/>
      <w:lvlText w:val="%1."/>
      <w:lvlJc w:val="left"/>
      <w:pPr>
        <w:ind w:left="560" w:hanging="360"/>
      </w:pPr>
      <w:rPr>
        <w:b/>
        <w:bCs/>
        <w:color w:val="0E2647"/>
      </w:r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681fd126cdf550e781c9e30e2a67f8bbf2b2a95d.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2026-09-13T02:30:08.863Z</dcterms:created>
  <dcterms:modified xsi:type="dcterms:W3CDTF">2026-09-13T02:30:08.863Z</dcterms:modified>
</cp:coreProperties>
</file>

<file path=docProps/custom.xml><?xml version="1.0" encoding="utf-8"?>
<Properties xmlns="http://schemas.openxmlformats.org/officeDocument/2006/custom-properties" xmlns:vt="http://schemas.openxmlformats.org/officeDocument/2006/docPropsVTypes"/>
</file>