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before="1800"/>
        <w:jc w:val="center"/>
      </w:pPr>
      <w:r>
        <w:drawing>
          <wp:inline distT="0" distB="0" distL="0" distR="0">
            <wp:extent cx="914400" cy="847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914400" cy="847725"/>
                    </a:xfrm>
                    <a:prstGeom prst="rect">
                      <a:avLst/>
                    </a:prstGeom>
                  </pic:spPr>
                </pic:pic>
              </a:graphicData>
            </a:graphic>
          </wp:inline>
        </w:drawing>
      </w:r>
    </w:p>
    <w:p>
      <w:pPr>
        <w:spacing w:after="200" w:before="0" w:line="300"/>
        <w:jc w:val="center"/>
      </w:pPr>
      <w:r>
        <w:rPr>
          <w:rFonts w:ascii="Arial" w:cs="Arial" w:eastAsia="Arial" w:hAnsi="Arial"/>
          <w:b/>
          <w:bCs/>
          <w:i w:val="false"/>
          <w:iCs w:val="false"/>
          <w:color w:val="C9A227"/>
          <w:sz w:val="20"/>
          <w:szCs w:val="20"/>
        </w:rPr>
        <w:t xml:space="preserve">ACCRÉDITATION SANS FRONTIÈRES</w:t>
      </w:r>
    </w:p>
    <w:p>
      <w:pPr>
        <w:spacing w:after="300" w:before="0" w:line="300"/>
        <w:jc w:val="center"/>
      </w:pPr>
      <w:r>
        <w:rPr>
          <w:rFonts w:ascii="Arial" w:cs="Arial" w:eastAsia="Arial" w:hAnsi="Arial"/>
          <w:b w:val="false"/>
          <w:bCs w:val="false"/>
          <w:i w:val="false"/>
          <w:iCs w:val="false"/>
          <w:color w:val="6B778C"/>
          <w:sz w:val="18"/>
          <w:szCs w:val="18"/>
        </w:rPr>
        <w:t xml:space="preserve">Patient Voice Toolkit</w:t>
      </w:r>
    </w:p>
    <w:p>
      <w:pPr>
        <w:spacing w:after="200" w:line="400"/>
        <w:jc w:val="center"/>
      </w:pPr>
      <w:r>
        <w:rPr>
          <w:rFonts w:ascii="Georgia" w:cs="Georgia" w:eastAsia="Georgia" w:hAnsi="Georgia"/>
          <w:b/>
          <w:bCs/>
          <w:i w:val="false"/>
          <w:iCs w:val="false"/>
          <w:color w:val="0E2647"/>
          <w:sz w:val="40"/>
          <w:szCs w:val="40"/>
        </w:rPr>
        <w:t xml:space="preserve">Patient Voice Council — Secretariat Impartiality Undertaking</w:t>
      </w:r>
    </w:p>
    <w:p>
      <w:pPr>
        <w:spacing w:after="600" w:before="0" w:line="300"/>
        <w:jc w:val="center"/>
      </w:pPr>
      <w:r>
        <w:rPr>
          <w:rFonts w:ascii="Arial" w:cs="Arial" w:eastAsia="Arial" w:hAnsi="Arial"/>
          <w:b w:val="false"/>
          <w:bCs w:val="false"/>
          <w:i/>
          <w:iCs/>
          <w:color w:val="6B778C"/>
          <w:sz w:val="21"/>
          <w:szCs w:val="21"/>
        </w:rPr>
        <w:t xml:space="preserve">The written commitment the secretariat gives to each council and each facility: independence, impartiality, informality, confidentiality</w:t>
      </w:r>
    </w:p>
    <w:p>
      <w:pPr>
        <w:spacing w:after="100" w:before="0" w:line="300"/>
        <w:jc w:val="center"/>
      </w:pPr>
      <w:r>
        <w:rPr>
          <w:rFonts w:ascii="Arial" w:cs="Arial" w:eastAsia="Arial" w:hAnsi="Arial"/>
          <w:b/>
          <w:bCs/>
          <w:i w:val="false"/>
          <w:iCs w:val="false"/>
          <w:color w:val="0E2647"/>
          <w:sz w:val="19"/>
          <w:szCs w:val="19"/>
        </w:rPr>
        <w:t xml:space="preserve">Version 1 · 2026</w:t>
      </w:r>
    </w:p>
    <w:p>
      <w:pPr>
        <w:spacing w:after="120" w:before="0" w:line="300"/>
        <w:jc w:val="center"/>
      </w:pPr>
      <w:r>
        <w:rPr>
          <w:rFonts w:ascii="Arial" w:cs="Arial" w:eastAsia="Arial" w:hAnsi="Arial"/>
          <w:b w:val="false"/>
          <w:bCs w:val="false"/>
          <w:i w:val="false"/>
          <w:iCs w:val="false"/>
          <w:color w:val="6B778C"/>
          <w:sz w:val="17"/>
          <w:szCs w:val="17"/>
        </w:rPr>
        <w:t xml:space="preserve">Paris · Geneva · Tbilisi</w:t>
      </w:r>
    </w:p>
    <w:p>
      <w:r>
        <w:br w:type="page"/>
      </w:r>
    </w:p>
    <w:p>
      <w:pPr>
        <w:pStyle w:val="Heading1"/>
        <w:keepNext/>
        <w:spacing w:after="160" w:before="360"/>
      </w:pPr>
      <w:r>
        <w:rPr>
          <w:rFonts w:ascii="Arial" w:cs="Arial" w:eastAsia="Arial" w:hAnsi="Arial"/>
          <w:b/>
          <w:bCs/>
          <w:i w:val="false"/>
          <w:iCs w:val="false"/>
          <w:color w:val="0E2647"/>
          <w:sz w:val="27"/>
          <w:szCs w:val="27"/>
        </w:rPr>
        <w:t xml:space="preserve">Document Control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Document Title</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Patient Voice Council — Secretariat Impartiality Undertaking</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Document Reference</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ASF-PV-SECRETARIAT-001-v1</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Version / Edition</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Version 1</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Status</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Published</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Date of Publication</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13 September 2026</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Place of Publication</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Paris, France</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Issuing Authority</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ASF International Standards Council, Accréditation Sans Frontières</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Language of Origin</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English</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Effective Date</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13 September 2026</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Next Scheduled Review</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13 September 2028</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Supersedes</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None — first edition</w:t>
            </w:r>
          </w:p>
        </w:tc>
      </w:tr>
    </w:tbl>
    <w:p>
      <w:pPr>
        <w:spacing w:after="200"/>
      </w:pPr>
    </w:p>
    <w:p>
      <w:pPr>
        <w:pBdr>
          <w:left w:val="single" w:color="C9A227" w:sz="24" w:space="8"/>
        </w:pBdr>
        <w:shd w:fill="FFF8E7" w:color="auto" w:val="clear"/>
        <w:spacing w:after="200" w:before="120" w:line="290"/>
        <w:ind w:left="120" w:right="120"/>
      </w:pPr>
      <w:r>
        <w:rPr>
          <w:rFonts w:ascii="Arial" w:cs="Arial" w:eastAsia="Arial" w:hAnsi="Arial"/>
          <w:b/>
          <w:bCs/>
          <w:i w:val="false"/>
          <w:iCs w:val="false"/>
          <w:color w:val="5C4A0A"/>
          <w:sz w:val="18"/>
          <w:szCs w:val="18"/>
        </w:rPr>
        <w:t xml:space="preserve">Free to reuse. </w:t>
      </w:r>
      <w:r>
        <w:rPr>
          <w:rFonts w:ascii="Arial" w:cs="Arial" w:eastAsia="Arial" w:hAnsi="Arial"/>
          <w:b w:val="false"/>
          <w:bCs w:val="false"/>
          <w:i w:val="false"/>
          <w:iCs w:val="false"/>
          <w:color w:val="5C4A0A"/>
          <w:sz w:val="18"/>
          <w:szCs w:val="18"/>
        </w:rPr>
        <w:t xml:space="preserve">This document is published in full by Accréditation Sans Frontières and may be adapted by any organization establishing a patient council in its own country, with attribution and a note of what was changed. It forms part of the Patient Voice Toolkit, all of which is available at france-asf.fr/patient-voice.</w:t>
      </w:r>
    </w:p>
    <w:p>
      <w:r>
        <w:br w:type="page"/>
      </w:r>
    </w:p>
    <w:p>
      <w:pPr>
        <w:pStyle w:val="Heading1"/>
        <w:keepNext/>
        <w:spacing w:after="160" w:before="360"/>
      </w:pPr>
      <w:r>
        <w:rPr>
          <w:rFonts w:ascii="Arial" w:cs="Arial" w:eastAsia="Arial" w:hAnsi="Arial"/>
          <w:b/>
          <w:bCs/>
          <w:i w:val="false"/>
          <w:iCs w:val="false"/>
          <w:color w:val="0E2647"/>
          <w:sz w:val="27"/>
          <w:szCs w:val="27"/>
        </w:rPr>
        <w:t xml:space="preserve">Table of Contents</w:t>
      </w:r>
    </w:p>
    <w:p>
      <w:pPr>
        <w:spacing w:after="60" w:before="0" w:line="300"/>
      </w:pPr>
      <w:r>
        <w:rPr>
          <w:rFonts w:ascii="Arial" w:cs="Arial" w:eastAsia="Arial" w:hAnsi="Arial"/>
          <w:b/>
          <w:bCs/>
          <w:i w:val="false"/>
          <w:iCs w:val="false"/>
          <w:color w:val="0E2647"/>
          <w:sz w:val="19"/>
          <w:szCs w:val="19"/>
        </w:rPr>
        <w:t xml:space="preserve">Foreword</w:t>
      </w:r>
    </w:p>
    <w:p>
      <w:pPr>
        <w:spacing w:after="60" w:before="0" w:line="300"/>
      </w:pPr>
      <w:r>
        <w:rPr>
          <w:rFonts w:ascii="Arial" w:cs="Arial" w:eastAsia="Arial" w:hAnsi="Arial"/>
          <w:b w:val="false"/>
          <w:bCs w:val="false"/>
          <w:i w:val="false"/>
          <w:iCs w:val="false"/>
          <w:color w:val="0E2647"/>
          <w:sz w:val="19"/>
          <w:szCs w:val="19"/>
        </w:rPr>
        <w:t xml:space="preserve">1. Undertaking</w:t>
      </w:r>
    </w:p>
    <w:p>
      <w:pPr>
        <w:spacing w:after="60" w:before="0" w:line="300"/>
      </w:pPr>
      <w:r>
        <w:rPr>
          <w:rFonts w:ascii="Arial" w:cs="Arial" w:eastAsia="Arial" w:hAnsi="Arial"/>
          <w:b w:val="false"/>
          <w:bCs w:val="false"/>
          <w:i w:val="false"/>
          <w:iCs w:val="false"/>
          <w:color w:val="0E2647"/>
          <w:sz w:val="19"/>
          <w:szCs w:val="19"/>
        </w:rPr>
        <w:t xml:space="preserve">2. Independence</w:t>
      </w:r>
    </w:p>
    <w:p>
      <w:pPr>
        <w:spacing w:after="60" w:before="0" w:line="300"/>
      </w:pPr>
      <w:r>
        <w:rPr>
          <w:rFonts w:ascii="Arial" w:cs="Arial" w:eastAsia="Arial" w:hAnsi="Arial"/>
          <w:b w:val="false"/>
          <w:bCs w:val="false"/>
          <w:i w:val="false"/>
          <w:iCs w:val="false"/>
          <w:color w:val="0E2647"/>
          <w:sz w:val="19"/>
          <w:szCs w:val="19"/>
        </w:rPr>
        <w:t xml:space="preserve">3. Impartiality</w:t>
      </w:r>
    </w:p>
    <w:p>
      <w:pPr>
        <w:spacing w:after="60" w:before="0" w:line="300"/>
      </w:pPr>
      <w:r>
        <w:rPr>
          <w:rFonts w:ascii="Arial" w:cs="Arial" w:eastAsia="Arial" w:hAnsi="Arial"/>
          <w:b w:val="false"/>
          <w:bCs w:val="false"/>
          <w:i w:val="false"/>
          <w:iCs w:val="false"/>
          <w:color w:val="0E2647"/>
          <w:sz w:val="19"/>
          <w:szCs w:val="19"/>
        </w:rPr>
        <w:t xml:space="preserve">4. Informality</w:t>
      </w:r>
    </w:p>
    <w:p>
      <w:pPr>
        <w:spacing w:after="60" w:before="0" w:line="300"/>
      </w:pPr>
      <w:r>
        <w:rPr>
          <w:rFonts w:ascii="Arial" w:cs="Arial" w:eastAsia="Arial" w:hAnsi="Arial"/>
          <w:b w:val="false"/>
          <w:bCs w:val="false"/>
          <w:i w:val="false"/>
          <w:iCs w:val="false"/>
          <w:color w:val="0E2647"/>
          <w:sz w:val="19"/>
          <w:szCs w:val="19"/>
        </w:rPr>
        <w:t xml:space="preserve">5. Confidentiality</w:t>
      </w:r>
    </w:p>
    <w:p>
      <w:pPr>
        <w:spacing w:after="60" w:before="0" w:line="300"/>
      </w:pPr>
      <w:r>
        <w:rPr>
          <w:rFonts w:ascii="Arial" w:cs="Arial" w:eastAsia="Arial" w:hAnsi="Arial"/>
          <w:b w:val="false"/>
          <w:bCs w:val="false"/>
          <w:i w:val="false"/>
          <w:iCs w:val="false"/>
          <w:color w:val="0E2647"/>
          <w:sz w:val="19"/>
          <w:szCs w:val="19"/>
        </w:rPr>
        <w:t xml:space="preserve">6. Diligence</w:t>
      </w:r>
    </w:p>
    <w:p>
      <w:pPr>
        <w:spacing w:after="60" w:before="0" w:line="300"/>
      </w:pPr>
      <w:r>
        <w:rPr>
          <w:rFonts w:ascii="Arial" w:cs="Arial" w:eastAsia="Arial" w:hAnsi="Arial"/>
          <w:b w:val="false"/>
          <w:bCs w:val="false"/>
          <w:i w:val="false"/>
          <w:iCs w:val="false"/>
          <w:color w:val="0E2647"/>
          <w:sz w:val="19"/>
          <w:szCs w:val="19"/>
        </w:rPr>
        <w:t xml:space="preserve">7. Accountability</w:t>
      </w:r>
    </w:p>
    <w:p>
      <w:pPr>
        <w:spacing w:after="60" w:before="0" w:line="300"/>
      </w:pPr>
      <w:r>
        <w:rPr>
          <w:rFonts w:ascii="Arial" w:cs="Arial" w:eastAsia="Arial" w:hAnsi="Arial"/>
          <w:b w:val="false"/>
          <w:bCs w:val="false"/>
          <w:i w:val="false"/>
          <w:iCs w:val="false"/>
          <w:color w:val="0E2647"/>
          <w:sz w:val="19"/>
          <w:szCs w:val="19"/>
        </w:rPr>
        <w:t xml:space="preserve">Annex A — Completed Example</w:t>
      </w:r>
    </w:p>
    <w:p>
      <w:pPr>
        <w:spacing w:after="60" w:before="0" w:line="300"/>
      </w:pPr>
      <w:r>
        <w:rPr>
          <w:rFonts w:ascii="Arial" w:cs="Arial" w:eastAsia="Arial" w:hAnsi="Arial"/>
          <w:b w:val="false"/>
          <w:bCs w:val="false"/>
          <w:i w:val="false"/>
          <w:iCs w:val="false"/>
          <w:color w:val="0E2647"/>
          <w:sz w:val="19"/>
          <w:szCs w:val="19"/>
        </w:rPr>
        <w:t xml:space="preserve">Annex B — Signature Form</w:t>
      </w:r>
    </w:p>
    <w:p>
      <w:pPr>
        <w:spacing w:after="60" w:before="0" w:line="300"/>
      </w:pPr>
      <w:r>
        <w:rPr>
          <w:rFonts w:ascii="Arial" w:cs="Arial" w:eastAsia="Arial" w:hAnsi="Arial"/>
          <w:b w:val="false"/>
          <w:bCs w:val="false"/>
          <w:i w:val="false"/>
          <w:iCs w:val="false"/>
          <w:color w:val="0E2647"/>
          <w:sz w:val="19"/>
          <w:szCs w:val="19"/>
        </w:rPr>
        <w:t xml:space="preserve">References</w:t>
      </w:r>
    </w:p>
    <w:p>
      <w:pPr>
        <w:spacing w:after="60" w:before="0" w:line="300"/>
      </w:pPr>
      <w:r>
        <w:rPr>
          <w:rFonts w:ascii="Arial" w:cs="Arial" w:eastAsia="Arial" w:hAnsi="Arial"/>
          <w:b w:val="false"/>
          <w:bCs w:val="false"/>
          <w:i w:val="false"/>
          <w:iCs w:val="false"/>
          <w:color w:val="0E2647"/>
          <w:sz w:val="19"/>
          <w:szCs w:val="19"/>
        </w:rPr>
        <w:t xml:space="preserve">Index</w:t>
      </w:r>
    </w:p>
    <w:p>
      <w:r>
        <w:br w:type="page"/>
      </w:r>
    </w:p>
    <w:p>
      <w:pPr>
        <w:pStyle w:val="Heading1"/>
        <w:keepNext/>
        <w:spacing w:after="160" w:before="360"/>
      </w:pPr>
      <w:r>
        <w:rPr>
          <w:rFonts w:ascii="Arial" w:cs="Arial" w:eastAsia="Arial" w:hAnsi="Arial"/>
          <w:b/>
          <w:bCs/>
          <w:i w:val="false"/>
          <w:iCs w:val="false"/>
          <w:color w:val="0E2647"/>
          <w:sz w:val="27"/>
          <w:szCs w:val="27"/>
        </w:rPr>
        <w:t xml:space="preserve">Foreword</w:t>
      </w:r>
    </w:p>
    <w:p>
      <w:pPr>
        <w:spacing w:after="120" w:before="0" w:line="300"/>
      </w:pPr>
      <w:r>
        <w:rPr>
          <w:rFonts w:ascii="Arial" w:cs="Arial" w:eastAsia="Arial" w:hAnsi="Arial"/>
          <w:b w:val="false"/>
          <w:bCs w:val="false"/>
          <w:i w:val="false"/>
          <w:iCs w:val="false"/>
          <w:color w:val="333333"/>
          <w:sz w:val="19"/>
          <w:szCs w:val="19"/>
        </w:rPr>
        <w:t xml:space="preserve">The council works because the person running it is not the hospital and is not the patients. That is a claim, and claims need paper. This undertaking is signed by the secretariat organization and the named secretariat for every council it runs, and a copy is given to every member and to the facility. It draws on the four principles of the International Ombuds Association — independence, impartiality, informality, confidentiality — and on ASF's own Code of Conduct and Independence and Non-Influence Statement.</w:t>
      </w:r>
    </w:p>
    <w:p>
      <w:pPr>
        <w:pBdr>
          <w:left w:val="single" w:color="C9A227" w:sz="24" w:space="8"/>
        </w:pBdr>
        <w:shd w:fill="FFF8E7" w:color="auto" w:val="clear"/>
        <w:spacing w:after="200" w:before="120" w:line="290"/>
        <w:ind w:left="120" w:right="120"/>
      </w:pPr>
      <w:r>
        <w:rPr>
          <w:rFonts w:ascii="Arial" w:cs="Arial" w:eastAsia="Arial" w:hAnsi="Arial"/>
          <w:b/>
          <w:bCs/>
          <w:i w:val="false"/>
          <w:iCs w:val="false"/>
          <w:color w:val="5C4A0A"/>
          <w:sz w:val="18"/>
          <w:szCs w:val="18"/>
        </w:rPr>
        <w:t xml:space="preserve">Where ASF is the secretariat, </w:t>
      </w:r>
      <w:r>
        <w:rPr>
          <w:rFonts w:ascii="Arial" w:cs="Arial" w:eastAsia="Arial" w:hAnsi="Arial"/>
          <w:b w:val="false"/>
          <w:bCs w:val="false"/>
          <w:i w:val="false"/>
          <w:iCs w:val="false"/>
          <w:color w:val="5C4A0A"/>
          <w:sz w:val="18"/>
          <w:szCs w:val="18"/>
        </w:rPr>
        <w:t xml:space="preserve">this undertaking is in addition to, and never weaker than, the ASF Code of Conduct (ASF-CONDUCT-001) and the Independence and Non-Influence Statement (ASF-INDEPENDENCE-001). Where another organization adopts the method, it signs this undertaking as its own.</w:t>
      </w:r>
    </w:p>
    <w:p>
      <w:pPr>
        <w:pStyle w:val="Heading1"/>
        <w:keepNext/>
        <w:spacing w:after="160" w:before="360"/>
      </w:pPr>
      <w:r>
        <w:rPr>
          <w:rFonts w:ascii="Arial" w:cs="Arial" w:eastAsia="Arial" w:hAnsi="Arial"/>
          <w:b/>
          <w:bCs/>
          <w:i w:val="false"/>
          <w:iCs w:val="false"/>
          <w:color w:val="0E2647"/>
          <w:sz w:val="27"/>
          <w:szCs w:val="27"/>
        </w:rPr>
        <w:t xml:space="preserve">1. Undertaking</w:t>
      </w:r>
    </w:p>
    <w:p>
      <w:pPr>
        <w:spacing w:after="120" w:before="0" w:line="300"/>
      </w:pPr>
      <w:r>
        <w:rPr>
          <w:rFonts w:ascii="Arial" w:cs="Arial" w:eastAsia="Arial" w:hAnsi="Arial"/>
          <w:b w:val="false"/>
          <w:bCs w:val="false"/>
          <w:i w:val="false"/>
          <w:iCs w:val="false"/>
          <w:color w:val="333333"/>
          <w:sz w:val="19"/>
          <w:szCs w:val="19"/>
        </w:rPr>
        <w:t xml:space="preserve">The secretariat organization named in Annex B and the named secretariat undertake, to the Patient Voice Council of the facility named in Annex B and to that facility, as follows.</w:t>
      </w:r>
    </w:p>
    <w:p>
      <w:pPr>
        <w:pStyle w:val="Heading1"/>
        <w:keepNext/>
        <w:spacing w:after="160" w:before="360"/>
      </w:pPr>
      <w:r>
        <w:rPr>
          <w:rFonts w:ascii="Arial" w:cs="Arial" w:eastAsia="Arial" w:hAnsi="Arial"/>
          <w:b/>
          <w:bCs/>
          <w:i w:val="false"/>
          <w:iCs w:val="false"/>
          <w:color w:val="0E2647"/>
          <w:sz w:val="27"/>
          <w:szCs w:val="27"/>
        </w:rPr>
        <w:t xml:space="preserve">2. Independence</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We hold no ownership, governance, employment, supplier or financial relationship with the facility, and will declare and step aside if one arises.</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No payment we receive is linked to any outcome of any case, decision or report.</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We are structurally separate from the facility's management: we do not report to it, and it does not direct our work.</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Where the secretariat organization also provides other paid services to the facility (training, advisory, publishing), those services are delivered by different people, and no such service influences the council's report or record.</w:t>
      </w:r>
    </w:p>
    <w:p>
      <w:pPr>
        <w:pStyle w:val="Heading1"/>
        <w:keepNext/>
        <w:spacing w:after="160" w:before="360"/>
      </w:pPr>
      <w:r>
        <w:rPr>
          <w:rFonts w:ascii="Arial" w:cs="Arial" w:eastAsia="Arial" w:hAnsi="Arial"/>
          <w:b/>
          <w:bCs/>
          <w:i w:val="false"/>
          <w:iCs w:val="false"/>
          <w:color w:val="0E2647"/>
          <w:sz w:val="27"/>
          <w:szCs w:val="27"/>
        </w:rPr>
        <w:t xml:space="preserve">3. Impartiality</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We are neither the patient's advocate nor the facility's agent. We take no side.</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Both sides are heard before any response is sent and before any account is recorded as fact.</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A disputed account is recorded as disputed, with both versions. Nothing in the report is removed or softened at the facility's request; facts are checked and the facility's response is added.</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We treat praise and complaint with the same care.</w:t>
      </w:r>
    </w:p>
    <w:p>
      <w:pPr>
        <w:pStyle w:val="Heading1"/>
        <w:keepNext/>
        <w:spacing w:after="160" w:before="360"/>
      </w:pPr>
      <w:r>
        <w:rPr>
          <w:rFonts w:ascii="Arial" w:cs="Arial" w:eastAsia="Arial" w:hAnsi="Arial"/>
          <w:b/>
          <w:bCs/>
          <w:i w:val="false"/>
          <w:iCs w:val="false"/>
          <w:color w:val="0E2647"/>
          <w:sz w:val="27"/>
          <w:szCs w:val="27"/>
        </w:rPr>
        <w:t xml:space="preserve">4. Informality</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The council is not a legal proceeding and we do not conduct one. We mediate and facilitate; we do not adjudicate, award, or discipline.</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We tell patients and the facility plainly when a matter needs a formal route — a regulator, ASF's Complaints Policy, the courts — and we help them find it.</w:t>
      </w:r>
    </w:p>
    <w:p>
      <w:pPr>
        <w:pStyle w:val="Heading1"/>
        <w:keepNext/>
        <w:spacing w:after="160" w:before="360"/>
      </w:pPr>
      <w:r>
        <w:rPr>
          <w:rFonts w:ascii="Arial" w:cs="Arial" w:eastAsia="Arial" w:hAnsi="Arial"/>
          <w:b/>
          <w:bCs/>
          <w:i w:val="false"/>
          <w:iCs w:val="false"/>
          <w:color w:val="0E2647"/>
          <w:sz w:val="27"/>
          <w:szCs w:val="27"/>
        </w:rPr>
        <w:t xml:space="preserve">5. Confidentiality</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We disclose no patient's identity to the facility where anonymity was requested, and we tell the patient plainly where anonymity cannot be preserved because the concern would identify them regardless.</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We publish no individual case. Council records and annual summaries use aggregated, anonymised themes only.</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We hold personal data under the ASF Data Protection Policy and applicable law, and delete case files three years after closure.</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We do not discuss council business outside the council, the facility liaison and the patient concerned.</w:t>
      </w:r>
    </w:p>
    <w:p>
      <w:pPr>
        <w:pStyle w:val="Heading1"/>
        <w:keepNext/>
        <w:spacing w:after="160" w:before="360"/>
      </w:pPr>
      <w:r>
        <w:rPr>
          <w:rFonts w:ascii="Arial" w:cs="Arial" w:eastAsia="Arial" w:hAnsi="Arial"/>
          <w:b/>
          <w:bCs/>
          <w:i w:val="false"/>
          <w:iCs w:val="false"/>
          <w:color w:val="0E2647"/>
          <w:sz w:val="27"/>
          <w:szCs w:val="27"/>
        </w:rPr>
        <w:t xml:space="preserve">6. Diligence</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The monthly report is delivered to the facility on the first working day of the month and to the council 48 hours before the meeting.</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Every patient who raises a concern receives a case number on receipt, an acknowledgement within two working days, and a written answer within five working days of the council meeting.</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Every action in the log is chased until closed and reported at the following meeting.</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A named deputy secretariat covers absence, bound by this undertaking.</w:t>
      </w:r>
    </w:p>
    <w:p>
      <w:pPr>
        <w:pStyle w:val="Heading1"/>
        <w:keepNext/>
        <w:spacing w:after="160" w:before="360"/>
      </w:pPr>
      <w:r>
        <w:rPr>
          <w:rFonts w:ascii="Arial" w:cs="Arial" w:eastAsia="Arial" w:hAnsi="Arial"/>
          <w:b/>
          <w:bCs/>
          <w:i w:val="false"/>
          <w:iCs w:val="false"/>
          <w:color w:val="0E2647"/>
          <w:sz w:val="27"/>
          <w:szCs w:val="27"/>
        </w:rPr>
        <w:t xml:space="preserve">7. Accountability</w:t>
      </w:r>
    </w:p>
    <w:p>
      <w:pPr>
        <w:spacing w:after="120" w:before="0" w:line="300"/>
      </w:pPr>
      <w:r>
        <w:rPr>
          <w:rFonts w:ascii="Arial" w:cs="Arial" w:eastAsia="Arial" w:hAnsi="Arial"/>
          <w:b w:val="false"/>
          <w:bCs w:val="false"/>
          <w:i w:val="false"/>
          <w:iCs w:val="false"/>
          <w:color w:val="333333"/>
          <w:sz w:val="19"/>
          <w:szCs w:val="19"/>
        </w:rPr>
        <w:t xml:space="preserve">A member, a patient or the facility may complain about the secretariat's conduct under the ASF Public Complaints and Feedback Policy (Track 2 — complaints about ASF), which provides for review by someone not involved in the matter. Where the secretariat is not ASF, the adopting organization names an equivalent independent route in Annex B.</w:t>
      </w:r>
    </w:p>
    <w:p>
      <w:r>
        <w:br w:type="page"/>
      </w:r>
    </w:p>
    <w:p>
      <w:pPr>
        <w:pStyle w:val="Heading1"/>
        <w:keepNext/>
        <w:spacing w:after="160" w:before="360"/>
      </w:pPr>
      <w:r>
        <w:rPr>
          <w:rFonts w:ascii="Arial" w:cs="Arial" w:eastAsia="Arial" w:hAnsi="Arial"/>
          <w:b/>
          <w:bCs/>
          <w:i w:val="false"/>
          <w:iCs w:val="false"/>
          <w:color w:val="0E2647"/>
          <w:sz w:val="27"/>
          <w:szCs w:val="27"/>
        </w:rPr>
        <w:t xml:space="preserve">Annex A — Completed Example</w:t>
      </w:r>
    </w:p>
    <w:p>
      <w:pPr>
        <w:spacing w:after="120" w:before="0" w:line="300"/>
      </w:pPr>
      <w:r>
        <w:rPr>
          <w:rFonts w:ascii="Arial" w:cs="Arial" w:eastAsia="Arial" w:hAnsi="Arial"/>
          <w:b w:val="false"/>
          <w:bCs w:val="false"/>
          <w:i/>
          <w:iCs/>
          <w:color w:val="333333"/>
          <w:sz w:val="19"/>
          <w:szCs w:val="19"/>
        </w:rPr>
        <w:t xml:space="preserve">Illustration only.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5626"/>
      </w:tblGrid>
      <w:tr>
        <w:trPr>
          <w:tblHeader w:val="false"/>
        </w:trPr>
        <w:tc>
          <w:tcPr>
            <w:tcW w:type="dxa" w:w="34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Council</w:t>
            </w:r>
          </w:p>
        </w:tc>
        <w:tc>
          <w:tcPr>
            <w:tcW w:type="dxa" w:w="56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Patient Voice Council, Ultra Health Clinic, Tbilisi</w:t>
            </w:r>
          </w:p>
        </w:tc>
      </w:tr>
      <w:tr>
        <w:trPr>
          <w:tblHeader w:val="false"/>
        </w:trPr>
        <w:tc>
          <w:tcPr>
            <w:tcW w:type="dxa" w:w="34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Secretariat organization</w:t>
            </w:r>
          </w:p>
        </w:tc>
        <w:tc>
          <w:tcPr>
            <w:tcW w:type="dxa" w:w="56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Accréditation Sans Frontières, 32 Boulevard de Rochechouart, 75018 Paris — Tbilisi office, 3 Betlemi Rise</w:t>
            </w:r>
          </w:p>
        </w:tc>
      </w:tr>
      <w:tr>
        <w:trPr>
          <w:tblHeader w:val="false"/>
        </w:trPr>
        <w:tc>
          <w:tcPr>
            <w:tcW w:type="dxa" w:w="34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Named secretariat</w:t>
            </w:r>
          </w:p>
        </w:tc>
        <w:tc>
          <w:tcPr>
            <w:tcW w:type="dxa" w:w="56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Ana Beridze, Patient Voice Coordinator</w:t>
            </w:r>
          </w:p>
        </w:tc>
      </w:tr>
      <w:tr>
        <w:trPr>
          <w:tblHeader w:val="false"/>
        </w:trPr>
        <w:tc>
          <w:tcPr>
            <w:tcW w:type="dxa" w:w="34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Deputy</w:t>
            </w:r>
          </w:p>
        </w:tc>
        <w:tc>
          <w:tcPr>
            <w:tcW w:type="dxa" w:w="56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Ioseb Dimitrashvili, Patient Council Coordinator</w:t>
            </w:r>
          </w:p>
        </w:tc>
      </w:tr>
      <w:tr>
        <w:trPr>
          <w:tblHeader w:val="false"/>
        </w:trPr>
        <w:tc>
          <w:tcPr>
            <w:tcW w:type="dxa" w:w="34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Declared relationships with the facility</w:t>
            </w:r>
          </w:p>
        </w:tc>
        <w:tc>
          <w:tcPr>
            <w:tcW w:type="dxa" w:w="56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None. ASF Local Advisory Services are not contracted by this facility.</w:t>
            </w:r>
          </w:p>
        </w:tc>
      </w:tr>
      <w:tr>
        <w:trPr>
          <w:tblHeader w:val="false"/>
        </w:trPr>
        <w:tc>
          <w:tcPr>
            <w:tcW w:type="dxa" w:w="34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Independent complaint route</w:t>
            </w:r>
          </w:p>
        </w:tc>
        <w:tc>
          <w:tcPr>
            <w:tcW w:type="dxa" w:w="56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ASF Public Complaints and Feedback Policy, Track 2 — france-asf.fr/complaints</w:t>
            </w:r>
          </w:p>
        </w:tc>
      </w:tr>
      <w:tr>
        <w:trPr>
          <w:tblHeader w:val="false"/>
        </w:trPr>
        <w:tc>
          <w:tcPr>
            <w:tcW w:type="dxa" w:w="34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Signed</w:t>
            </w:r>
          </w:p>
        </w:tc>
        <w:tc>
          <w:tcPr>
            <w:tcW w:type="dxa" w:w="56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8 April 2026 — for ASF: Dr. Giorgi Pkhakadze, President; named secretariat: A. Beridze</w:t>
            </w:r>
          </w:p>
        </w:tc>
      </w:tr>
    </w:tbl>
    <w:p>
      <w:r>
        <w:br w:type="page"/>
      </w:r>
    </w:p>
    <w:p>
      <w:pPr>
        <w:pStyle w:val="Heading1"/>
        <w:keepNext/>
        <w:spacing w:after="160" w:before="360"/>
      </w:pPr>
      <w:r>
        <w:rPr>
          <w:rFonts w:ascii="Arial" w:cs="Arial" w:eastAsia="Arial" w:hAnsi="Arial"/>
          <w:b/>
          <w:bCs/>
          <w:i w:val="false"/>
          <w:iCs w:val="false"/>
          <w:color w:val="0E2647"/>
          <w:sz w:val="27"/>
          <w:szCs w:val="27"/>
        </w:rPr>
        <w:t xml:space="preserve">Annex B — Signature Form</w:t>
      </w:r>
    </w:p>
    <w:p>
      <w:pPr>
        <w:spacing w:after="160" w:line="320"/>
      </w:pPr>
      <w:r>
        <w:rPr>
          <w:rFonts w:ascii="Arial" w:cs="Arial" w:eastAsia="Arial" w:hAnsi="Arial"/>
          <w:b/>
          <w:bCs/>
          <w:i w:val="false"/>
          <w:iCs w:val="false"/>
          <w:color w:val="333333"/>
          <w:sz w:val="18"/>
          <w:szCs w:val="18"/>
        </w:rPr>
        <w:t xml:space="preserve">Council (facility name, city):  </w:t>
      </w:r>
      <w:r>
        <w:rPr>
          <w:rFonts w:ascii="Arial" w:cs="Arial" w:eastAsia="Arial" w:hAnsi="Arial"/>
          <w:b w:val="false"/>
          <w:bCs w:val="false"/>
          <w:i w:val="false"/>
          <w:iCs w:val="false"/>
          <w:color w:val="6B778C"/>
          <w:sz w:val="19"/>
          <w:szCs w:val="19"/>
        </w:rPr>
        <w:t xml:space="preserve">__________________________________________________</w:t>
      </w:r>
    </w:p>
    <w:p>
      <w:pPr>
        <w:spacing w:after="160" w:line="320"/>
      </w:pPr>
      <w:r>
        <w:rPr>
          <w:rFonts w:ascii="Arial" w:cs="Arial" w:eastAsia="Arial" w:hAnsi="Arial"/>
          <w:b/>
          <w:bCs/>
          <w:i w:val="false"/>
          <w:iCs w:val="false"/>
          <w:color w:val="333333"/>
          <w:sz w:val="18"/>
          <w:szCs w:val="18"/>
        </w:rPr>
        <w:t xml:space="preserve">Secretariat organization and address:  </w:t>
      </w:r>
      <w:r>
        <w:rPr>
          <w:rFonts w:ascii="Arial" w:cs="Arial" w:eastAsia="Arial" w:hAnsi="Arial"/>
          <w:b w:val="false"/>
          <w:bCs w:val="false"/>
          <w:i w:val="false"/>
          <w:iCs w:val="false"/>
          <w:color w:val="6B778C"/>
          <w:sz w:val="19"/>
          <w:szCs w:val="19"/>
        </w:rPr>
        <w:t xml:space="preserve">__________________________________________________</w:t>
      </w:r>
    </w:p>
    <w:p>
      <w:pPr>
        <w:spacing w:after="160" w:line="320"/>
      </w:pPr>
      <w:r>
        <w:rPr>
          <w:rFonts w:ascii="Arial" w:cs="Arial" w:eastAsia="Arial" w:hAnsi="Arial"/>
          <w:b/>
          <w:bCs/>
          <w:i w:val="false"/>
          <w:iCs w:val="false"/>
          <w:color w:val="333333"/>
          <w:sz w:val="18"/>
          <w:szCs w:val="18"/>
        </w:rPr>
        <w:t xml:space="preserve">Named secretariat:  </w:t>
      </w:r>
      <w:r>
        <w:rPr>
          <w:rFonts w:ascii="Arial" w:cs="Arial" w:eastAsia="Arial" w:hAnsi="Arial"/>
          <w:b w:val="false"/>
          <w:bCs w:val="false"/>
          <w:i w:val="false"/>
          <w:iCs w:val="false"/>
          <w:color w:val="6B778C"/>
          <w:sz w:val="19"/>
          <w:szCs w:val="19"/>
        </w:rPr>
        <w:t xml:space="preserve">__________________________________________________</w:t>
      </w:r>
    </w:p>
    <w:p>
      <w:pPr>
        <w:spacing w:after="160" w:line="320"/>
      </w:pPr>
      <w:r>
        <w:rPr>
          <w:rFonts w:ascii="Arial" w:cs="Arial" w:eastAsia="Arial" w:hAnsi="Arial"/>
          <w:b/>
          <w:bCs/>
          <w:i w:val="false"/>
          <w:iCs w:val="false"/>
          <w:color w:val="333333"/>
          <w:sz w:val="18"/>
          <w:szCs w:val="18"/>
        </w:rPr>
        <w:t xml:space="preserve">Deputy:  </w:t>
      </w:r>
      <w:r>
        <w:rPr>
          <w:rFonts w:ascii="Arial" w:cs="Arial" w:eastAsia="Arial" w:hAnsi="Arial"/>
          <w:b w:val="false"/>
          <w:bCs w:val="false"/>
          <w:i w:val="false"/>
          <w:iCs w:val="false"/>
          <w:color w:val="6B778C"/>
          <w:sz w:val="19"/>
          <w:szCs w:val="19"/>
        </w:rPr>
        <w:t xml:space="preserve">__________________________________________________</w:t>
      </w:r>
    </w:p>
    <w:p>
      <w:pPr>
        <w:spacing w:after="160" w:line="320"/>
      </w:pPr>
      <w:r>
        <w:rPr>
          <w:rFonts w:ascii="Arial" w:cs="Arial" w:eastAsia="Arial" w:hAnsi="Arial"/>
          <w:b/>
          <w:bCs/>
          <w:i w:val="false"/>
          <w:iCs w:val="false"/>
          <w:color w:val="333333"/>
          <w:sz w:val="18"/>
          <w:szCs w:val="18"/>
        </w:rPr>
        <w:t xml:space="preserve">Declared relationships with the facility (or "none"):  </w:t>
      </w:r>
      <w:r>
        <w:rPr>
          <w:rFonts w:ascii="Arial" w:cs="Arial" w:eastAsia="Arial" w:hAnsi="Arial"/>
          <w:b w:val="false"/>
          <w:bCs w:val="false"/>
          <w:i w:val="false"/>
          <w:iCs w:val="false"/>
          <w:color w:val="6B778C"/>
          <w:sz w:val="19"/>
          <w:szCs w:val="19"/>
        </w:rPr>
        <w:t xml:space="preserve">__________________________________________________</w:t>
      </w:r>
    </w:p>
    <w:p>
      <w:pPr>
        <w:spacing w:after="160" w:line="320"/>
      </w:pPr>
      <w:r>
        <w:rPr>
          <w:rFonts w:ascii="Arial" w:cs="Arial" w:eastAsia="Arial" w:hAnsi="Arial"/>
          <w:b/>
          <w:bCs/>
          <w:i w:val="false"/>
          <w:iCs w:val="false"/>
          <w:color w:val="333333"/>
          <w:sz w:val="18"/>
          <w:szCs w:val="18"/>
        </w:rPr>
        <w:t xml:space="preserve">Independent complaint route:  </w:t>
      </w:r>
      <w:r>
        <w:rPr>
          <w:rFonts w:ascii="Arial" w:cs="Arial" w:eastAsia="Arial" w:hAnsi="Arial"/>
          <w:b w:val="false"/>
          <w:bCs w:val="false"/>
          <w:i w:val="false"/>
          <w:iCs w:val="false"/>
          <w:color w:val="6B778C"/>
          <w:sz w:val="19"/>
          <w:szCs w:val="19"/>
        </w:rPr>
        <w:t xml:space="preserve">__________________________________________________</w:t>
      </w:r>
    </w:p>
    <w:p>
      <w:pPr>
        <w:spacing w:after="120"/>
      </w:pPr>
    </w:p>
    <w:p>
      <w:pPr>
        <w:spacing w:after="120" w:before="0" w:line="300"/>
      </w:pPr>
      <w:r>
        <w:rPr>
          <w:rFonts w:ascii="Arial" w:cs="Arial" w:eastAsia="Arial" w:hAnsi="Arial"/>
          <w:b/>
          <w:bCs/>
          <w:i w:val="false"/>
          <w:iCs w:val="false"/>
          <w:color w:val="333333"/>
          <w:sz w:val="19"/>
          <w:szCs w:val="19"/>
        </w:rPr>
        <w:t xml:space="preserve">We give this undertaking to the council and to the facility.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tblHeader w:val="false"/>
        </w:trPr>
        <w:tc>
          <w:tcPr>
            <w:tcW w:type="dxa" w:w="4513"/>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300" w:before="0" w:line="300"/>
            </w:pPr>
            <w:r>
              <w:rPr>
                <w:rFonts w:ascii="Arial" w:cs="Arial" w:eastAsia="Arial" w:hAnsi="Arial"/>
                <w:b/>
                <w:bCs/>
                <w:i w:val="false"/>
                <w:iCs w:val="false"/>
                <w:color w:val="333333"/>
                <w:sz w:val="17"/>
                <w:szCs w:val="17"/>
              </w:rPr>
              <w:t xml:space="preserve">Name:</w:t>
            </w:r>
          </w:p>
          <w:p>
            <w:pPr>
              <w:spacing w:after="300" w:before="0" w:line="300"/>
            </w:pPr>
            <w:r>
              <w:rPr>
                <w:rFonts w:ascii="Arial" w:cs="Arial" w:eastAsia="Arial" w:hAnsi="Arial"/>
                <w:b/>
                <w:bCs/>
                <w:i w:val="false"/>
                <w:iCs w:val="false"/>
                <w:color w:val="333333"/>
                <w:sz w:val="17"/>
                <w:szCs w:val="17"/>
              </w:rPr>
              <w:t xml:space="preserve">Signature:</w:t>
            </w:r>
          </w:p>
          <w:p>
            <w:pPr>
              <w:spacing w:after="40" w:before="0" w:line="300"/>
            </w:pPr>
            <w:r>
              <w:rPr>
                <w:rFonts w:ascii="Arial" w:cs="Arial" w:eastAsia="Arial" w:hAnsi="Arial"/>
                <w:b/>
                <w:bCs/>
                <w:i w:val="false"/>
                <w:iCs w:val="false"/>
                <w:color w:val="333333"/>
                <w:sz w:val="17"/>
                <w:szCs w:val="17"/>
              </w:rPr>
              <w:t xml:space="preserve">Date:</w:t>
            </w:r>
          </w:p>
        </w:tc>
        <w:tc>
          <w:tcPr>
            <w:tcW w:type="dxa" w:w="4513"/>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300" w:before="0" w:line="300"/>
            </w:pPr>
            <w:r>
              <w:rPr>
                <w:rFonts w:ascii="Arial" w:cs="Arial" w:eastAsia="Arial" w:hAnsi="Arial"/>
                <w:b/>
                <w:bCs/>
                <w:i w:val="false"/>
                <w:iCs w:val="false"/>
                <w:color w:val="333333"/>
                <w:sz w:val="17"/>
                <w:szCs w:val="17"/>
              </w:rPr>
              <w:t xml:space="preserve">Name:</w:t>
            </w:r>
          </w:p>
          <w:p>
            <w:pPr>
              <w:spacing w:after="300" w:before="0" w:line="300"/>
            </w:pPr>
            <w:r>
              <w:rPr>
                <w:rFonts w:ascii="Arial" w:cs="Arial" w:eastAsia="Arial" w:hAnsi="Arial"/>
                <w:b/>
                <w:bCs/>
                <w:i w:val="false"/>
                <w:iCs w:val="false"/>
                <w:color w:val="333333"/>
                <w:sz w:val="17"/>
                <w:szCs w:val="17"/>
              </w:rPr>
              <w:t xml:space="preserve">Signature:</w:t>
            </w:r>
          </w:p>
          <w:p>
            <w:pPr>
              <w:spacing w:after="40" w:before="0" w:line="300"/>
            </w:pPr>
            <w:r>
              <w:rPr>
                <w:rFonts w:ascii="Arial" w:cs="Arial" w:eastAsia="Arial" w:hAnsi="Arial"/>
                <w:b/>
                <w:bCs/>
                <w:i w:val="false"/>
                <w:iCs w:val="false"/>
                <w:color w:val="333333"/>
                <w:sz w:val="17"/>
                <w:szCs w:val="17"/>
              </w:rPr>
              <w:t xml:space="preserve">Date:</w:t>
            </w:r>
          </w:p>
        </w:tc>
      </w:tr>
    </w:tbl>
    <w:p>
      <w:pPr>
        <w:spacing w:after="120"/>
      </w:pPr>
    </w:p>
    <w:p>
      <w:pPr>
        <w:spacing w:after="120" w:before="0" w:line="300"/>
      </w:pPr>
      <w:r>
        <w:rPr>
          <w:rFonts w:ascii="Arial" w:cs="Arial" w:eastAsia="Arial" w:hAnsi="Arial"/>
          <w:b/>
          <w:bCs/>
          <w:i w:val="false"/>
          <w:iCs w:val="false"/>
          <w:color w:val="333333"/>
          <w:sz w:val="17"/>
          <w:szCs w:val="17"/>
        </w:rPr>
        <w:t xml:space="preserve">Named secretariat</w:t>
      </w:r>
    </w:p>
    <w:p>
      <w:pPr>
        <w:spacing w:after="160" w:line="320"/>
      </w:pPr>
      <w:r>
        <w:rPr>
          <w:rFonts w:ascii="Arial" w:cs="Arial" w:eastAsia="Arial" w:hAnsi="Arial"/>
          <w:b/>
          <w:bCs/>
          <w:i w:val="false"/>
          <w:iCs w:val="false"/>
          <w:color w:val="333333"/>
          <w:sz w:val="18"/>
          <w:szCs w:val="18"/>
        </w:rPr>
        <w:t xml:space="preserve">Name, signature, date:  </w:t>
      </w:r>
      <w:r>
        <w:rPr>
          <w:rFonts w:ascii="Arial" w:cs="Arial" w:eastAsia="Arial" w:hAnsi="Arial"/>
          <w:b w:val="false"/>
          <w:bCs w:val="false"/>
          <w:i w:val="false"/>
          <w:iCs w:val="false"/>
          <w:color w:val="6B778C"/>
          <w:sz w:val="19"/>
          <w:szCs w:val="19"/>
        </w:rPr>
        <w:t xml:space="preserve">__________________________________________________</w:t>
      </w:r>
    </w:p>
    <w:p>
      <w:r>
        <w:br w:type="page"/>
      </w:r>
    </w:p>
    <w:p>
      <w:pPr>
        <w:pStyle w:val="Heading1"/>
        <w:keepNext/>
        <w:spacing w:after="160" w:before="360"/>
      </w:pPr>
      <w:r>
        <w:rPr>
          <w:rFonts w:ascii="Arial" w:cs="Arial" w:eastAsia="Arial" w:hAnsi="Arial"/>
          <w:b/>
          <w:bCs/>
          <w:i w:val="false"/>
          <w:iCs w:val="false"/>
          <w:color w:val="0E2647"/>
          <w:sz w:val="27"/>
          <w:szCs w:val="27"/>
        </w:rPr>
        <w:t xml:space="preserve">References</w:t>
      </w:r>
    </w:p>
    <w:p>
      <w:pPr>
        <w:spacing w:after="80" w:line="300"/>
        <w:ind w:left="400" w:hanging="400"/>
      </w:pPr>
      <w:r>
        <w:rPr>
          <w:rFonts w:ascii="Arial" w:cs="Arial" w:eastAsia="Arial" w:hAnsi="Arial"/>
          <w:b/>
          <w:bCs/>
          <w:i w:val="false"/>
          <w:iCs w:val="false"/>
          <w:color w:val="0E2647"/>
          <w:sz w:val="17"/>
          <w:szCs w:val="17"/>
        </w:rPr>
        <w:t xml:space="preserve">[1] </w:t>
      </w:r>
      <w:r>
        <w:rPr>
          <w:rFonts w:ascii="Arial" w:cs="Arial" w:eastAsia="Arial" w:hAnsi="Arial"/>
          <w:b w:val="false"/>
          <w:bCs w:val="false"/>
          <w:i w:val="false"/>
          <w:iCs w:val="false"/>
          <w:color w:val="333333"/>
          <w:sz w:val="17"/>
          <w:szCs w:val="17"/>
        </w:rPr>
        <w:t xml:space="preserve">International Ombuds Association. Standards of Practice, v. 2022.</w:t>
      </w:r>
    </w:p>
    <w:p>
      <w:pPr>
        <w:spacing w:after="80" w:line="300"/>
        <w:ind w:left="400" w:hanging="400"/>
      </w:pPr>
      <w:r>
        <w:rPr>
          <w:rFonts w:ascii="Arial" w:cs="Arial" w:eastAsia="Arial" w:hAnsi="Arial"/>
          <w:b/>
          <w:bCs/>
          <w:i w:val="false"/>
          <w:iCs w:val="false"/>
          <w:color w:val="0E2647"/>
          <w:sz w:val="17"/>
          <w:szCs w:val="17"/>
        </w:rPr>
        <w:t xml:space="preserve">[2] </w:t>
      </w:r>
      <w:r>
        <w:rPr>
          <w:rFonts w:ascii="Arial" w:cs="Arial" w:eastAsia="Arial" w:hAnsi="Arial"/>
          <w:b w:val="false"/>
          <w:bCs w:val="false"/>
          <w:i w:val="false"/>
          <w:iCs w:val="false"/>
          <w:color w:val="333333"/>
          <w:sz w:val="17"/>
          <w:szCs w:val="17"/>
        </w:rPr>
        <w:t xml:space="preserve">Accréditation Sans Frontières. Code of Conduct, ASF-CONDUCT-001-v2. Paris: ASF; 2026.</w:t>
      </w:r>
    </w:p>
    <w:p>
      <w:pPr>
        <w:spacing w:after="80" w:line="300"/>
        <w:ind w:left="400" w:hanging="400"/>
      </w:pPr>
      <w:r>
        <w:rPr>
          <w:rFonts w:ascii="Arial" w:cs="Arial" w:eastAsia="Arial" w:hAnsi="Arial"/>
          <w:b/>
          <w:bCs/>
          <w:i w:val="false"/>
          <w:iCs w:val="false"/>
          <w:color w:val="0E2647"/>
          <w:sz w:val="17"/>
          <w:szCs w:val="17"/>
        </w:rPr>
        <w:t xml:space="preserve">[3] </w:t>
      </w:r>
      <w:r>
        <w:rPr>
          <w:rFonts w:ascii="Arial" w:cs="Arial" w:eastAsia="Arial" w:hAnsi="Arial"/>
          <w:b w:val="false"/>
          <w:bCs w:val="false"/>
          <w:i w:val="false"/>
          <w:iCs w:val="false"/>
          <w:color w:val="333333"/>
          <w:sz w:val="17"/>
          <w:szCs w:val="17"/>
        </w:rPr>
        <w:t xml:space="preserve">Accréditation Sans Frontières. Independence and Non-Influence Statement, ASF-INDEPENDENCE-001-v2. Paris: ASF; 2026.</w:t>
      </w:r>
    </w:p>
    <w:p>
      <w:pPr>
        <w:spacing w:after="80" w:line="300"/>
        <w:ind w:left="400" w:hanging="400"/>
      </w:pPr>
      <w:r>
        <w:rPr>
          <w:rFonts w:ascii="Arial" w:cs="Arial" w:eastAsia="Arial" w:hAnsi="Arial"/>
          <w:b/>
          <w:bCs/>
          <w:i w:val="false"/>
          <w:iCs w:val="false"/>
          <w:color w:val="0E2647"/>
          <w:sz w:val="17"/>
          <w:szCs w:val="17"/>
        </w:rPr>
        <w:t xml:space="preserve">[4] </w:t>
      </w:r>
      <w:r>
        <w:rPr>
          <w:rFonts w:ascii="Arial" w:cs="Arial" w:eastAsia="Arial" w:hAnsi="Arial"/>
          <w:b w:val="false"/>
          <w:bCs w:val="false"/>
          <w:i w:val="false"/>
          <w:iCs w:val="false"/>
          <w:color w:val="333333"/>
          <w:sz w:val="17"/>
          <w:szCs w:val="17"/>
        </w:rPr>
        <w:t xml:space="preserve">Accréditation Sans Frontières. Advisory Services Policy, ASF-ADVISORY-001-v1. Paris: ASF; 2026.</w:t>
      </w:r>
    </w:p>
    <w:p>
      <w:pPr>
        <w:spacing w:after="80" w:line="300"/>
        <w:ind w:left="400" w:hanging="400"/>
      </w:pPr>
      <w:r>
        <w:rPr>
          <w:rFonts w:ascii="Arial" w:cs="Arial" w:eastAsia="Arial" w:hAnsi="Arial"/>
          <w:b/>
          <w:bCs/>
          <w:i w:val="false"/>
          <w:iCs w:val="false"/>
          <w:color w:val="0E2647"/>
          <w:sz w:val="17"/>
          <w:szCs w:val="17"/>
        </w:rPr>
        <w:t xml:space="preserve">[5] </w:t>
      </w:r>
      <w:r>
        <w:rPr>
          <w:rFonts w:ascii="Arial" w:cs="Arial" w:eastAsia="Arial" w:hAnsi="Arial"/>
          <w:b w:val="false"/>
          <w:bCs w:val="false"/>
          <w:i w:val="false"/>
          <w:iCs w:val="false"/>
          <w:color w:val="333333"/>
          <w:sz w:val="17"/>
          <w:szCs w:val="17"/>
        </w:rPr>
        <w:t xml:space="preserve">Accréditation Sans Frontières. Public Complaints and Feedback Policy, ASF-COMPLAINTS-001-v2. Paris: ASF; 2026.</w:t>
      </w:r>
    </w:p>
    <w:p>
      <w:r>
        <w:br w:type="page"/>
      </w:r>
    </w:p>
    <w:p>
      <w:pPr>
        <w:pStyle w:val="Heading1"/>
        <w:keepNext/>
        <w:spacing w:after="160" w:before="360"/>
      </w:pPr>
      <w:r>
        <w:rPr>
          <w:rFonts w:ascii="Arial" w:cs="Arial" w:eastAsia="Arial" w:hAnsi="Arial"/>
          <w:b/>
          <w:bCs/>
          <w:i w:val="false"/>
          <w:iCs w:val="false"/>
          <w:color w:val="0E2647"/>
          <w:sz w:val="27"/>
          <w:szCs w:val="27"/>
        </w:rPr>
        <w:t xml:space="preserve">Index</w:t>
      </w:r>
    </w:p>
    <w:p>
      <w:pPr>
        <w:spacing w:after="60" w:line="300"/>
      </w:pPr>
      <w:r>
        <w:rPr>
          <w:rFonts w:ascii="Arial" w:cs="Arial" w:eastAsia="Arial" w:hAnsi="Arial"/>
          <w:b/>
          <w:bCs/>
          <w:i w:val="false"/>
          <w:iCs w:val="false"/>
          <w:color w:val="333333"/>
          <w:sz w:val="17"/>
          <w:szCs w:val="17"/>
        </w:rPr>
        <w:t xml:space="preserve">Accountability, </w:t>
      </w:r>
      <w:r>
        <w:rPr>
          <w:rFonts w:ascii="Arial" w:cs="Arial" w:eastAsia="Arial" w:hAnsi="Arial"/>
          <w:b w:val="false"/>
          <w:bCs w:val="false"/>
          <w:i w:val="false"/>
          <w:iCs w:val="false"/>
          <w:color w:val="333333"/>
          <w:sz w:val="17"/>
          <w:szCs w:val="17"/>
        </w:rPr>
        <w:t xml:space="preserve">7</w:t>
      </w:r>
    </w:p>
    <w:p>
      <w:pPr>
        <w:spacing w:after="60" w:line="300"/>
      </w:pPr>
      <w:r>
        <w:rPr>
          <w:rFonts w:ascii="Arial" w:cs="Arial" w:eastAsia="Arial" w:hAnsi="Arial"/>
          <w:b/>
          <w:bCs/>
          <w:i w:val="false"/>
          <w:iCs w:val="false"/>
          <w:color w:val="333333"/>
          <w:sz w:val="17"/>
          <w:szCs w:val="17"/>
        </w:rPr>
        <w:t xml:space="preserve">Anonymity, </w:t>
      </w:r>
      <w:r>
        <w:rPr>
          <w:rFonts w:ascii="Arial" w:cs="Arial" w:eastAsia="Arial" w:hAnsi="Arial"/>
          <w:b w:val="false"/>
          <w:bCs w:val="false"/>
          <w:i w:val="false"/>
          <w:iCs w:val="false"/>
          <w:color w:val="333333"/>
          <w:sz w:val="17"/>
          <w:szCs w:val="17"/>
        </w:rPr>
        <w:t xml:space="preserve">5</w:t>
      </w:r>
    </w:p>
    <w:p>
      <w:pPr>
        <w:spacing w:after="60" w:line="300"/>
      </w:pPr>
      <w:r>
        <w:rPr>
          <w:rFonts w:ascii="Arial" w:cs="Arial" w:eastAsia="Arial" w:hAnsi="Arial"/>
          <w:b/>
          <w:bCs/>
          <w:i w:val="false"/>
          <w:iCs w:val="false"/>
          <w:color w:val="333333"/>
          <w:sz w:val="17"/>
          <w:szCs w:val="17"/>
        </w:rPr>
        <w:t xml:space="preserve">Deputy, </w:t>
      </w:r>
      <w:r>
        <w:rPr>
          <w:rFonts w:ascii="Arial" w:cs="Arial" w:eastAsia="Arial" w:hAnsi="Arial"/>
          <w:b w:val="false"/>
          <w:bCs w:val="false"/>
          <w:i w:val="false"/>
          <w:iCs w:val="false"/>
          <w:color w:val="333333"/>
          <w:sz w:val="17"/>
          <w:szCs w:val="17"/>
        </w:rPr>
        <w:t xml:space="preserve">6</w:t>
      </w:r>
    </w:p>
    <w:p>
      <w:pPr>
        <w:spacing w:after="60" w:line="300"/>
      </w:pPr>
      <w:r>
        <w:rPr>
          <w:rFonts w:ascii="Arial" w:cs="Arial" w:eastAsia="Arial" w:hAnsi="Arial"/>
          <w:b/>
          <w:bCs/>
          <w:i w:val="false"/>
          <w:iCs w:val="false"/>
          <w:color w:val="333333"/>
          <w:sz w:val="17"/>
          <w:szCs w:val="17"/>
        </w:rPr>
        <w:t xml:space="preserve">Disputed accounts, </w:t>
      </w:r>
      <w:r>
        <w:rPr>
          <w:rFonts w:ascii="Arial" w:cs="Arial" w:eastAsia="Arial" w:hAnsi="Arial"/>
          <w:b w:val="false"/>
          <w:bCs w:val="false"/>
          <w:i w:val="false"/>
          <w:iCs w:val="false"/>
          <w:color w:val="333333"/>
          <w:sz w:val="17"/>
          <w:szCs w:val="17"/>
        </w:rPr>
        <w:t xml:space="preserve">3</w:t>
      </w:r>
    </w:p>
    <w:p>
      <w:pPr>
        <w:spacing w:after="60" w:line="300"/>
      </w:pPr>
      <w:r>
        <w:rPr>
          <w:rFonts w:ascii="Arial" w:cs="Arial" w:eastAsia="Arial" w:hAnsi="Arial"/>
          <w:b/>
          <w:bCs/>
          <w:i w:val="false"/>
          <w:iCs w:val="false"/>
          <w:color w:val="333333"/>
          <w:sz w:val="17"/>
          <w:szCs w:val="17"/>
        </w:rPr>
        <w:t xml:space="preserve">Independence, </w:t>
      </w:r>
      <w:r>
        <w:rPr>
          <w:rFonts w:ascii="Arial" w:cs="Arial" w:eastAsia="Arial" w:hAnsi="Arial"/>
          <w:b w:val="false"/>
          <w:bCs w:val="false"/>
          <w:i w:val="false"/>
          <w:iCs w:val="false"/>
          <w:color w:val="333333"/>
          <w:sz w:val="17"/>
          <w:szCs w:val="17"/>
        </w:rPr>
        <w:t xml:space="preserve">2</w:t>
      </w:r>
    </w:p>
    <w:p>
      <w:pPr>
        <w:spacing w:after="60" w:line="300"/>
      </w:pPr>
      <w:r>
        <w:rPr>
          <w:rFonts w:ascii="Arial" w:cs="Arial" w:eastAsia="Arial" w:hAnsi="Arial"/>
          <w:b/>
          <w:bCs/>
          <w:i w:val="false"/>
          <w:iCs w:val="false"/>
          <w:color w:val="333333"/>
          <w:sz w:val="17"/>
          <w:szCs w:val="17"/>
        </w:rPr>
        <w:t xml:space="preserve">Paid services, separation from, </w:t>
      </w:r>
      <w:r>
        <w:rPr>
          <w:rFonts w:ascii="Arial" w:cs="Arial" w:eastAsia="Arial" w:hAnsi="Arial"/>
          <w:b w:val="false"/>
          <w:bCs w:val="false"/>
          <w:i w:val="false"/>
          <w:iCs w:val="false"/>
          <w:color w:val="333333"/>
          <w:sz w:val="17"/>
          <w:szCs w:val="17"/>
        </w:rPr>
        <w:t xml:space="preserve">2</w:t>
      </w:r>
    </w:p>
    <w:p>
      <w:pPr>
        <w:spacing w:after="60" w:line="300"/>
      </w:pPr>
      <w:r>
        <w:rPr>
          <w:rFonts w:ascii="Arial" w:cs="Arial" w:eastAsia="Arial" w:hAnsi="Arial"/>
          <w:b/>
          <w:bCs/>
          <w:i w:val="false"/>
          <w:iCs w:val="false"/>
          <w:color w:val="333333"/>
          <w:sz w:val="17"/>
          <w:szCs w:val="17"/>
        </w:rPr>
        <w:t xml:space="preserve">Timelines, </w:t>
      </w:r>
      <w:r>
        <w:rPr>
          <w:rFonts w:ascii="Arial" w:cs="Arial" w:eastAsia="Arial" w:hAnsi="Arial"/>
          <w:b w:val="false"/>
          <w:bCs w:val="false"/>
          <w:i w:val="false"/>
          <w:iCs w:val="false"/>
          <w:color w:val="333333"/>
          <w:sz w:val="17"/>
          <w:szCs w:val="17"/>
        </w:rPr>
        <w:t xml:space="preserve">6</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b w:val="false"/>
        <w:bCs w:val="false"/>
        <w:i w:val="false"/>
        <w:iCs w:val="false"/>
        <w:color w:val="6B778C"/>
        <w:sz w:val="15"/>
        <w:szCs w:val="15"/>
      </w:rPr>
      <w:t xml:space="preserve">© 2026 Accréditation Sans Frontières · Paris · Geneva · Tbilisi · france-asf.fr   ·   Page </w:t>
    </w:r>
    <w:r>
      <w:rPr>
        <w:color w:val="6B778C"/>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CE3EE" w:sz="4" w:space="4"/>
      </w:pBdr>
      <w:jc w:val="right"/>
    </w:pPr>
    <w:r>
      <w:rPr>
        <w:rFonts w:ascii="Arial" w:cs="Arial" w:eastAsia="Arial" w:hAnsi="Arial"/>
        <w:b w:val="false"/>
        <w:bCs w:val="false"/>
        <w:i/>
        <w:iCs/>
        <w:color w:val="6B778C"/>
        <w:sz w:val="15"/>
        <w:szCs w:val="15"/>
      </w:rPr>
      <w:t xml:space="preserve">Patient Voice Council — Secretariat Impartiality Undertaking  ·  ASF-PV-SECRETARIAT-001-v1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rPr>
        <w:color w:val="C9A227"/>
      </w:rPr>
    </w:lvl>
    <w:lvl w:ilvl="1" w15:tentative="1">
      <w:start w:val="1"/>
      <w:numFmt w:val="bullet"/>
      <w:lvlText w:val="–"/>
      <w:lvlJc w:val="left"/>
      <w:pPr>
        <w:ind w:left="1000" w:hanging="280"/>
      </w:pPr>
    </w:lvl>
  </w:abstractNum>
  <w:abstractNum w:abstractNumId="3" w15:restartNumberingAfterBreak="0">
    <w:multiLevelType w:val="hybridMultilevel"/>
    <w:lvl w:ilvl="0" w15:tentative="1">
      <w:start w:val="1"/>
      <w:numFmt w:val="decimal"/>
      <w:lvlText w:val="%1."/>
      <w:lvlJc w:val="left"/>
      <w:pPr>
        <w:ind w:left="560" w:hanging="360"/>
      </w:pPr>
      <w:rPr>
        <w:b/>
        <w:bCs/>
        <w:color w:val="0E2647"/>
      </w:r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681fd126cdf550e781c9e30e2a67f8bbf2b2a95d.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2026-09-13T02:30:08.298Z</dcterms:created>
  <dcterms:modified xsi:type="dcterms:W3CDTF">2026-09-13T02:30:08.314Z</dcterms:modified>
</cp:coreProperties>
</file>

<file path=docProps/custom.xml><?xml version="1.0" encoding="utf-8"?>
<Properties xmlns="http://schemas.openxmlformats.org/officeDocument/2006/custom-properties" xmlns:vt="http://schemas.openxmlformats.org/officeDocument/2006/docPropsVTypes"/>
</file>