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15189 READY</w:t>
      </w:r>
    </w:p>
    <w:p>
      <w:pPr>
        <w:spacing w:after="20" w:before="0" w:line="276"/>
        <w:jc w:val="center"/>
      </w:pPr>
      <w:r>
        <w:rPr>
          <w:rFonts w:ascii="Times New Roman" w:cs="Times New Roman" w:eastAsia="Times New Roman" w:hAnsi="Times New Roman"/>
          <w:b/>
          <w:bCs/>
          <w:color w:val="0E2647"/>
          <w:sz w:val="30"/>
          <w:szCs w:val="30"/>
        </w:rPr>
        <w:t xml:space="preserve">Critical Results Management</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LAB-SOP-19-EN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Critical Results Management</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Critical Values List · 5. Communication Procedure · 6. Escalation · 7. Monitoring · 8. Distribution of Responsibilities · 9.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that any result indicating an immediate risk to a patient's life or health reaches a clinician who can act on it, within a defined time, with confirmed and documented receipt — bypassing the routine reporting queue.</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examinations performed or referred by the laboratory, for all requesting locations (inpatient, outpatient, external), at all hours the laboratory operates.</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Critical result — a result on the laboratory's critical values list (Section 4), or any result that in the judgement of the reporting scientist or pathologist requires immediate clinical action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Responsible clinician — the requester, or if unavailable, the clinician currently responsible for the patient, or the on-call clinician for that service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Confirmed receipt — the recipient has stated their name and role and has read the result back to the caller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Unreachable — no responsible clinician has been reached after the escalation steps in Section 6</w:t>
      </w:r>
    </w:p>
    <w:p>
      <w:pPr>
        <w:pStyle w:val="Heading2"/>
        <w:spacing w:after="100" w:before="280"/>
      </w:pPr>
      <w:r>
        <w:rPr>
          <w:rFonts w:ascii="Times New Roman" w:cs="Times New Roman" w:eastAsia="Times New Roman" w:hAnsi="Times New Roman"/>
          <w:b/>
          <w:bCs/>
          <w:color w:val="0E2647"/>
          <w:sz w:val="24"/>
          <w:szCs w:val="24"/>
        </w:rPr>
        <w:t xml:space="preserve">4. Critical Values List</w:t>
      </w:r>
    </w:p>
    <w:p>
      <w:pPr>
        <w:spacing w:after="120" w:before="0" w:line="276"/>
      </w:pPr>
      <w:r>
        <w:rPr>
          <w:rFonts w:ascii="Times New Roman" w:cs="Times New Roman" w:eastAsia="Times New Roman" w:hAnsi="Times New Roman"/>
          <w:color w:val="1A1A1A"/>
          <w:sz w:val="19"/>
          <w:szCs w:val="19"/>
        </w:rPr>
        <w:t xml:space="preserve">The list is agreed annually between the Laboratory Director and the clinical leads, records the threshold for each analyte in each population (adult, paediatric, neonatal), and is posted in every reporting area and on the laboratory information system. Representative entries: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2400"/>
        <w:gridCol w:w="3506"/>
      </w:tblGrid>
      <w:tr>
        <w:trPr>
          <w:tblHeader/>
        </w:trPr>
        <w:tc>
          <w:tcPr>
            <w:tcW w:type="dxa" w:w="2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Analyte</w:t>
            </w:r>
          </w:p>
        </w:tc>
        <w:tc>
          <w:tcPr>
            <w:tcW w:type="dxa" w:w="20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Low</w:t>
            </w:r>
          </w:p>
        </w:tc>
        <w:tc>
          <w:tcPr>
            <w:tcW w:type="dxa" w:w="24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High</w:t>
            </w:r>
          </w:p>
        </w:tc>
        <w:tc>
          <w:tcPr>
            <w:tcW w:type="dxa" w:w="35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Notes</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Potassium</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&lt; 2.8 mmol/L</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6.2 mmol/L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All patients</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Sodium</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&lt; 120 mmol/L</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160 mmol/L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Glucose</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&lt; 2.5 mmol/L</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25 mmol/L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Neonates: &lt; 1.7 low</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Calcium (total)</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&lt; 1.6 mmol/L</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3.2 mmol/L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Haemoglobin</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&lt; 70 g/L</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200 g/L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Neonates: &lt; 100 low</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Platelets</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&lt; 30 × 10⁹/L</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1000 × 10⁹/L</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INR</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&gt; 5.0</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Or any INR &gt; 4.0 with bleeding reported</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Troponin</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Above the 99th percentile</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First positive for the episode</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Blood culture</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Any positive</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Gram stain result phoned; identification follows</w:t>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CSF</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Any positive Gram stain or culture</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Malaria</w:t>
            </w:r>
          </w:p>
        </w:tc>
        <w:tc>
          <w:tcPr>
            <w:tcW w:type="dxa" w:w="20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Any positive</w:t>
            </w:r>
          </w:p>
        </w:tc>
        <w:tc>
          <w:tcPr>
            <w:tcW w:type="dxa" w:w="3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Parasitaemia reported</w:t>
            </w:r>
          </w:p>
        </w:tc>
      </w:tr>
    </w:tbl>
    <w:p>
      <w:pPr>
        <w:pStyle w:val="Heading2"/>
        <w:spacing w:after="100" w:before="280"/>
      </w:pPr>
      <w:r>
        <w:rPr>
          <w:rFonts w:ascii="Times New Roman" w:cs="Times New Roman" w:eastAsia="Times New Roman" w:hAnsi="Times New Roman"/>
          <w:b/>
          <w:bCs/>
          <w:color w:val="0E2647"/>
          <w:sz w:val="24"/>
          <w:szCs w:val="24"/>
        </w:rPr>
        <w:t xml:space="preserve">5. Communication Procedure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scientist who identifies a critical result verifies it first: checks specimen integrity, repeats the examination if the method requires it, confirms IQC for the run was acceptable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scientist phones the responsible clinician immediately — target within 30 minutes of the result being available — using the contact details on the request or the ward's direct line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caller states: their name, the laboratory, the patient's full name and second identifier, the examination, the result with units, and asks the recipient to read the result back</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caller records on LAB-SOP-19-F01: date, time of result, time of call, recipient name and role, read-back confirmed, and any comment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result is released on the laboratory information system with the annotation 'Critical result phoned to [name] at [time]'</w:t>
      </w:r>
    </w:p>
    <w:p>
      <w:pPr>
        <w:pStyle w:val="Heading2"/>
        <w:spacing w:after="100" w:before="280"/>
      </w:pPr>
      <w:r>
        <w:rPr>
          <w:rFonts w:ascii="Times New Roman" w:cs="Times New Roman" w:eastAsia="Times New Roman" w:hAnsi="Times New Roman"/>
          <w:b/>
          <w:bCs/>
          <w:color w:val="0E2647"/>
          <w:sz w:val="24"/>
          <w:szCs w:val="24"/>
        </w:rPr>
        <w:t xml:space="preserve">6. Escalation</w:t>
      </w:r>
    </w:p>
    <w:p>
      <w:pPr>
        <w:spacing w:after="120" w:before="0" w:line="276"/>
      </w:pPr>
      <w:r>
        <w:rPr>
          <w:rFonts w:ascii="Times New Roman" w:cs="Times New Roman" w:eastAsia="Times New Roman" w:hAnsi="Times New Roman"/>
          <w:color w:val="1A1A1A"/>
          <w:sz w:val="19"/>
          <w:szCs w:val="19"/>
        </w:rPr>
        <w:t xml:space="preserve">If the responsible clinician is not reached within 10 minutes: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Phone the ward or clinic nurse in charge; a registered nurse may receive the result with read-back and is responsible for informing the clinician; this is recorded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If no one is reached within 20 minutes, phone the on-call clinician for that service via the switchboard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If no one is reached within 30 minutes, inform the Laboratory Director or on-call pathologist, who contacts the hospital's senior clinician on duty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For external requesters unreachable after all steps, the pathologist decides whether the patient should be contacted directly or emergency services informed; the decision and action are recorded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escalation is recorded on LAB-SOP-19-F01 with the times of each step</w:t>
      </w:r>
    </w:p>
    <w:p>
      <w:pPr>
        <w:pStyle w:val="Heading2"/>
        <w:spacing w:after="100" w:before="280"/>
      </w:pPr>
      <w:r>
        <w:rPr>
          <w:rFonts w:ascii="Times New Roman" w:cs="Times New Roman" w:eastAsia="Times New Roman" w:hAnsi="Times New Roman"/>
          <w:b/>
          <w:bCs/>
          <w:color w:val="0E2647"/>
          <w:sz w:val="24"/>
          <w:szCs w:val="24"/>
        </w:rPr>
        <w:t xml:space="preserve">7. Monitoring</w:t>
      </w:r>
    </w:p>
    <w:p>
      <w:pPr>
        <w:spacing w:after="120" w:before="0" w:line="276"/>
      </w:pPr>
      <w:r>
        <w:rPr>
          <w:rFonts w:ascii="Times New Roman" w:cs="Times New Roman" w:eastAsia="Times New Roman" w:hAnsi="Times New Roman"/>
          <w:color w:val="1A1A1A"/>
          <w:sz w:val="19"/>
          <w:szCs w:val="19"/>
        </w:rPr>
        <w:t xml:space="preserve">The Quality Manager reviews LAB-SOP-19-F01 weekly and reports monthly: number of critical results, median time from result to confirmed receipt, proportion within 30 minutes (target 100%), number of escalations, and any result not communicated. Any critical result not communicated within 60 minutes, or any harm arising from delayed communication, is investigated under LAB-PR-05. The critical values list is reviewed annually with the clinical leads.</w:t>
      </w:r>
    </w:p>
    <w:p>
      <w:pPr>
        <w:pStyle w:val="Heading2"/>
        <w:spacing w:after="100" w:before="280"/>
      </w:pPr>
      <w:r>
        <w:rPr>
          <w:rFonts w:ascii="Times New Roman" w:cs="Times New Roman" w:eastAsia="Times New Roman" w:hAnsi="Times New Roman"/>
          <w:b/>
          <w:bCs/>
          <w:color w:val="0E2647"/>
          <w:sz w:val="24"/>
          <w:szCs w:val="24"/>
        </w:rPr>
        <w:t xml:space="preserve">8.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Laboratory 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Reporting Scientist</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Clinical Lead</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Agreeing the critical values list annually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Facilitate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Verifying and phoning each critical result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Escalation when the clinician is unreachable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 step</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Weekly and monthly monitoring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Investigation of delayed communication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Approve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9.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LAB-SOP-19-F01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Critical Result Communication Log</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LAB-SOP-PO-01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Reporting of Results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LAB-SOP-PO-04</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Corrected Reports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LAB-PR-05</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 Procedure</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15189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LAB-SOP-19-EN · Critical Results Management</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2026-09-22T16:22:23.388Z</dcterms:created>
  <dcterms:modified xsi:type="dcterms:W3CDTF">2026-09-22T16:22:23.388Z</dcterms:modified>
</cp:coreProperties>
</file>

<file path=docProps/custom.xml><?xml version="1.0" encoding="utf-8"?>
<Properties xmlns="http://schemas.openxmlformats.org/officeDocument/2006/custom-properties" xmlns:vt="http://schemas.openxmlformats.org/officeDocument/2006/docPropsVTypes"/>
</file>