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15189 READY</w:t>
      </w:r>
    </w:p>
    <w:p>
      <w:pPr>
        <w:spacing w:after="20" w:before="0" w:line="276"/>
        <w:jc w:val="center"/>
      </w:pPr>
      <w:r>
        <w:rPr>
          <w:rFonts w:ascii="Times New Roman" w:cs="Times New Roman" w:eastAsia="Times New Roman" w:hAnsi="Times New Roman"/>
          <w:b/>
          <w:bCs/>
          <w:color w:val="0E2647"/>
          <w:sz w:val="30"/>
          <w:szCs w:val="30"/>
        </w:rPr>
        <w:t xml:space="preserve">Internal Quality Control (IQC)</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LAB-SOP-A-03-EN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Internal Quality Control (IQC)</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Control Materials · 5. Frequency · 6. Evaluation · 7. Records · 8. Distribution of Responsibilities · 9.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detect, before patient results are released, any change in analytical performance that would make results unreliable, by examining control materials of known value alongside patient specimens and evaluating the results against defined rules.</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quantitative, semi-quantitative, and qualitative examinations performed by the laboratory, on every analyser and every method, including point-of-care devices under the laboratory's responsibility.</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Control material — a stable material with known or assigned values, examined in the same way as a patient specimen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Target value and standard deviation — established by the laboratory from at least 20 results over 20 days on a new lot, not taken solely from the manufacturer's insert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Run — the interval between control examinations within which patient results are considered valid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Rejection — a control result that violates a rule and stops release of patient results from that run</w:t>
      </w:r>
    </w:p>
    <w:p>
      <w:pPr>
        <w:pStyle w:val="Heading2"/>
        <w:spacing w:after="100" w:before="280"/>
      </w:pPr>
      <w:r>
        <w:rPr>
          <w:rFonts w:ascii="Times New Roman" w:cs="Times New Roman" w:eastAsia="Times New Roman" w:hAnsi="Times New Roman"/>
          <w:b/>
          <w:bCs/>
          <w:color w:val="0E2647"/>
          <w:sz w:val="24"/>
          <w:szCs w:val="24"/>
        </w:rPr>
        <w:t xml:space="preserve">4. Control Materials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At least two levels of control (near the medical decision points, e.g. normal and pathological) are used for quantitative examinations; three levels where the reportable range is wide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Third-party controls independent of the reagent manufacturer are preferred; where only manufacturer controls exist, this is recorded and justified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Each new lot of control material is run in parallel with the old lot for at least 20 days to establish laboratory-specific target values and standard deviations before use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Control materials are stored, reconstituted, and handled exactly per the manufacturer's instructions; the reconstitution date and expiry are recorded on the vial</w:t>
      </w:r>
    </w:p>
    <w:p>
      <w:pPr>
        <w:pStyle w:val="Heading2"/>
        <w:spacing w:after="100" w:before="280"/>
      </w:pPr>
      <w:r>
        <w:rPr>
          <w:rFonts w:ascii="Times New Roman" w:cs="Times New Roman" w:eastAsia="Times New Roman" w:hAnsi="Times New Roman"/>
          <w:b/>
          <w:bCs/>
          <w:color w:val="0E2647"/>
          <w:sz w:val="24"/>
          <w:szCs w:val="24"/>
        </w:rPr>
        <w:t xml:space="preserve">5. Frequency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0"/>
        <w:gridCol w:w="5906"/>
      </w:tblGrid>
      <w:tr>
        <w:trPr>
          <w:tblHeader/>
        </w:trPr>
        <w:tc>
          <w:tcPr>
            <w:tcW w:type="dxa" w:w="4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Examination type</w:t>
            </w:r>
          </w:p>
        </w:tc>
        <w:tc>
          <w:tcPr>
            <w:tcW w:type="dxa" w:w="59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Minimum IQC frequency</w:t>
            </w:r>
          </w:p>
        </w:tc>
      </w:tr>
      <w:tr>
        <w:tc>
          <w:tcPr>
            <w:tcW w:type="dxa" w:w="4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Continuous analysers (chemistry, haematology)</w:t>
            </w:r>
          </w:p>
        </w:tc>
        <w:tc>
          <w:tcPr>
            <w:tcW w:type="dxa" w:w="5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At the start of each day, and at least every 24 hours or every 200 patients, whichever is sooner; after any calibration, maintenance, or reagent lot change</w:t>
            </w:r>
          </w:p>
        </w:tc>
      </w:tr>
      <w:tr>
        <w:tc>
          <w:tcPr>
            <w:tcW w:type="dxa" w:w="4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Batch examinations (immunoassay, coagulation)</w:t>
            </w:r>
          </w:p>
        </w:tc>
        <w:tc>
          <w:tcPr>
            <w:tcW w:type="dxa" w:w="5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 every batch</w:t>
            </w:r>
          </w:p>
        </w:tc>
      </w:tr>
      <w:tr>
        <w:tc>
          <w:tcPr>
            <w:tcW w:type="dxa" w:w="4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Qualitative examinations (rapid tests, serology)</w:t>
            </w:r>
          </w:p>
        </w:tc>
        <w:tc>
          <w:tcPr>
            <w:tcW w:type="dxa" w:w="5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Positive and negative control with each new lot and each new operator; daily for high-volume tests</w:t>
            </w:r>
          </w:p>
        </w:tc>
      </w:tr>
      <w:tr>
        <w:tc>
          <w:tcPr>
            <w:tcW w:type="dxa" w:w="4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Microbiology media and reagents</w:t>
            </w:r>
          </w:p>
        </w:tc>
        <w:tc>
          <w:tcPr>
            <w:tcW w:type="dxa" w:w="5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Each new lot per LAB-SOP-M-02</w:t>
            </w:r>
          </w:p>
        </w:tc>
      </w:tr>
      <w:tr>
        <w:tc>
          <w:tcPr>
            <w:tcW w:type="dxa" w:w="4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Point-of-care devices</w:t>
            </w:r>
          </w:p>
        </w:tc>
        <w:tc>
          <w:tcPr>
            <w:tcW w:type="dxa" w:w="5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Daily on days of use, per LAB-SOP-POC-01</w:t>
            </w:r>
          </w:p>
        </w:tc>
      </w:tr>
    </w:tbl>
    <w:p>
      <w:pPr>
        <w:pStyle w:val="Heading2"/>
        <w:spacing w:after="100" w:before="280"/>
      </w:pPr>
      <w:r>
        <w:rPr>
          <w:rFonts w:ascii="Times New Roman" w:cs="Times New Roman" w:eastAsia="Times New Roman" w:hAnsi="Times New Roman"/>
          <w:b/>
          <w:bCs/>
          <w:color w:val="0E2647"/>
          <w:sz w:val="24"/>
          <w:szCs w:val="24"/>
        </w:rPr>
        <w:t xml:space="preserve">6. Evaluation</w:t>
      </w:r>
    </w:p>
    <w:p>
      <w:pPr>
        <w:spacing w:after="120" w:before="0" w:line="276"/>
      </w:pPr>
      <w:r>
        <w:rPr>
          <w:rFonts w:ascii="Times New Roman" w:cs="Times New Roman" w:eastAsia="Times New Roman" w:hAnsi="Times New Roman"/>
          <w:color w:val="1A1A1A"/>
          <w:sz w:val="19"/>
          <w:szCs w:val="19"/>
        </w:rPr>
        <w:t xml:space="preserve">Control results are plotted on Levey-Jennings charts and evaluated against the rules in LAB-SOP-QC-01 before any patient result from the run is released.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control result within limits and with no rule violation: the run is accepted and patient results are released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rule violation: the run is rejected; patient results from that run are held; the cause is investigated and corrected; controls are repeated; only when controls are in limits are patient results examined again and released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Patient results already released since the last acceptable control are reviewed; if the failure could have affected them, the clinician is informed and results are re-examined or annotated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No patient result is released with a failed control on the grounds that the patient result 'looks reasonable'</w:t>
      </w:r>
    </w:p>
    <w:p>
      <w:pPr>
        <w:pStyle w:val="Heading2"/>
        <w:spacing w:after="100" w:before="280"/>
      </w:pPr>
      <w:r>
        <w:rPr>
          <w:rFonts w:ascii="Times New Roman" w:cs="Times New Roman" w:eastAsia="Times New Roman" w:hAnsi="Times New Roman"/>
          <w:b/>
          <w:bCs/>
          <w:color w:val="0E2647"/>
          <w:sz w:val="24"/>
          <w:szCs w:val="24"/>
        </w:rPr>
        <w:t xml:space="preserve">7. Records</w:t>
      </w:r>
    </w:p>
    <w:p>
      <w:pPr>
        <w:spacing w:after="120" w:before="0" w:line="276"/>
      </w:pPr>
      <w:r>
        <w:rPr>
          <w:rFonts w:ascii="Times New Roman" w:cs="Times New Roman" w:eastAsia="Times New Roman" w:hAnsi="Times New Roman"/>
          <w:color w:val="1A1A1A"/>
          <w:sz w:val="19"/>
          <w:szCs w:val="19"/>
        </w:rPr>
        <w:t xml:space="preserve">Every control result is recorded with date, time, analyser, lot, operator, the result, the evaluation (accept/reject), and any action taken. Records are reviewed weekly by the section lead and monthly by the Quality Manager for trends. Charts and records are retained for the period in LAB-PR-03.</w:t>
      </w:r>
    </w:p>
    <w:p>
      <w:pPr>
        <w:pStyle w:val="Heading2"/>
        <w:spacing w:after="100" w:before="280"/>
      </w:pPr>
      <w:r>
        <w:rPr>
          <w:rFonts w:ascii="Times New Roman" w:cs="Times New Roman" w:eastAsia="Times New Roman" w:hAnsi="Times New Roman"/>
          <w:b/>
          <w:bCs/>
          <w:color w:val="0E2647"/>
          <w:sz w:val="24"/>
          <w:szCs w:val="24"/>
        </w:rPr>
        <w:t xml:space="preserve">8.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2235"/>
        <w:gridCol w:w="2235"/>
        <w:gridCol w:w="2235"/>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2235"/>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2235"/>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Section Lead</w:t>
            </w:r>
          </w:p>
        </w:tc>
        <w:tc>
          <w:tcPr>
            <w:tcW w:type="dxa" w:w="2235"/>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Laboratory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Establishing target values for new lots</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Approve</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Running controls at the defined frequency</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Evaluating controls before releasing results</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Investigating and correcting rule violations</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Weekly and monthly review of IQC records</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Monthly</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Weekly</w:t>
            </w:r>
          </w:p>
        </w:tc>
        <w:tc>
          <w:tcPr>
            <w:tcW w:type="dxa" w:w="2235"/>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9.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LAB-SOP-QC-01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QC Rules (Westgard/Trend) and Actions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LAB-SOP-A-03-F01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IQC Record</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LAB-SOP-A-04</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External Quality Assessment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LAB-SOP-POC-01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Point-of-Care Testing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LAB-PR-03</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Control of Records</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15189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LAB-SOP-A-03-EN · Internal Quality Control (IQC)</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2026-09-22T16:22:23.261Z</dcterms:created>
  <dcterms:modified xsi:type="dcterms:W3CDTF">2026-09-22T16:22:23.261Z</dcterms:modified>
</cp:coreProperties>
</file>

<file path=docProps/custom.xml><?xml version="1.0" encoding="utf-8"?>
<Properties xmlns="http://schemas.openxmlformats.org/officeDocument/2006/custom-properties" xmlns:vt="http://schemas.openxmlformats.org/officeDocument/2006/docPropsVTypes"/>
</file>