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15189 READY</w:t>
      </w:r>
    </w:p>
    <w:p>
      <w:pPr>
        <w:spacing w:after="20" w:before="0" w:line="276"/>
        <w:jc w:val="center"/>
      </w:pPr>
      <w:r>
        <w:rPr>
          <w:rFonts w:ascii="Times New Roman" w:cs="Times New Roman" w:eastAsia="Times New Roman" w:hAnsi="Times New Roman"/>
          <w:b/>
          <w:bCs/>
          <w:color w:val="0E2647"/>
          <w:sz w:val="30"/>
          <w:szCs w:val="30"/>
        </w:rPr>
        <w:t xml:space="preserve">Specimen Labeling and Identification</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LAB-SOP-PA-03-EN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Specimen Labeling and Identification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Labelling at Collection · 5. Reception and Verification · 6. Irreplaceable Specimens · 7. Identity Through the Process · 8. Monitoring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every specimen is unambiguously linked to the correct patient from the moment of collection until the result is reported, so that no patient receives a result belonging to someone else.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specimens collected by, or received into, the laboratory: blood, urine, tissue, swabs, fluids, and any other material, whether collected by laboratory staff, ward staff, external collectors, or the patient.</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Primary identifiers — full name and date of birth, or full name and unique patient number; both must match</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Labelling at the point of collection — the label is applied to the container in the presence of the patient, immediately after collection, before leaving the patient's side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Unlabelled or mislabelled specimen — any container without two matching identifiers, with identifiers that do not match the request, or with a label applied after leaving the patient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Irreplaceable specimen — a specimen that cannot be recollected without significant harm or delay (CSF, tissue, bone marrow, specimens taken before treatment started)</w:t>
      </w:r>
    </w:p>
    <w:p>
      <w:pPr>
        <w:pStyle w:val="Heading2"/>
        <w:spacing w:after="100" w:before="280"/>
      </w:pPr>
      <w:r>
        <w:rPr>
          <w:rFonts w:ascii="Times New Roman" w:cs="Times New Roman" w:eastAsia="Times New Roman" w:hAnsi="Times New Roman"/>
          <w:b/>
          <w:bCs/>
          <w:color w:val="0E2647"/>
          <w:sz w:val="24"/>
          <w:szCs w:val="24"/>
        </w:rPr>
        <w:t xml:space="preserve">4. Labelling at Collection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Before collection, the collector asks the patient to state their full name and date of birth (open question — never 'Are you Mr X?'), and checks both against the request form and the wristband where present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Pre-printed labels are carried for one patient only; labels for other patients are never brought to the bedside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Immediately after collection, in the patient's presence, the collector applies the label to each container, checks the two identifiers against the patient, and adds the date, time, and collector's initials by hand if not pre-printed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Labels are placed so the patient identifiers, the barcode, and the specimen level are all visible; the label does not cover the graduation or the cap</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For a patient who cannot state their identity (unconscious, cognitively impaired, infant), a second person confirms identity from the wristband, and both are recorded on the request form</w:t>
      </w:r>
    </w:p>
    <w:p>
      <w:pPr>
        <w:pStyle w:val="Heading2"/>
        <w:spacing w:after="100" w:before="280"/>
      </w:pPr>
      <w:r>
        <w:rPr>
          <w:rFonts w:ascii="Times New Roman" w:cs="Times New Roman" w:eastAsia="Times New Roman" w:hAnsi="Times New Roman"/>
          <w:b/>
          <w:bCs/>
          <w:color w:val="0E2647"/>
          <w:sz w:val="24"/>
          <w:szCs w:val="24"/>
        </w:rPr>
        <w:t xml:space="preserve">5. Reception and Verification</w:t>
      </w:r>
    </w:p>
    <w:p>
      <w:pPr>
        <w:spacing w:after="120" w:before="0" w:line="276"/>
      </w:pPr>
      <w:r>
        <w:rPr>
          <w:rFonts w:ascii="Times New Roman" w:cs="Times New Roman" w:eastAsia="Times New Roman" w:hAnsi="Times New Roman"/>
          <w:color w:val="1A1A1A"/>
          <w:sz w:val="19"/>
          <w:szCs w:val="19"/>
        </w:rPr>
        <w:t xml:space="preserve">On arrival in the laboratory, reception staff check every specimen against its request before it is accepted: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000"/>
        <w:gridCol w:w="4906"/>
      </w:tblGrid>
      <w:tr>
        <w:trPr>
          <w:tblHeader/>
        </w:trPr>
        <w:tc>
          <w:tcPr>
            <w:tcW w:type="dxa" w:w="5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Check</w:t>
            </w:r>
          </w:p>
        </w:tc>
        <w:tc>
          <w:tcPr>
            <w:tcW w:type="dxa" w:w="49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Action if fails</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Two identifiers on the container</w:t>
            </w:r>
          </w:p>
        </w:tc>
        <w:tc>
          <w:tcPr>
            <w:tcW w:type="dxa" w:w="4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Reject (or hold if irreplaceable — see Section 6)</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Identifiers match the request form</w:t>
            </w:r>
          </w:p>
        </w:tc>
        <w:tc>
          <w:tcPr>
            <w:tcW w:type="dxa" w:w="4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Reject — do not 'correct' the label</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Date and time of collection present</w:t>
            </w:r>
          </w:p>
        </w:tc>
        <w:tc>
          <w:tcPr>
            <w:tcW w:type="dxa" w:w="4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Query the collector; do not process until known</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Container type and volume suitable for the examination</w:t>
            </w:r>
          </w:p>
        </w:tc>
        <w:tc>
          <w:tcPr>
            <w:tcW w:type="dxa" w:w="4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Reject and request recollection</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Specimen integrity (haemolysis, clotting, leakage)</w:t>
            </w:r>
          </w:p>
        </w:tc>
        <w:tc>
          <w:tcPr>
            <w:tcW w:type="dxa" w:w="49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Reject per LAB-SOP-PA-05</w:t>
            </w:r>
          </w:p>
        </w:tc>
      </w:tr>
    </w:tbl>
    <w:p>
      <w:pPr>
        <w:spacing w:after="120" w:before="0" w:line="276"/>
      </w:pPr>
      <w:r>
        <w:rPr>
          <w:rFonts w:ascii="Times New Roman" w:cs="Times New Roman" w:eastAsia="Times New Roman" w:hAnsi="Times New Roman"/>
          <w:color w:val="1A1A1A"/>
          <w:sz w:val="19"/>
          <w:szCs w:val="19"/>
        </w:rPr>
        <w:t xml:space="preserve">Rejection is recorded on LAB-SOP-PA-03-F01 with the reason, the requester is notified by phone within 30 minutes, and recollection is requested. Rejected specimens are retained for 48 hours in case of query.</w:t>
      </w:r>
    </w:p>
    <w:p>
      <w:pPr>
        <w:pStyle w:val="Heading2"/>
        <w:spacing w:after="100" w:before="280"/>
      </w:pPr>
      <w:r>
        <w:rPr>
          <w:rFonts w:ascii="Times New Roman" w:cs="Times New Roman" w:eastAsia="Times New Roman" w:hAnsi="Times New Roman"/>
          <w:b/>
          <w:bCs/>
          <w:color w:val="0E2647"/>
          <w:sz w:val="24"/>
          <w:szCs w:val="24"/>
        </w:rPr>
        <w:t xml:space="preserve">6. Irreplaceable Specimens</w:t>
      </w:r>
    </w:p>
    <w:p>
      <w:pPr>
        <w:spacing w:after="120" w:before="0" w:line="276"/>
      </w:pPr>
      <w:r>
        <w:rPr>
          <w:rFonts w:ascii="Times New Roman" w:cs="Times New Roman" w:eastAsia="Times New Roman" w:hAnsi="Times New Roman"/>
          <w:color w:val="1A1A1A"/>
          <w:sz w:val="19"/>
          <w:szCs w:val="19"/>
        </w:rPr>
        <w:t xml:space="preserve">An irreplaceable specimen with a labelling deficiency is not automatically rejected. The laboratory contacts the collector; if the collector can attend the laboratory, positively identify the specimen, and sign a declaration of identity (LAB-SOP-PA-03-F02) within 2 hours, the specimen is processed and the report carries the comment: 'Specimen identification confirmed by collector declaration.' The event is recorded as a nonconformity. If identity cannot be confirmed, the specimen is not processed and the clinician is informed of the reason.</w:t>
      </w:r>
    </w:p>
    <w:p>
      <w:pPr>
        <w:pStyle w:val="Heading2"/>
        <w:spacing w:after="100" w:before="280"/>
      </w:pPr>
      <w:r>
        <w:rPr>
          <w:rFonts w:ascii="Times New Roman" w:cs="Times New Roman" w:eastAsia="Times New Roman" w:hAnsi="Times New Roman"/>
          <w:b/>
          <w:bCs/>
          <w:color w:val="0E2647"/>
          <w:sz w:val="24"/>
          <w:szCs w:val="24"/>
        </w:rPr>
        <w:t xml:space="preserve">7. Identity Through the Process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Aliquots and derived samples carry the same two identifiers as the primary container, transferred by barcode where available or by a second person checking the handwritten label</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Analyser worklists are built from barcode scans, not manual entry; where manual entry is unavoidable, a second person verifies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Results are matched to the request by accession number and released only when the patient identifiers on the result match those on the request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Any discrepancy discovered at any stage stops the process for that specimen until it is resolved and documented</w:t>
      </w:r>
    </w:p>
    <w:p>
      <w:pPr>
        <w:pStyle w:val="Heading2"/>
        <w:spacing w:after="100" w:before="280"/>
      </w:pPr>
      <w:r>
        <w:rPr>
          <w:rFonts w:ascii="Times New Roman" w:cs="Times New Roman" w:eastAsia="Times New Roman" w:hAnsi="Times New Roman"/>
          <w:b/>
          <w:bCs/>
          <w:color w:val="0E2647"/>
          <w:sz w:val="24"/>
          <w:szCs w:val="24"/>
        </w:rPr>
        <w:t xml:space="preserve">8. Monitoring</w:t>
      </w:r>
    </w:p>
    <w:p>
      <w:pPr>
        <w:spacing w:after="120" w:before="0" w:line="276"/>
      </w:pPr>
      <w:r>
        <w:rPr>
          <w:rFonts w:ascii="Times New Roman" w:cs="Times New Roman" w:eastAsia="Times New Roman" w:hAnsi="Times New Roman"/>
          <w:color w:val="1A1A1A"/>
          <w:sz w:val="19"/>
          <w:szCs w:val="19"/>
        </w:rPr>
        <w:t xml:space="preserve">The specimen rejection rate for identification errors is calculated monthly by requesting location and reported to those locations. A rate above 0.5%, or any wrong-patient result reaching a clinician, triggers a review under LAB-PR-05. Reception staff and phlebotomists are observed against this SOP at least annually.</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Reception Staff</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Collector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Laboratory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Labelling at the point of collection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Verification at reception and rejection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Irreplaceable specimen declaration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Approve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Notify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Maintaining identity through processing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rejection rate reporting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Provide data</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LAB-SOP-PA-03-F01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Specimen Rejection Log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LAB-SOP-PA-03-F02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Declaration of Specimen Identity</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LAB-SOP-PA-05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Specimen Acceptance and Rejection Criteria</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 Procedure</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15189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LAB-SOP-PA-03-EN · Specimen Labeling and Identification</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2026-09-22T16:22:23.191Z</dcterms:created>
  <dcterms:modified xsi:type="dcterms:W3CDTF">2026-09-22T16:22:23.191Z</dcterms:modified>
</cp:coreProperties>
</file>

<file path=docProps/custom.xml><?xml version="1.0" encoding="utf-8"?>
<Properties xmlns="http://schemas.openxmlformats.org/officeDocument/2006/custom-properties" xmlns:vt="http://schemas.openxmlformats.org/officeDocument/2006/docPropsVTypes"/>
</file>