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  <w:jc w:val="center"/>
      </w:pPr>
      <w:r>
        <w:drawing>
          <wp:inline distT="0" distB="0" distL="0" distR="0">
            <wp:extent cx="342900" cy="3238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4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color w:val="C9A227"/>
          <w:sz w:val="15"/>
          <w:szCs w:val="15"/>
        </w:rPr>
        <w:t xml:space="preserve">ACCRÉDITATION SANS FRONTIÈRES · ISO 9001 READY</w:t>
      </w:r>
    </w:p>
    <w:p>
      <w:pPr>
        <w:spacing w:after="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color w:val="0E2647"/>
          <w:sz w:val="30"/>
          <w:szCs w:val="30"/>
        </w:rPr>
        <w:t xml:space="preserve">Document Control</w:t>
      </w:r>
    </w:p>
    <w:p>
      <w:pPr>
        <w:spacing w:after="240" w:before="0" w:line="276"/>
        <w:jc w:val="center"/>
      </w:pPr>
      <w:r>
        <w:rPr>
          <w:rFonts w:ascii="Times New Roman" w:cs="Times New Roman" w:eastAsia="Times New Roman" w:hAnsi="Times New Roman"/>
          <w:i/>
          <w:iCs/>
          <w:color w:val="6B778C"/>
          <w:sz w:val="20"/>
          <w:szCs w:val="20"/>
        </w:rPr>
        <w:t xml:space="preserve">Standard Operating Procedure / Policy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906"/>
      </w:tblGrid>
      <w:tr>
        <w:tc>
          <w:tcPr>
            <w:tcW w:type="dxa" w:w="9906"/>
            <w:tcBorders>
              <w:top w:val="single" w:color="C9A227" w:sz="6"/>
              <w:left w:val="single" w:color="C9A227" w:sz="6"/>
              <w:bottom w:val="single" w:color="C9A227" w:sz="6"/>
              <w:right w:val="single" w:color="C9A227" w:sz="6"/>
            </w:tcBorders>
            <w:shd w:fill="FFF8E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5C4A0A"/>
                <w:sz w:val="19"/>
                <w:szCs w:val="19"/>
              </w:rPr>
              <w:t xml:space="preserve">Approved by</w:t>
            </w:r>
          </w:p>
          <w:p>
            <w:pPr>
              <w:spacing w:after="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8"/>
                <w:szCs w:val="18"/>
              </w:rPr>
              <w:t xml:space="preserve">Director, [ORGANIZATION NAME]</w:t>
            </w:r>
          </w:p>
          <w:p>
            <w:pPr>
              <w:spacing w:after="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8"/>
                <w:szCs w:val="18"/>
              </w:rPr>
              <w:t xml:space="preserve">[DIRECTOR NAME] ______________________</w:t>
            </w:r>
          </w:p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8"/>
                <w:szCs w:val="18"/>
              </w:rPr>
              <w:t xml:space="preserve">Date: __________</w:t>
            </w:r>
          </w:p>
        </w:tc>
      </w:tr>
    </w:tbl>
    <w:p>
      <w:pPr>
        <w:spacing w:after="200" w:before="0" w:line="276"/>
      </w:pPr>
      <w:r>
        <w:rPr>
          <w:rFonts w:ascii="Times New Roman" w:cs="Times New Roman" w:eastAsia="Times New Roman" w:hAnsi="Times New Roman"/>
          <w:color w:val="1A1A1A"/>
          <w:sz w:val="20"/>
          <w:szCs w:val="20"/>
        </w:rPr>
        <w:t xml:space="preserve"/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7106"/>
      </w:tblGrid>
      <w:tr>
        <w:tc>
          <w:tcPr>
            <w:tcW w:type="dxa" w:w="28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shd w:fill="F2F4F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1A1A1A"/>
                <w:sz w:val="18"/>
                <w:szCs w:val="18"/>
              </w:rPr>
              <w:t xml:space="preserve">Document Code</w:t>
            </w:r>
          </w:p>
        </w:tc>
        <w:tc>
          <w:tcPr>
            <w:tcW w:type="dxa" w:w="71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8"/>
                <w:szCs w:val="18"/>
              </w:rPr>
              <w:t xml:space="preserve">AES-GOV-04-EN</w:t>
            </w:r>
          </w:p>
        </w:tc>
      </w:tr>
      <w:tr>
        <w:tc>
          <w:tcPr>
            <w:tcW w:type="dxa" w:w="28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shd w:fill="F2F4F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1A1A1A"/>
                <w:sz w:val="18"/>
                <w:szCs w:val="18"/>
              </w:rPr>
              <w:t xml:space="preserve">Title</w:t>
            </w:r>
          </w:p>
        </w:tc>
        <w:tc>
          <w:tcPr>
            <w:tcW w:type="dxa" w:w="71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8"/>
                <w:szCs w:val="18"/>
              </w:rPr>
              <w:t xml:space="preserve">Document Control</w:t>
            </w:r>
          </w:p>
        </w:tc>
      </w:tr>
      <w:tr>
        <w:tc>
          <w:tcPr>
            <w:tcW w:type="dxa" w:w="28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shd w:fill="F2F4F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1A1A1A"/>
                <w:sz w:val="18"/>
                <w:szCs w:val="18"/>
              </w:rPr>
              <w:t xml:space="preserve">Edition</w:t>
            </w:r>
          </w:p>
        </w:tc>
        <w:tc>
          <w:tcPr>
            <w:tcW w:type="dxa" w:w="71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8"/>
                <w:szCs w:val="18"/>
              </w:rPr>
              <w:t xml:space="preserve">1st Edition</w:t>
            </w:r>
          </w:p>
        </w:tc>
      </w:tr>
      <w:tr>
        <w:tc>
          <w:tcPr>
            <w:tcW w:type="dxa" w:w="28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shd w:fill="F2F4F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1A1A1A"/>
                <w:sz w:val="18"/>
                <w:szCs w:val="18"/>
              </w:rPr>
              <w:t xml:space="preserve">Copy #</w:t>
            </w:r>
          </w:p>
        </w:tc>
        <w:tc>
          <w:tcPr>
            <w:tcW w:type="dxa" w:w="71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8"/>
                <w:szCs w:val="18"/>
              </w:rPr>
              <w:t xml:space="preserve">___</w:t>
            </w:r>
          </w:p>
        </w:tc>
      </w:tr>
      <w:tr>
        <w:tc>
          <w:tcPr>
            <w:tcW w:type="dxa" w:w="28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shd w:fill="F2F4F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1A1A1A"/>
                <w:sz w:val="18"/>
                <w:szCs w:val="18"/>
              </w:rPr>
              <w:t xml:space="preserve">Effective Date</w:t>
            </w:r>
          </w:p>
        </w:tc>
        <w:tc>
          <w:tcPr>
            <w:tcW w:type="dxa" w:w="71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8"/>
                <w:szCs w:val="18"/>
              </w:rPr>
              <w:t xml:space="preserve">[EFFECTIVE DATE]</w:t>
            </w:r>
          </w:p>
        </w:tc>
      </w:tr>
      <w:tr>
        <w:tc>
          <w:tcPr>
            <w:tcW w:type="dxa" w:w="28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shd w:fill="F2F4F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1A1A1A"/>
                <w:sz w:val="18"/>
                <w:szCs w:val="18"/>
              </w:rPr>
              <w:t xml:space="preserve">Next Review Date</w:t>
            </w:r>
          </w:p>
        </w:tc>
        <w:tc>
          <w:tcPr>
            <w:tcW w:type="dxa" w:w="71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8"/>
                <w:szCs w:val="18"/>
              </w:rPr>
              <w:t xml:space="preserve">[NEXT REVIEW DATE]</w:t>
            </w:r>
          </w:p>
        </w:tc>
      </w:tr>
      <w:tr>
        <w:tc>
          <w:tcPr>
            <w:tcW w:type="dxa" w:w="28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shd w:fill="F2F4F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1A1A1A"/>
                <w:sz w:val="18"/>
                <w:szCs w:val="18"/>
              </w:rPr>
              <w:t xml:space="preserve">Organization</w:t>
            </w:r>
          </w:p>
        </w:tc>
        <w:tc>
          <w:tcPr>
            <w:tcW w:type="dxa" w:w="71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8"/>
                <w:szCs w:val="18"/>
              </w:rPr>
              <w:t xml:space="preserve">[ORGANIZATION NAME], Georgia</w:t>
            </w:r>
          </w:p>
        </w:tc>
      </w:tr>
    </w:tbl>
    <w:p>
      <w:pPr>
        <w:spacing w:after="160" w:before="0" w:line="276"/>
      </w:pPr>
      <w:r>
        <w:rPr>
          <w:rFonts w:ascii="Times New Roman" w:cs="Times New Roman" w:eastAsia="Times New Roman" w:hAnsi="Times New Roman"/>
          <w:color w:val="1A1A1A"/>
          <w:sz w:val="20"/>
          <w:szCs w:val="20"/>
        </w:rPr>
        <w:t xml:space="preserve"/>
      </w:r>
    </w:p>
    <w:p>
      <w:pPr>
        <w:pStyle w:val="Heading2"/>
        <w:spacing w:after="100" w:before="280"/>
      </w:pPr>
      <w:r>
        <w:rPr>
          <w:rFonts w:ascii="Times New Roman" w:cs="Times New Roman" w:eastAsia="Times New Roman" w:hAnsi="Times New Roman"/>
          <w:b/>
          <w:bCs/>
          <w:color w:val="0E2647"/>
          <w:sz w:val="24"/>
          <w:szCs w:val="24"/>
        </w:rPr>
        <w:t xml:space="preserve">Table of Contents</w:t>
      </w:r>
    </w:p>
    <w:p>
      <w:pPr>
        <w:spacing w:after="120" w:before="0" w:line="276"/>
      </w:pPr>
      <w:r>
        <w:rPr>
          <w:rFonts w:ascii="Times New Roman" w:cs="Times New Roman" w:eastAsia="Times New Roman" w:hAnsi="Times New Roman"/>
          <w:color w:val="1A1A1A"/>
          <w:sz w:val="19"/>
          <w:szCs w:val="19"/>
        </w:rPr>
        <w:t xml:space="preserve">1. Purpose · 2. Scope · 3. Definitions · 4. Identification and Coding · 5. Creation and Approval · 6. Distribution · 7. Review · 8. Obsolete Documents · 9. Distribution of Responsibilities · 10. Accompanying Documentation</w:t>
      </w:r>
    </w:p>
    <w:p>
      <w:pPr>
        <w:pStyle w:val="Heading2"/>
        <w:spacing w:after="100" w:before="280"/>
      </w:pPr>
      <w:r>
        <w:rPr>
          <w:rFonts w:ascii="Times New Roman" w:cs="Times New Roman" w:eastAsia="Times New Roman" w:hAnsi="Times New Roman"/>
          <w:b/>
          <w:bCs/>
          <w:color w:val="0E2647"/>
          <w:sz w:val="24"/>
          <w:szCs w:val="24"/>
        </w:rPr>
        <w:t xml:space="preserve">1. Purpose</w:t>
      </w:r>
    </w:p>
    <w:p>
      <w:pPr>
        <w:spacing w:after="120" w:before="0" w:line="276"/>
      </w:pPr>
      <w:r>
        <w:rPr>
          <w:rFonts w:ascii="Times New Roman" w:cs="Times New Roman" w:eastAsia="Times New Roman" w:hAnsi="Times New Roman"/>
          <w:color w:val="1A1A1A"/>
          <w:sz w:val="19"/>
          <w:szCs w:val="19"/>
        </w:rPr>
        <w:t xml:space="preserve">To ensure that every document staff rely on — treatment protocols, consent forms, emergency algorithms, product instructions, screening tools — is the current approved edition, available in every treatment room, and cannot be confused with a superseded version.</w:t>
      </w:r>
    </w:p>
    <w:p>
      <w:pPr>
        <w:pStyle w:val="Heading2"/>
        <w:spacing w:after="100" w:before="280"/>
      </w:pPr>
      <w:r>
        <w:rPr>
          <w:rFonts w:ascii="Times New Roman" w:cs="Times New Roman" w:eastAsia="Times New Roman" w:hAnsi="Times New Roman"/>
          <w:b/>
          <w:bCs/>
          <w:color w:val="0E2647"/>
          <w:sz w:val="24"/>
          <w:szCs w:val="24"/>
        </w:rPr>
        <w:t xml:space="preserve">2. Scope</w:t>
      </w:r>
    </w:p>
    <w:p>
      <w:pPr>
        <w:spacing w:after="120" w:before="0" w:line="276"/>
      </w:pPr>
      <w:r>
        <w:rPr>
          <w:rFonts w:ascii="Times New Roman" w:cs="Times New Roman" w:eastAsia="Times New Roman" w:hAnsi="Times New Roman"/>
          <w:color w:val="1A1A1A"/>
          <w:sz w:val="19"/>
          <w:szCs w:val="19"/>
        </w:rPr>
        <w:t xml:space="preserve">All quality management system documents in paper and electronic form across all clinic sites, including externally originated documents (product IFUs, national aesthetic practice guidance, consensus emergency protocols).</w:t>
      </w:r>
    </w:p>
    <w:p>
      <w:pPr>
        <w:pStyle w:val="Heading2"/>
        <w:spacing w:after="100" w:before="280"/>
      </w:pPr>
      <w:r>
        <w:rPr>
          <w:rFonts w:ascii="Times New Roman" w:cs="Times New Roman" w:eastAsia="Times New Roman" w:hAnsi="Times New Roman"/>
          <w:b/>
          <w:bCs/>
          <w:color w:val="0E2647"/>
          <w:sz w:val="24"/>
          <w:szCs w:val="24"/>
        </w:rPr>
        <w:t xml:space="preserve">3. Definitions</w:t>
      </w:r>
    </w:p>
    <w:p>
      <w:pPr>
        <w:pStyle w:val="ListParagraph"/>
        <w:numPr>
          <w:ilvl w:val="0"/>
          <w:numId w:val="2"/>
        </w:numPr>
        <w:spacing w:after="60" w:before="0" w:line="276"/>
      </w:pPr>
      <w:r>
        <w:rPr>
          <w:rFonts w:ascii="Times New Roman" w:cs="Times New Roman" w:eastAsia="Times New Roman" w:hAnsi="Times New Roman"/>
          <w:color w:val="1A1A1A"/>
          <w:sz w:val="19"/>
          <w:szCs w:val="19"/>
        </w:rPr>
        <w:t xml:space="preserve">Controlled document — identified by code and edition; issue and distribution managed under this SOP</w:t>
      </w:r>
    </w:p>
    <w:p>
      <w:pPr>
        <w:pStyle w:val="ListParagraph"/>
        <w:numPr>
          <w:ilvl w:val="0"/>
          <w:numId w:val="2"/>
        </w:numPr>
        <w:spacing w:after="60" w:before="0" w:line="276"/>
      </w:pPr>
      <w:r>
        <w:rPr>
          <w:rFonts w:ascii="Times New Roman" w:cs="Times New Roman" w:eastAsia="Times New Roman" w:hAnsi="Times New Roman"/>
          <w:color w:val="1A1A1A"/>
          <w:sz w:val="19"/>
          <w:szCs w:val="19"/>
        </w:rPr>
        <w:t xml:space="preserve">Point of use — the treatment room, consultation room, product store, or reception where the task is performed</w:t>
      </w:r>
    </w:p>
    <w:p>
      <w:pPr>
        <w:pStyle w:val="ListParagraph"/>
        <w:numPr>
          <w:ilvl w:val="0"/>
          <w:numId w:val="2"/>
        </w:numPr>
        <w:spacing w:after="60" w:before="0" w:line="276"/>
      </w:pPr>
      <w:r>
        <w:rPr>
          <w:rFonts w:ascii="Times New Roman" w:cs="Times New Roman" w:eastAsia="Times New Roman" w:hAnsi="Times New Roman"/>
          <w:color w:val="1A1A1A"/>
          <w:sz w:val="19"/>
          <w:szCs w:val="19"/>
        </w:rPr>
        <w:t xml:space="preserve">Document owner — the Medical Director for clinical documents; the Clinic Manager for administrative ones</w:t>
      </w:r>
    </w:p>
    <w:p>
      <w:pPr>
        <w:pStyle w:val="Heading2"/>
        <w:spacing w:after="100" w:before="280"/>
      </w:pPr>
      <w:r>
        <w:rPr>
          <w:rFonts w:ascii="Times New Roman" w:cs="Times New Roman" w:eastAsia="Times New Roman" w:hAnsi="Times New Roman"/>
          <w:b/>
          <w:bCs/>
          <w:color w:val="0E2647"/>
          <w:sz w:val="24"/>
          <w:szCs w:val="24"/>
        </w:rPr>
        <w:t xml:space="preserve">4. Identification and Coding</w:t>
      </w:r>
    </w:p>
    <w:p>
      <w:pPr>
        <w:spacing w:after="120" w:before="0" w:line="276"/>
      </w:pPr>
      <w:r>
        <w:rPr>
          <w:rFonts w:ascii="Times New Roman" w:cs="Times New Roman" w:eastAsia="Times New Roman" w:hAnsi="Times New Roman"/>
          <w:color w:val="1A1A1A"/>
          <w:sz w:val="19"/>
          <w:szCs w:val="19"/>
        </w:rPr>
        <w:t xml:space="preserve">Every page shows: clinic name, code, title, edition, effective date, page x of y; page one carries the approval block. Codes: AES-QMS (system), AES-GOV (governance), AES-INJECT (injectables), AES-LASER (energy devices), AES-PSYCH (psychological screening), AES-CONSENT, AES-PROC (procurement), AES-EMERG, AES-HR, AES-REC; forms carry the parent code plus -F01.</w:t>
      </w:r>
    </w:p>
    <w:p>
      <w:pPr>
        <w:pStyle w:val="Heading2"/>
        <w:spacing w:after="100" w:before="280"/>
      </w:pPr>
      <w:r>
        <w:rPr>
          <w:rFonts w:ascii="Times New Roman" w:cs="Times New Roman" w:eastAsia="Times New Roman" w:hAnsi="Times New Roman"/>
          <w:b/>
          <w:bCs/>
          <w:color w:val="0E2647"/>
          <w:sz w:val="24"/>
          <w:szCs w:val="24"/>
        </w:rPr>
        <w:t xml:space="preserve">5. Creation and Approval</w:t>
      </w:r>
    </w:p>
    <w:p>
      <w:pPr>
        <w:pStyle w:val="ListParagraph"/>
        <w:numPr>
          <w:ilvl w:val="0"/>
          <w:numId w:val="2"/>
        </w:numPr>
        <w:spacing w:after="60" w:before="0" w:line="276"/>
      </w:pPr>
      <w:r>
        <w:rPr>
          <w:rFonts w:ascii="Times New Roman" w:cs="Times New Roman" w:eastAsia="Times New Roman" w:hAnsi="Times New Roman"/>
          <w:color w:val="1A1A1A"/>
          <w:sz w:val="19"/>
          <w:szCs w:val="19"/>
        </w:rPr>
        <w:t xml:space="preserve">The owner drafts on the template with the revision history completed; treatment protocols and emergency algorithms are checked against current consensus guidance and cited</w:t>
      </w:r>
    </w:p>
    <w:p>
      <w:pPr>
        <w:pStyle w:val="ListParagraph"/>
        <w:numPr>
          <w:ilvl w:val="0"/>
          <w:numId w:val="2"/>
        </w:numPr>
        <w:spacing w:after="60" w:before="0" w:line="276"/>
      </w:pPr>
      <w:r>
        <w:rPr>
          <w:rFonts w:ascii="Times New Roman" w:cs="Times New Roman" w:eastAsia="Times New Roman" w:hAnsi="Times New Roman"/>
          <w:color w:val="1A1A1A"/>
          <w:sz w:val="19"/>
          <w:szCs w:val="19"/>
        </w:rPr>
        <w:t xml:space="preserve">The Clinic Manager checks coding, consistency, and cross-references</w:t>
      </w:r>
    </w:p>
    <w:p>
      <w:pPr>
        <w:pStyle w:val="ListParagraph"/>
        <w:numPr>
          <w:ilvl w:val="0"/>
          <w:numId w:val="2"/>
        </w:numPr>
        <w:spacing w:after="60" w:before="0" w:line="276"/>
      </w:pPr>
      <w:r>
        <w:rPr>
          <w:rFonts w:ascii="Times New Roman" w:cs="Times New Roman" w:eastAsia="Times New Roman" w:hAnsi="Times New Roman"/>
          <w:color w:val="1A1A1A"/>
          <w:sz w:val="19"/>
          <w:szCs w:val="19"/>
        </w:rPr>
        <w:t xml:space="preserve">The Medical Director approves clinical documents; the Clinic Manager approves administrative forms; by signature and date</w:t>
      </w:r>
    </w:p>
    <w:p>
      <w:pPr>
        <w:pStyle w:val="ListParagraph"/>
        <w:numPr>
          <w:ilvl w:val="0"/>
          <w:numId w:val="2"/>
        </w:numPr>
        <w:spacing w:after="60" w:before="0" w:line="276"/>
      </w:pPr>
      <w:r>
        <w:rPr>
          <w:rFonts w:ascii="Times New Roman" w:cs="Times New Roman" w:eastAsia="Times New Roman" w:hAnsi="Times New Roman"/>
          <w:color w:val="1A1A1A"/>
          <w:sz w:val="19"/>
          <w:szCs w:val="19"/>
        </w:rPr>
        <w:t xml:space="preserve">The Clinic Manager assigns the edition, registers the document in AES-GOV-04-F01, and issues it</w:t>
      </w:r>
    </w:p>
    <w:p>
      <w:pPr>
        <w:pStyle w:val="Heading2"/>
        <w:spacing w:after="100" w:before="280"/>
      </w:pPr>
      <w:r>
        <w:rPr>
          <w:rFonts w:ascii="Times New Roman" w:cs="Times New Roman" w:eastAsia="Times New Roman" w:hAnsi="Times New Roman"/>
          <w:b/>
          <w:bCs/>
          <w:color w:val="0E2647"/>
          <w:sz w:val="24"/>
          <w:szCs w:val="24"/>
        </w:rPr>
        <w:t xml:space="preserve">6. Distribution</w:t>
      </w:r>
    </w:p>
    <w:p>
      <w:pPr>
        <w:pStyle w:val="ListParagraph"/>
        <w:numPr>
          <w:ilvl w:val="0"/>
          <w:numId w:val="2"/>
        </w:numPr>
        <w:spacing w:after="60" w:before="0" w:line="276"/>
      </w:pPr>
      <w:r>
        <w:rPr>
          <w:rFonts w:ascii="Times New Roman" w:cs="Times New Roman" w:eastAsia="Times New Roman" w:hAnsi="Times New Roman"/>
          <w:color w:val="1A1A1A"/>
          <w:sz w:val="19"/>
          <w:szCs w:val="19"/>
        </w:rPr>
        <w:t xml:space="preserve">Master copies are on the clinic system, read-only except to the Clinic Manager</w:t>
      </w:r>
    </w:p>
    <w:p>
      <w:pPr>
        <w:pStyle w:val="ListParagraph"/>
        <w:numPr>
          <w:ilvl w:val="0"/>
          <w:numId w:val="2"/>
        </w:numPr>
        <w:spacing w:after="60" w:before="0" w:line="276"/>
      </w:pPr>
      <w:r>
        <w:rPr>
          <w:rFonts w:ascii="Times New Roman" w:cs="Times New Roman" w:eastAsia="Times New Roman" w:hAnsi="Times New Roman"/>
          <w:color w:val="1A1A1A"/>
          <w:sz w:val="19"/>
          <w:szCs w:val="19"/>
        </w:rPr>
        <w:t xml:space="preserve">Each treatment room holds a numbered controlled folder containing: the vascular occlusion algorithm, the anaphylaxis algorithm, current consent forms, and the screening tool; each folder is listed in the register</w:t>
      </w:r>
    </w:p>
    <w:p>
      <w:pPr>
        <w:pStyle w:val="ListParagraph"/>
        <w:numPr>
          <w:ilvl w:val="0"/>
          <w:numId w:val="2"/>
        </w:numPr>
        <w:spacing w:after="60" w:before="0" w:line="276"/>
      </w:pPr>
      <w:r>
        <w:rPr>
          <w:rFonts w:ascii="Times New Roman" w:cs="Times New Roman" w:eastAsia="Times New Roman" w:hAnsi="Times New Roman"/>
          <w:color w:val="1A1A1A"/>
          <w:sz w:val="19"/>
          <w:szCs w:val="19"/>
        </w:rPr>
        <w:t xml:space="preserve">Uncontrolled printouts carry the automatic footer 'PRINTED COPY — CHECK CURRENT EDITION'</w:t>
      </w:r>
    </w:p>
    <w:p>
      <w:pPr>
        <w:pStyle w:val="ListParagraph"/>
        <w:numPr>
          <w:ilvl w:val="0"/>
          <w:numId w:val="2"/>
        </w:numPr>
        <w:spacing w:after="60" w:before="0" w:line="276"/>
      </w:pPr>
      <w:r>
        <w:rPr>
          <w:rFonts w:ascii="Times New Roman" w:cs="Times New Roman" w:eastAsia="Times New Roman" w:hAnsi="Times New Roman"/>
          <w:color w:val="1A1A1A"/>
          <w:sz w:val="19"/>
          <w:szCs w:val="19"/>
        </w:rPr>
        <w:t xml:space="preserve">On a new edition, the Clinic Manager exchanges every numbered copy within 5 working days and records it; changes to emergency algorithms are briefed to all injectors before the effective date and confirmed by signature</w:t>
      </w:r>
    </w:p>
    <w:p>
      <w:pPr>
        <w:pStyle w:val="Heading2"/>
        <w:spacing w:after="100" w:before="280"/>
      </w:pPr>
      <w:r>
        <w:rPr>
          <w:rFonts w:ascii="Times New Roman" w:cs="Times New Roman" w:eastAsia="Times New Roman" w:hAnsi="Times New Roman"/>
          <w:b/>
          <w:bCs/>
          <w:color w:val="0E2647"/>
          <w:sz w:val="24"/>
          <w:szCs w:val="24"/>
        </w:rPr>
        <w:t xml:space="preserve">7. Review</w:t>
      </w:r>
    </w:p>
    <w:p>
      <w:pPr>
        <w:spacing w:after="120" w:before="0" w:line="276"/>
      </w:pPr>
      <w:r>
        <w:rPr>
          <w:rFonts w:ascii="Times New Roman" w:cs="Times New Roman" w:eastAsia="Times New Roman" w:hAnsi="Times New Roman"/>
          <w:color w:val="1A1A1A"/>
          <w:sz w:val="19"/>
          <w:szCs w:val="19"/>
        </w:rPr>
        <w:t xml:space="preserve">Emergency algorithms and injectable protocols: 12 months, and immediately on publication of new consensus guidance. Consent forms: 12 months, and on any change to product or technique. Other documents: 24 months. Product IFUs are registered in Part B and checked on every new batch received.</w:t>
      </w:r>
    </w:p>
    <w:p>
      <w:pPr>
        <w:pStyle w:val="Heading2"/>
        <w:spacing w:after="100" w:before="280"/>
      </w:pPr>
      <w:r>
        <w:rPr>
          <w:rFonts w:ascii="Times New Roman" w:cs="Times New Roman" w:eastAsia="Times New Roman" w:hAnsi="Times New Roman"/>
          <w:b/>
          <w:bCs/>
          <w:color w:val="0E2647"/>
          <w:sz w:val="24"/>
          <w:szCs w:val="24"/>
        </w:rPr>
        <w:t xml:space="preserve">8. Obsolete Documents</w:t>
      </w:r>
    </w:p>
    <w:p>
      <w:pPr>
        <w:spacing w:after="120" w:before="0" w:line="276"/>
      </w:pPr>
      <w:r>
        <w:rPr>
          <w:rFonts w:ascii="Times New Roman" w:cs="Times New Roman" w:eastAsia="Times New Roman" w:hAnsi="Times New Roman"/>
          <w:color w:val="1A1A1A"/>
          <w:sz w:val="19"/>
          <w:szCs w:val="19"/>
        </w:rPr>
        <w:t xml:space="preserve">One archive copy per superseded edition is stamped OBSOLETE and retained per AES-GOV-05. All others are destroyed. The Clinic Manager audits every treatment room folder monthly; obsolete copies found are removed and recorded as nonconformities under AES-GOV-08.</w:t>
      </w:r>
    </w:p>
    <w:p>
      <w:pPr>
        <w:pStyle w:val="Heading2"/>
        <w:spacing w:after="100" w:before="280"/>
      </w:pPr>
      <w:r>
        <w:rPr>
          <w:rFonts w:ascii="Times New Roman" w:cs="Times New Roman" w:eastAsia="Times New Roman" w:hAnsi="Times New Roman"/>
          <w:b/>
          <w:bCs/>
          <w:color w:val="0E2647"/>
          <w:sz w:val="24"/>
          <w:szCs w:val="24"/>
        </w:rPr>
        <w:t xml:space="preserve">9. Distribution of Responsibilities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1676"/>
        <w:gridCol w:w="1676"/>
        <w:gridCol w:w="1676"/>
        <w:gridCol w:w="1676"/>
      </w:tblGrid>
      <w:tr>
        <w:trPr>
          <w:tblHeader/>
        </w:trPr>
        <w:tc>
          <w:tcPr>
            <w:tcW w:type="dxa" w:w="32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shd w:fill="F2F4F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1A1A1A"/>
                <w:sz w:val="17"/>
                <w:szCs w:val="17"/>
              </w:rPr>
              <w:t xml:space="preserve">Task</w:t>
            </w:r>
          </w:p>
        </w:tc>
        <w:tc>
          <w:tcPr>
            <w:tcW w:type="dxa" w:w="167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shd w:fill="F2F4F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1A1A1A"/>
                <w:sz w:val="17"/>
                <w:szCs w:val="17"/>
              </w:rPr>
              <w:t xml:space="preserve">Medical Director</w:t>
            </w:r>
          </w:p>
        </w:tc>
        <w:tc>
          <w:tcPr>
            <w:tcW w:type="dxa" w:w="167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shd w:fill="F2F4F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1A1A1A"/>
                <w:sz w:val="17"/>
                <w:szCs w:val="17"/>
              </w:rPr>
              <w:t xml:space="preserve">Clinic Manager</w:t>
            </w:r>
          </w:p>
        </w:tc>
        <w:tc>
          <w:tcPr>
            <w:tcW w:type="dxa" w:w="167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shd w:fill="F2F4F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1A1A1A"/>
                <w:sz w:val="17"/>
                <w:szCs w:val="17"/>
              </w:rPr>
              <w:t xml:space="preserve">Document Owner</w:t>
            </w:r>
          </w:p>
        </w:tc>
        <w:tc>
          <w:tcPr>
            <w:tcW w:type="dxa" w:w="167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shd w:fill="F2F4F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1A1A1A"/>
                <w:sz w:val="17"/>
                <w:szCs w:val="17"/>
              </w:rPr>
              <w:t xml:space="preserve">All Staff</w:t>
            </w:r>
          </w:p>
        </w:tc>
      </w:tr>
      <w:tr>
        <w:tc>
          <w:tcPr>
            <w:tcW w:type="dxa" w:w="32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1A1A1A"/>
                <w:sz w:val="17"/>
                <w:szCs w:val="17"/>
              </w:rPr>
              <w:t xml:space="preserve">Approval of clinical documents</w:t>
            </w:r>
          </w:p>
        </w:tc>
        <w:tc>
          <w:tcPr>
            <w:tcW w:type="dxa" w:w="167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Final</w:t>
            </w:r>
          </w:p>
        </w:tc>
        <w:tc>
          <w:tcPr>
            <w:tcW w:type="dxa" w:w="167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/>
            </w:r>
          </w:p>
        </w:tc>
        <w:tc>
          <w:tcPr>
            <w:tcW w:type="dxa" w:w="167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Draft</w:t>
            </w:r>
          </w:p>
        </w:tc>
        <w:tc>
          <w:tcPr>
            <w:tcW w:type="dxa" w:w="167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1A1A1A"/>
                <w:sz w:val="17"/>
                <w:szCs w:val="17"/>
              </w:rPr>
              <w:t xml:space="preserve">Approval of administrative forms</w:t>
            </w:r>
          </w:p>
        </w:tc>
        <w:tc>
          <w:tcPr>
            <w:tcW w:type="dxa" w:w="167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/>
            </w:r>
          </w:p>
        </w:tc>
        <w:tc>
          <w:tcPr>
            <w:tcW w:type="dxa" w:w="167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Final</w:t>
            </w:r>
          </w:p>
        </w:tc>
        <w:tc>
          <w:tcPr>
            <w:tcW w:type="dxa" w:w="167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Draft</w:t>
            </w:r>
          </w:p>
        </w:tc>
        <w:tc>
          <w:tcPr>
            <w:tcW w:type="dxa" w:w="167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1A1A1A"/>
                <w:sz w:val="17"/>
                <w:szCs w:val="17"/>
              </w:rPr>
              <w:t xml:space="preserve">Issue, register, distribution, review</w:t>
            </w:r>
          </w:p>
        </w:tc>
        <w:tc>
          <w:tcPr>
            <w:tcW w:type="dxa" w:w="167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/>
            </w:r>
          </w:p>
        </w:tc>
        <w:tc>
          <w:tcPr>
            <w:tcW w:type="dxa" w:w="167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Responsible</w:t>
            </w:r>
          </w:p>
        </w:tc>
        <w:tc>
          <w:tcPr>
            <w:tcW w:type="dxa" w:w="167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/>
            </w:r>
          </w:p>
        </w:tc>
        <w:tc>
          <w:tcPr>
            <w:tcW w:type="dxa" w:w="167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1A1A1A"/>
                <w:sz w:val="17"/>
                <w:szCs w:val="17"/>
              </w:rPr>
              <w:t xml:space="preserve">Monthly treatment room folder audit</w:t>
            </w:r>
          </w:p>
        </w:tc>
        <w:tc>
          <w:tcPr>
            <w:tcW w:type="dxa" w:w="167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/>
            </w:r>
          </w:p>
        </w:tc>
        <w:tc>
          <w:tcPr>
            <w:tcW w:type="dxa" w:w="167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Responsible</w:t>
            </w:r>
          </w:p>
        </w:tc>
        <w:tc>
          <w:tcPr>
            <w:tcW w:type="dxa" w:w="167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/>
            </w:r>
          </w:p>
        </w:tc>
        <w:tc>
          <w:tcPr>
            <w:tcW w:type="dxa" w:w="167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1A1A1A"/>
                <w:sz w:val="17"/>
                <w:szCs w:val="17"/>
              </w:rPr>
              <w:t xml:space="preserve">Using only current copies</w:t>
            </w:r>
          </w:p>
        </w:tc>
        <w:tc>
          <w:tcPr>
            <w:tcW w:type="dxa" w:w="167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/>
            </w:r>
          </w:p>
        </w:tc>
        <w:tc>
          <w:tcPr>
            <w:tcW w:type="dxa" w:w="167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/>
            </w:r>
          </w:p>
        </w:tc>
        <w:tc>
          <w:tcPr>
            <w:tcW w:type="dxa" w:w="167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/>
            </w:r>
          </w:p>
        </w:tc>
        <w:tc>
          <w:tcPr>
            <w:tcW w:type="dxa" w:w="167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Responsible</w:t>
            </w:r>
          </w:p>
        </w:tc>
      </w:tr>
    </w:tbl>
    <w:p>
      <w:pPr>
        <w:pStyle w:val="Heading2"/>
        <w:spacing w:after="100" w:before="280"/>
      </w:pPr>
      <w:r>
        <w:rPr>
          <w:rFonts w:ascii="Times New Roman" w:cs="Times New Roman" w:eastAsia="Times New Roman" w:hAnsi="Times New Roman"/>
          <w:b/>
          <w:bCs/>
          <w:color w:val="0E2647"/>
          <w:sz w:val="24"/>
          <w:szCs w:val="24"/>
        </w:rPr>
        <w:t xml:space="preserve">10. Accompanying Documentation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7106"/>
      </w:tblGrid>
      <w:tr>
        <w:trPr>
          <w:tblHeader/>
        </w:trPr>
        <w:tc>
          <w:tcPr>
            <w:tcW w:type="dxa" w:w="28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shd w:fill="0E264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FFFFFF"/>
                <w:sz w:val="17"/>
                <w:szCs w:val="17"/>
              </w:rPr>
              <w:t xml:space="preserve">Code</w:t>
            </w:r>
          </w:p>
        </w:tc>
        <w:tc>
          <w:tcPr>
            <w:tcW w:type="dxa" w:w="71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shd w:fill="0E264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FFFFFF"/>
                <w:sz w:val="17"/>
                <w:szCs w:val="17"/>
              </w:rPr>
              <w:t xml:space="preserve">Title</w:t>
            </w:r>
          </w:p>
        </w:tc>
      </w:tr>
      <w:tr>
        <w:tc>
          <w:tcPr>
            <w:tcW w:type="dxa" w:w="28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AES-GOV-04-F01</w:t>
            </w:r>
          </w:p>
        </w:tc>
        <w:tc>
          <w:tcPr>
            <w:tcW w:type="dxa" w:w="71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Document Control Register</w:t>
            </w:r>
          </w:p>
        </w:tc>
      </w:tr>
      <w:tr>
        <w:tc>
          <w:tcPr>
            <w:tcW w:type="dxa" w:w="28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AES-GOV-05</w:t>
            </w:r>
          </w:p>
        </w:tc>
        <w:tc>
          <w:tcPr>
            <w:tcW w:type="dxa" w:w="71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Control of Records</w:t>
            </w:r>
          </w:p>
        </w:tc>
      </w:tr>
      <w:tr>
        <w:tc>
          <w:tcPr>
            <w:tcW w:type="dxa" w:w="28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AES-GOV-08</w:t>
            </w:r>
          </w:p>
        </w:tc>
        <w:tc>
          <w:tcPr>
            <w:tcW w:type="dxa" w:w="71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Nonconformity and Corrective Action</w:t>
            </w:r>
          </w:p>
        </w:tc>
      </w:tr>
    </w:tbl>
    <w:p>
      <w:pPr>
        <w:spacing w:after="240" w:before="0" w:line="276"/>
      </w:pPr>
      <w:r>
        <w:rPr>
          <w:rFonts w:ascii="Times New Roman" w:cs="Times New Roman" w:eastAsia="Times New Roman" w:hAnsi="Times New Roman"/>
          <w:color w:val="1A1A1A"/>
          <w:sz w:val="20"/>
          <w:szCs w:val="20"/>
        </w:rPr>
        <w:t xml:space="preserve"/>
      </w:r>
    </w:p>
    <w:p>
      <w:pPr>
        <w:spacing w:after="120" w:before="0" w:line="276"/>
      </w:pPr>
      <w:r>
        <w:rPr>
          <w:rFonts w:ascii="Times New Roman" w:cs="Times New Roman" w:eastAsia="Times New Roman" w:hAnsi="Times New Roman"/>
          <w:i/>
          <w:iCs/>
          <w:color w:val="6B778C"/>
          <w:sz w:val="15"/>
          <w:szCs w:val="15"/>
        </w:rPr>
        <w:t xml:space="preserve">FREE SAMPLE — This document is a complete, unrestricted sample from the ASF ISO 9001 READY documentation pack, shared so a facility can judge the depth and quality of the full pack before purchase. Replace every [BRACKETED] placeholder with your facility's own details. The full pack contains the complete document set, forms, master index, and clause crosswalk.</w:t>
      </w:r>
    </w:p>
    <w:sectPr>
      <w:headerReference w:type="default" r:id="rId7"/>
      <w:footerReference w:type="default" r:id="rId8"/>
      <w:pgSz w:w="11906" w:h="16838" w:orient="portrait"/>
      <w:pgMar w:top="900" w:right="1000" w:bottom="900" w:left="1000" w:header="400" w:footer="4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CE3EE" w:sz="4" w:space="4"/>
      </w:pBdr>
      <w:tabs>
        <w:tab w:val="right" w:pos="9906"/>
      </w:tabs>
    </w:pPr>
    <w:r>
      <w:rPr>
        <w:rFonts w:ascii="Times New Roman" w:cs="Times New Roman" w:eastAsia="Times New Roman" w:hAnsi="Times New Roman"/>
        <w:color w:val="6B778C"/>
        <w:sz w:val="12"/>
        <w:szCs w:val="12"/>
      </w:rPr>
      <w:t xml:space="preserve">Prepared by: [QUALITY MANAGER NAME] · Approved by: [DIRECTOR NAME]</w:t>
    </w:r>
    <w:r>
      <w:rPr>
        <w:rFonts w:ascii="Times New Roman" w:cs="Times New Roman" w:eastAsia="Times New Roman" w:hAnsi="Times New Roman"/>
        <w:color w:val="6B778C"/>
        <w:sz w:val="12"/>
        <w:szCs w:val="12"/>
      </w:rPr>
      <w:t xml:space="preserve">	Effective: [EFFECTIVE DATE] · Page </w:t>
    </w:r>
    <w:r>
      <w:rPr>
        <w:rFonts w:ascii="Times New Roman" w:cs="Times New Roman" w:eastAsia="Times New Roman" w:hAnsi="Times New Roman"/>
        <w:color w:val="6B778C"/>
        <w:sz w:val="12"/>
        <w:szCs w:val="12"/>
      </w:rPr>
      <w:fldChar w:fldCharType="begin"/>
      <w:instrText xml:space="preserve">PAGE</w:instrText>
      <w:fldChar w:fldCharType="separate"/>
      <w:fldChar w:fldCharType="end"/>
    </w:r>
    <w:r>
      <w:rPr>
        <w:rFonts w:ascii="Times New Roman" w:cs="Times New Roman" w:eastAsia="Times New Roman" w:hAnsi="Times New Roman"/>
        <w:color w:val="6B778C"/>
        <w:sz w:val="12"/>
        <w:szCs w:val="12"/>
      </w:rPr>
      <w:t xml:space="preserve"> of </w:t>
    </w:r>
    <w:r>
      <w:rPr>
        <w:rFonts w:ascii="Times New Roman" w:cs="Times New Roman" w:eastAsia="Times New Roman" w:hAnsi="Times New Roman"/>
        <w:color w:val="6B778C"/>
        <w:sz w:val="12"/>
        <w:szCs w:val="12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CE3EE" w:sz="4" w:space="4"/>
      </w:pBdr>
      <w:tabs>
        <w:tab w:val="right" w:pos="9906"/>
      </w:tabs>
    </w:pPr>
    <w:r>
      <w:drawing>
        <wp:inline distT="0" distB="0" distL="0" distR="0">
          <wp:extent cx="152400" cy="142875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2400" cy="1428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Times New Roman" w:cs="Times New Roman" w:eastAsia="Times New Roman" w:hAnsi="Times New Roman"/>
        <w:b/>
        <w:bCs/>
        <w:color w:val="0E2647"/>
        <w:sz w:val="14"/>
        <w:szCs w:val="14"/>
      </w:rPr>
      <w:t xml:space="preserve">   [ORGANIZATION NAME]</w:t>
    </w:r>
    <w:r>
      <w:rPr>
        <w:rFonts w:ascii="Times New Roman" w:cs="Times New Roman" w:eastAsia="Times New Roman" w:hAnsi="Times New Roman"/>
        <w:color w:val="6B778C"/>
        <w:sz w:val="12"/>
        <w:szCs w:val="12"/>
      </w:rPr>
      <w:t xml:space="preserve">   AES-GOV-04-EN · Document Control</w:t>
    </w:r>
    <w:r>
      <w:rPr>
        <w:rFonts w:ascii="Times New Roman" w:cs="Times New Roman" w:eastAsia="Times New Roman" w:hAnsi="Times New Roman"/>
        <w:color w:val="6B778C"/>
        <w:sz w:val="12"/>
        <w:szCs w:val="12"/>
      </w:rPr>
      <w:t xml:space="preserve">	Edition 1.0 · Approved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681fd126cdf550e781c9e30e2a67f8bbf2b2a95d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681fd126cdf550e781c9e30e2a67f8bbf2b2a95d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2026-09-22T16:30:26.126Z</dcterms:created>
  <dcterms:modified xsi:type="dcterms:W3CDTF">2026-09-22T16:30:26.126Z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