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429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 cy="323850"/>
                    </a:xfrm>
                    <a:prstGeom prst="rect">
                      <a:avLst/>
                    </a:prstGeom>
                  </pic:spPr>
                </pic:pic>
              </a:graphicData>
            </a:graphic>
          </wp:inline>
        </w:drawing>
      </w:r>
    </w:p>
    <w:p>
      <w:pPr>
        <w:spacing w:after="40" w:before="0" w:line="276"/>
        <w:jc w:val="center"/>
      </w:pPr>
      <w:r>
        <w:rPr>
          <w:rFonts w:ascii="Times New Roman" w:cs="Times New Roman" w:eastAsia="Times New Roman" w:hAnsi="Times New Roman"/>
          <w:b/>
          <w:bCs/>
          <w:color w:val="C9A227"/>
          <w:sz w:val="15"/>
          <w:szCs w:val="15"/>
        </w:rPr>
        <w:t xml:space="preserve">ACCRÉDITATION SANS FRONTIÈRES · ISO 9001 READY</w:t>
      </w:r>
    </w:p>
    <w:p>
      <w:pPr>
        <w:spacing w:after="20" w:before="0" w:line="276"/>
        <w:jc w:val="center"/>
      </w:pPr>
      <w:r>
        <w:rPr>
          <w:rFonts w:ascii="Times New Roman" w:cs="Times New Roman" w:eastAsia="Times New Roman" w:hAnsi="Times New Roman"/>
          <w:b/>
          <w:bCs/>
          <w:color w:val="0E2647"/>
          <w:sz w:val="30"/>
          <w:szCs w:val="30"/>
        </w:rPr>
        <w:t xml:space="preserve">Injectable and Filler Safety, Vascular Complication Management</w:t>
      </w:r>
    </w:p>
    <w:p>
      <w:pPr>
        <w:spacing w:after="240" w:before="0" w:line="276"/>
        <w:jc w:val="center"/>
      </w:pPr>
      <w:r>
        <w:rPr>
          <w:rFonts w:ascii="Times New Roman" w:cs="Times New Roman" w:eastAsia="Times New Roman" w:hAnsi="Times New Roman"/>
          <w:i/>
          <w:iCs/>
          <w:color w:val="6B778C"/>
          <w:sz w:val="20"/>
          <w:szCs w:val="20"/>
        </w:rPr>
        <w:t xml:space="preserve">Standard Operating Procedure / Policy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single" w:color="C9A227" w:sz="6"/>
              <w:left w:val="single" w:color="C9A227" w:sz="6"/>
              <w:bottom w:val="single" w:color="C9A227" w:sz="6"/>
              <w:right w:val="single" w:color="C9A227" w:sz="6"/>
            </w:tcBorders>
            <w:shd w:fill="FFF8E7" w:color="auto" w:val="clear"/>
            <w:tcMar>
              <w:top w:type="dxa" w:w="80"/>
              <w:left w:type="dxa" w:w="120"/>
              <w:bottom w:type="dxa" w:w="80"/>
              <w:right w:type="dxa" w:w="120"/>
            </w:tcMar>
            <w:vAlign w:val="center"/>
          </w:tcPr>
          <w:p>
            <w:pPr>
              <w:spacing w:after="40" w:before="0" w:line="276"/>
            </w:pPr>
            <w:r>
              <w:rPr>
                <w:rFonts w:ascii="Times New Roman" w:cs="Times New Roman" w:eastAsia="Times New Roman" w:hAnsi="Times New Roman"/>
                <w:b/>
                <w:bCs/>
                <w:color w:val="5C4A0A"/>
                <w:sz w:val="19"/>
                <w:szCs w:val="19"/>
              </w:rPr>
              <w:t xml:space="preserve">Approved by</w:t>
            </w:r>
          </w:p>
          <w:p>
            <w:pPr>
              <w:spacing w:after="20" w:before="0" w:line="276"/>
            </w:pPr>
            <w:r>
              <w:rPr>
                <w:rFonts w:ascii="Times New Roman" w:cs="Times New Roman" w:eastAsia="Times New Roman" w:hAnsi="Times New Roman"/>
                <w:color w:val="1A1A1A"/>
                <w:sz w:val="18"/>
                <w:szCs w:val="18"/>
              </w:rPr>
              <w:t xml:space="preserve">Director, [ORGANIZATION NAME]</w:t>
            </w:r>
          </w:p>
          <w:p>
            <w:pPr>
              <w:spacing w:after="20" w:before="0" w:line="276"/>
            </w:pPr>
            <w:r>
              <w:rPr>
                <w:rFonts w:ascii="Times New Roman" w:cs="Times New Roman" w:eastAsia="Times New Roman" w:hAnsi="Times New Roman"/>
                <w:color w:val="1A1A1A"/>
                <w:sz w:val="18"/>
                <w:szCs w:val="18"/>
              </w:rPr>
              <w:t xml:space="preserve">[DIRECTOR NAME] ______________________</w:t>
            </w:r>
          </w:p>
          <w:p>
            <w:pPr>
              <w:spacing w:after="120" w:before="0" w:line="276"/>
            </w:pPr>
            <w:r>
              <w:rPr>
                <w:rFonts w:ascii="Times New Roman" w:cs="Times New Roman" w:eastAsia="Times New Roman" w:hAnsi="Times New Roman"/>
                <w:color w:val="1A1A1A"/>
                <w:sz w:val="18"/>
                <w:szCs w:val="18"/>
              </w:rPr>
              <w:t xml:space="preserve">Date: __________</w:t>
            </w:r>
          </w:p>
        </w:tc>
      </w:tr>
    </w:tbl>
    <w:p>
      <w:pPr>
        <w:spacing w:after="200" w:before="0" w:line="276"/>
      </w:pPr>
      <w:r>
        <w:rPr>
          <w:rFonts w:ascii="Times New Roman" w:cs="Times New Roman" w:eastAsia="Times New Roman" w:hAnsi="Times New Roman"/>
          <w:color w:val="1A1A1A"/>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Document Code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AES-INJECT-01-EN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Title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Injectable and Filler Safety, Vascular Complication Management</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Edition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1st Edition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Copy #</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___</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Effective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[EFFECTIVE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Next Review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[NEXT REVIEW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Organization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[ORGANIZATION NAME], Georgia</w:t>
            </w:r>
          </w:p>
        </w:tc>
      </w:tr>
    </w:tbl>
    <w:p>
      <w:pPr>
        <w:spacing w:after="160" w:before="0" w:line="276"/>
      </w:pPr>
      <w:r>
        <w:rPr>
          <w:rFonts w:ascii="Times New Roman" w:cs="Times New Roman" w:eastAsia="Times New Roman" w:hAnsi="Times New Roman"/>
          <w:color w:val="1A1A1A"/>
          <w:sz w:val="20"/>
          <w:szCs w:val="20"/>
        </w:rPr>
        <w:t xml:space="preserve"/>
      </w:r>
    </w:p>
    <w:p>
      <w:pPr>
        <w:pStyle w:val="Heading2"/>
        <w:spacing w:after="100" w:before="280"/>
      </w:pPr>
      <w:r>
        <w:rPr>
          <w:rFonts w:ascii="Times New Roman" w:cs="Times New Roman" w:eastAsia="Times New Roman" w:hAnsi="Times New Roman"/>
          <w:b/>
          <w:bCs/>
          <w:color w:val="0E2647"/>
          <w:sz w:val="24"/>
          <w:szCs w:val="24"/>
        </w:rPr>
        <w:t xml:space="preserve">Table of Contents</w:t>
      </w:r>
    </w:p>
    <w:p>
      <w:pPr>
        <w:spacing w:after="120" w:before="0" w:line="276"/>
      </w:pPr>
      <w:r>
        <w:rPr>
          <w:rFonts w:ascii="Times New Roman" w:cs="Times New Roman" w:eastAsia="Times New Roman" w:hAnsi="Times New Roman"/>
          <w:color w:val="1A1A1A"/>
          <w:sz w:val="19"/>
          <w:szCs w:val="19"/>
        </w:rPr>
        <w:t xml:space="preserve">1. Purpose · 2. Scope · 3. Definitions · 4. Medical Oversight and Competence · 5. Products · 6. Pre-Treatment Safety · 7. Injection Technique · 8. Vascular Occlusion — Immediate Management · 9. Other Emergencies · 10. Drills and Audit · 11. Distribution of Responsibilities · 12. Accompanying Documentation</w:t>
      </w:r>
    </w:p>
    <w:p>
      <w:pPr>
        <w:pStyle w:val="Heading2"/>
        <w:spacing w:after="100" w:before="280"/>
      </w:pPr>
      <w:r>
        <w:rPr>
          <w:rFonts w:ascii="Times New Roman" w:cs="Times New Roman" w:eastAsia="Times New Roman" w:hAnsi="Times New Roman"/>
          <w:b/>
          <w:bCs/>
          <w:color w:val="0E2647"/>
          <w:sz w:val="24"/>
          <w:szCs w:val="24"/>
        </w:rPr>
        <w:t xml:space="preserve">1. Purpose</w:t>
      </w:r>
    </w:p>
    <w:p>
      <w:pPr>
        <w:spacing w:after="120" w:before="0" w:line="276"/>
      </w:pPr>
      <w:r>
        <w:rPr>
          <w:rFonts w:ascii="Times New Roman" w:cs="Times New Roman" w:eastAsia="Times New Roman" w:hAnsi="Times New Roman"/>
          <w:color w:val="1A1A1A"/>
          <w:sz w:val="19"/>
          <w:szCs w:val="19"/>
        </w:rPr>
        <w:t xml:space="preserve">To ensure botulinum toxin and dermal filler treatments are delivered only by qualified injectors under genuine medical oversight, with traceable products, safe technique, and an immediate, rehearsed response to vascular occlusion and other emergencies.</w:t>
      </w:r>
    </w:p>
    <w:p>
      <w:pPr>
        <w:pStyle w:val="Heading2"/>
        <w:spacing w:after="100" w:before="280"/>
      </w:pPr>
      <w:r>
        <w:rPr>
          <w:rFonts w:ascii="Times New Roman" w:cs="Times New Roman" w:eastAsia="Times New Roman" w:hAnsi="Times New Roman"/>
          <w:b/>
          <w:bCs/>
          <w:color w:val="0E2647"/>
          <w:sz w:val="24"/>
          <w:szCs w:val="24"/>
        </w:rPr>
        <w:t xml:space="preserve">2. Scope</w:t>
      </w:r>
    </w:p>
    <w:p>
      <w:pPr>
        <w:spacing w:after="120" w:before="0" w:line="276"/>
      </w:pPr>
      <w:r>
        <w:rPr>
          <w:rFonts w:ascii="Times New Roman" w:cs="Times New Roman" w:eastAsia="Times New Roman" w:hAnsi="Times New Roman"/>
          <w:color w:val="1A1A1A"/>
          <w:sz w:val="19"/>
          <w:szCs w:val="19"/>
        </w:rPr>
        <w:t xml:space="preserve">All botulinum toxin, hyaluronic acid filler, and other injectable aesthetic treatments; all prescribers, injectors, and assisting staff; every treatment room.</w:t>
      </w:r>
    </w:p>
    <w:p>
      <w:pPr>
        <w:pStyle w:val="Heading2"/>
        <w:spacing w:after="100" w:before="280"/>
      </w:pPr>
      <w:r>
        <w:rPr>
          <w:rFonts w:ascii="Times New Roman" w:cs="Times New Roman" w:eastAsia="Times New Roman" w:hAnsi="Times New Roman"/>
          <w:b/>
          <w:bCs/>
          <w:color w:val="0E2647"/>
          <w:sz w:val="24"/>
          <w:szCs w:val="24"/>
        </w:rPr>
        <w:t xml:space="preserve">3. Definitions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Prescriber — a licensed doctor (or other legally authorised prescriber) who has assessed the patient and approved the plan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Injector — a registered healthcare professional trained and assessed as competent in the specific treatment, working under the prescriber's oversight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Vascular occlusion (VO) — filler entering an artery, causing ischaemia of skin or, if retrograde flow reaches the ophthalmic circulation, blindness; a time-critical emergency</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Hyaluronidase — the enzyme that dissolves hyaluronic acid filler; the antidote to HA filler VO</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Danger zones — glabella, nose, nasolabial fold, temple, and forehead, where arterial occlusion risk is highest</w:t>
      </w:r>
    </w:p>
    <w:p>
      <w:pPr>
        <w:pStyle w:val="Heading2"/>
        <w:spacing w:after="100" w:before="280"/>
      </w:pPr>
      <w:r>
        <w:rPr>
          <w:rFonts w:ascii="Times New Roman" w:cs="Times New Roman" w:eastAsia="Times New Roman" w:hAnsi="Times New Roman"/>
          <w:b/>
          <w:bCs/>
          <w:color w:val="0E2647"/>
          <w:sz w:val="24"/>
          <w:szCs w:val="24"/>
        </w:rPr>
        <w:t xml:space="preserve">4. Medical Oversight and Competence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Every new patient has a consultation with the prescriber (in person or by video) before any injectable treatment; the prescriber documents the assessment, indication, contraindications, and the approved plan (AES-INJECT-01-F01)</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prescriber is contactable by phone throughout every injection session with a 10-minute response commitment; a named deputy covers absence; sessions do not proceed without confirmed cover</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Injectors hold the qualification required by national law for the treatment, evidence of manufacturer-recognised training for each product, and an annual competency assessment by the Medical Director recorded on AES-HR-02-F01</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No injector treats outside the plan approved by the prescriber; any change requires prescriber approval before proceeding</w:t>
      </w:r>
    </w:p>
    <w:p>
      <w:pPr>
        <w:pStyle w:val="Heading2"/>
        <w:spacing w:after="100" w:before="280"/>
      </w:pPr>
      <w:r>
        <w:rPr>
          <w:rFonts w:ascii="Times New Roman" w:cs="Times New Roman" w:eastAsia="Times New Roman" w:hAnsi="Times New Roman"/>
          <w:b/>
          <w:bCs/>
          <w:color w:val="0E2647"/>
          <w:sz w:val="24"/>
          <w:szCs w:val="24"/>
        </w:rPr>
        <w:t xml:space="preserve">5. Products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Products are purchased only from suppliers on the clinic's approved list (AES-PROC-01), verified against the manufacturer's authorised distributor list; products from any other source are quarantined and destroyed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On receipt, every batch is checked for intact packaging, tamper evidence, expiry, and cold-chain documentation where required, and logged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product name, batch/lot number, expiry, volume/units, and injection sites are recorded in the patient's record for every treatment; reconstituted toxin is labelled with date, time, and diluent and used within the manufacturer's window</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 product register links every vial to its supplier invoice and to every patient treated from it, allowing full recall</w:t>
      </w:r>
    </w:p>
    <w:p>
      <w:pPr>
        <w:pStyle w:val="Heading2"/>
        <w:spacing w:after="100" w:before="280"/>
      </w:pPr>
      <w:r>
        <w:rPr>
          <w:rFonts w:ascii="Times New Roman" w:cs="Times New Roman" w:eastAsia="Times New Roman" w:hAnsi="Times New Roman"/>
          <w:b/>
          <w:bCs/>
          <w:color w:val="0E2647"/>
          <w:sz w:val="24"/>
          <w:szCs w:val="24"/>
        </w:rPr>
        <w:t xml:space="preserve">6. Pre-Treatment Safety</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medical and psychological screen (AES-PSYCH-01, AES-SCREEN-01) is complete and reviewed; treatment does not proceed if the screen is incomplete or flags a contraindication (anticoagulants without prescriber approval, active infection at site, pregnancy or breastfeeding, known allergy, unrealistic expectations, BDD screen positive)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Procedure-specific consent (AES-CONSENT-01) is obtained by the injector, naming vascular occlusion and blindness as risks for filler in danger zones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Two-identifier patient check; treatment plan and product confirmed aloud with the assistant before the first injection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Pre-treatment photographs are taken with consent</w:t>
      </w:r>
    </w:p>
    <w:p>
      <w:pPr>
        <w:pStyle w:val="Heading2"/>
        <w:spacing w:after="100" w:before="280"/>
      </w:pPr>
      <w:r>
        <w:rPr>
          <w:rFonts w:ascii="Times New Roman" w:cs="Times New Roman" w:eastAsia="Times New Roman" w:hAnsi="Times New Roman"/>
          <w:b/>
          <w:bCs/>
          <w:color w:val="0E2647"/>
          <w:sz w:val="24"/>
          <w:szCs w:val="24"/>
        </w:rPr>
        <w:t xml:space="preserve">7. Injection Technique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Aseptic skin preparation with an approved antiseptic; hair pinned back; no injection through make-up</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Filler in danger zones is injected slowly, in small aliquots (≤ 0.1 mL per bolus), with a blunt cannula where anatomically appropriate, aspiration before each bolus, and constant observation of the skin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The injector stops immediately on any sign of VO: blanching, dusky or mottled skin, pain disproportionate to the injection, delayed capillary refill, or any visual symptom</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Toxin is injected at the doses and sites in the approved plan; total units are recorded</w:t>
      </w:r>
    </w:p>
    <w:p>
      <w:pPr>
        <w:pStyle w:val="Heading2"/>
        <w:spacing w:after="100" w:before="280"/>
      </w:pPr>
      <w:r>
        <w:rPr>
          <w:rFonts w:ascii="Times New Roman" w:cs="Times New Roman" w:eastAsia="Times New Roman" w:hAnsi="Times New Roman"/>
          <w:b/>
          <w:bCs/>
          <w:color w:val="0E2647"/>
          <w:sz w:val="24"/>
          <w:szCs w:val="24"/>
        </w:rPr>
        <w:t xml:space="preserve">8. Vascular Occlusion — Immediate Management</w:t>
      </w:r>
    </w:p>
    <w:p>
      <w:pPr>
        <w:spacing w:after="120" w:before="0" w:line="276"/>
      </w:pPr>
      <w:r>
        <w:rPr>
          <w:rFonts w:ascii="Times New Roman" w:cs="Times New Roman" w:eastAsia="Times New Roman" w:hAnsi="Times New Roman"/>
          <w:color w:val="1A1A1A"/>
          <w:sz w:val="19"/>
          <w:szCs w:val="19"/>
        </w:rPr>
        <w:t xml:space="preserve">Every treatment room holds a sealed VO kit checked weekly: hyaluronidase (minimum 1,500 IU in date), saline, aspirin 300 mg, warm compresses, the laminated algorithm, and the emergency contact card. On suspected VO:</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700"/>
        <w:gridCol w:w="7500"/>
        <w:gridCol w:w="1706"/>
      </w:tblGrid>
      <w:tr>
        <w:trPr>
          <w:tblHeader/>
        </w:trPr>
        <w:tc>
          <w:tcPr>
            <w:tcW w:type="dxa" w:w="7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Step</w:t>
            </w:r>
          </w:p>
        </w:tc>
        <w:tc>
          <w:tcPr>
            <w:tcW w:type="dxa" w:w="75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Action</w:t>
            </w:r>
          </w:p>
        </w:tc>
        <w:tc>
          <w:tcPr>
            <w:tcW w:type="dxa" w:w="17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Time</w:t>
            </w:r>
          </w:p>
        </w:tc>
      </w:tr>
      <w:tr>
        <w:tc>
          <w:tcPr>
            <w:tcW w:type="dxa" w:w="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1</w:t>
            </w:r>
          </w:p>
        </w:tc>
        <w:tc>
          <w:tcPr>
            <w:tcW w:type="dxa" w:w="75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Stop injecting. Note the time. Call the prescriber and a second staff member. Do not send the patient home.</w:t>
            </w:r>
          </w:p>
        </w:tc>
        <w:tc>
          <w:tcPr>
            <w:tcW w:type="dxa" w:w="1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0 min</w:t>
            </w:r>
          </w:p>
        </w:tc>
      </w:tr>
      <w:tr>
        <w:tc>
          <w:tcPr>
            <w:tcW w:type="dxa" w:w="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2</w:t>
            </w:r>
          </w:p>
        </w:tc>
        <w:tc>
          <w:tcPr>
            <w:tcW w:type="dxa" w:w="75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Reassure the patient. Apply warm compress. Massage the area firmly.</w:t>
            </w:r>
          </w:p>
        </w:tc>
        <w:tc>
          <w:tcPr>
            <w:tcW w:type="dxa" w:w="1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0–2 min</w:t>
            </w:r>
          </w:p>
        </w:tc>
      </w:tr>
      <w:tr>
        <w:tc>
          <w:tcPr>
            <w:tcW w:type="dxa" w:w="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3</w:t>
            </w:r>
          </w:p>
        </w:tc>
        <w:tc>
          <w:tcPr>
            <w:tcW w:type="dxa" w:w="75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Inject hyaluronidase: 500–1,500 IU flooding the affected area and along the vessel course, not only the injection point; repeat every 30–60 minutes until capillary refill and colour return (consensus: high dose, pulsed).</w:t>
            </w:r>
          </w:p>
        </w:tc>
        <w:tc>
          <w:tcPr>
            <w:tcW w:type="dxa" w:w="1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Within 5 min; repeat as needed</w:t>
            </w:r>
          </w:p>
        </w:tc>
      </w:tr>
      <w:tr>
        <w:tc>
          <w:tcPr>
            <w:tcW w:type="dxa" w:w="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4</w:t>
            </w:r>
          </w:p>
        </w:tc>
        <w:tc>
          <w:tcPr>
            <w:tcW w:type="dxa" w:w="75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Aspirin 300 mg orally unless contraindicated.</w:t>
            </w:r>
          </w:p>
        </w:tc>
        <w:tc>
          <w:tcPr>
            <w:tcW w:type="dxa" w:w="1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Within 10 min</w:t>
            </w:r>
          </w:p>
        </w:tc>
      </w:tr>
      <w:tr>
        <w:tc>
          <w:tcPr>
            <w:tcW w:type="dxa" w:w="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5</w:t>
            </w:r>
          </w:p>
        </w:tc>
        <w:tc>
          <w:tcPr>
            <w:tcW w:type="dxa" w:w="75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Reassess every 15 minutes: colour, capillary refill, pain, sensation. Photograph.</w:t>
            </w:r>
          </w:p>
        </w:tc>
        <w:tc>
          <w:tcPr>
            <w:tcW w:type="dxa" w:w="1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Continuous</w:t>
            </w:r>
          </w:p>
        </w:tc>
      </w:tr>
      <w:tr>
        <w:tc>
          <w:tcPr>
            <w:tcW w:type="dxa" w:w="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6</w:t>
            </w:r>
          </w:p>
        </w:tc>
        <w:tc>
          <w:tcPr>
            <w:tcW w:type="dxa" w:w="75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Any visual symptom (blurring, loss of vision, eye pain): this is an ophthalmic emergency — immediate referral to the nearest ophthalmology emergency unit by ambulance; continue hyaluronidase; do not delay transfer for further treatment in clinic.</w:t>
            </w:r>
          </w:p>
        </w:tc>
        <w:tc>
          <w:tcPr>
            <w:tcW w:type="dxa" w:w="1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Immediately</w:t>
            </w:r>
          </w:p>
        </w:tc>
      </w:tr>
      <w:tr>
        <w:tc>
          <w:tcPr>
            <w:tcW w:type="dxa" w:w="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7</w:t>
            </w:r>
          </w:p>
        </w:tc>
        <w:tc>
          <w:tcPr>
            <w:tcW w:type="dxa" w:w="75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If no improvement after two rounds of hyaluronidase, or skin necrosis is developing: refer to the pre-arranged plastic surgery / dermatology contact the same day.</w:t>
            </w:r>
          </w:p>
        </w:tc>
        <w:tc>
          <w:tcPr>
            <w:tcW w:type="dxa" w:w="1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2 hours</w:t>
            </w:r>
          </w:p>
        </w:tc>
      </w:tr>
      <w:tr>
        <w:tc>
          <w:tcPr>
            <w:tcW w:type="dxa" w:w="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8</w:t>
            </w:r>
          </w:p>
        </w:tc>
        <w:tc>
          <w:tcPr>
            <w:tcW w:type="dxa" w:w="75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Document every step with times on AES-INJECT-01-F02. Follow up the patient daily until resolved. Report as an adverse event (AES-GOV-08) and to the national pharmacovigilance scheme.</w:t>
            </w:r>
          </w:p>
        </w:tc>
        <w:tc>
          <w:tcPr>
            <w:tcW w:type="dxa" w:w="17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Same day</w:t>
            </w:r>
          </w:p>
        </w:tc>
      </w:tr>
    </w:tbl>
    <w:p>
      <w:pPr>
        <w:pStyle w:val="Heading2"/>
        <w:spacing w:after="100" w:before="280"/>
      </w:pPr>
      <w:r>
        <w:rPr>
          <w:rFonts w:ascii="Times New Roman" w:cs="Times New Roman" w:eastAsia="Times New Roman" w:hAnsi="Times New Roman"/>
          <w:b/>
          <w:bCs/>
          <w:color w:val="0E2647"/>
          <w:sz w:val="24"/>
          <w:szCs w:val="24"/>
        </w:rPr>
        <w:t xml:space="preserve">9. Other Emergencies</w:t>
      </w:r>
    </w:p>
    <w:p>
      <w:pPr>
        <w:spacing w:after="120" w:before="0" w:line="276"/>
      </w:pPr>
      <w:r>
        <w:rPr>
          <w:rFonts w:ascii="Times New Roman" w:cs="Times New Roman" w:eastAsia="Times New Roman" w:hAnsi="Times New Roman"/>
          <w:color w:val="1A1A1A"/>
          <w:sz w:val="19"/>
          <w:szCs w:val="19"/>
        </w:rPr>
        <w:t xml:space="preserve">Anaphylaxis to any product: stop, adrenaline 0.5 mg IM, call emergency services, follow the anaphylaxis algorithm (AES-EMERG-01). Vasovagal syncope: lay flat, legs raised, monitor. Infection or nodule after treatment: prescriber review within 24 hours; managed per AES-INJECT-02.</w:t>
      </w:r>
    </w:p>
    <w:p>
      <w:pPr>
        <w:pStyle w:val="Heading2"/>
        <w:spacing w:after="100" w:before="280"/>
      </w:pPr>
      <w:r>
        <w:rPr>
          <w:rFonts w:ascii="Times New Roman" w:cs="Times New Roman" w:eastAsia="Times New Roman" w:hAnsi="Times New Roman"/>
          <w:b/>
          <w:bCs/>
          <w:color w:val="0E2647"/>
          <w:sz w:val="24"/>
          <w:szCs w:val="24"/>
        </w:rPr>
        <w:t xml:space="preserve">10. Drills and Audit</w:t>
      </w:r>
    </w:p>
    <w:p>
      <w:pPr>
        <w:spacing w:after="120" w:before="0" w:line="276"/>
      </w:pPr>
      <w:r>
        <w:rPr>
          <w:rFonts w:ascii="Times New Roman" w:cs="Times New Roman" w:eastAsia="Times New Roman" w:hAnsi="Times New Roman"/>
          <w:color w:val="1A1A1A"/>
          <w:sz w:val="19"/>
          <w:szCs w:val="19"/>
        </w:rPr>
        <w:t xml:space="preserve">Every injector and assistant participates in a simulated VO drill quarterly, timed from recognition to first hyaluronidase dose (target ≤ 5 minutes), with a debrief recorded. The Clinic Manager checks every VO kit weekly. The Medical Director audits 20 treatment records monthly for prescriber assessment, batch recording, consent, and technique documentation, and reviews every adverse event.</w:t>
      </w:r>
    </w:p>
    <w:p>
      <w:pPr>
        <w:pStyle w:val="Heading2"/>
        <w:spacing w:after="100" w:before="280"/>
      </w:pPr>
      <w:r>
        <w:rPr>
          <w:rFonts w:ascii="Times New Roman" w:cs="Times New Roman" w:eastAsia="Times New Roman" w:hAnsi="Times New Roman"/>
          <w:b/>
          <w:bCs/>
          <w:color w:val="0E2647"/>
          <w:sz w:val="24"/>
          <w:szCs w:val="24"/>
        </w:rPr>
        <w:t xml:space="preserve">11. Distribution of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1676"/>
        <w:gridCol w:w="1676"/>
        <w:gridCol w:w="1676"/>
        <w:gridCol w:w="1676"/>
      </w:tblGrid>
      <w:tr>
        <w:trPr>
          <w:tblHeader/>
        </w:trPr>
        <w:tc>
          <w:tcPr>
            <w:tcW w:type="dxa" w:w="32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Task</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Medical Director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Prescriber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Injector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Clinic Manager</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Approval of this SOP</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Final</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Patient assessment and plan approval</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On-call availability during sessions</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Arrange cover</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Product checking and batch recording</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Register</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Safe technique and immediate VO management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Direct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Weekly kit check; quarterly drill; monthly audit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Audit</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Participate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Kit and drill</w:t>
            </w:r>
          </w:p>
        </w:tc>
      </w:tr>
    </w:tbl>
    <w:p>
      <w:pPr>
        <w:pStyle w:val="Heading2"/>
        <w:spacing w:after="100" w:before="280"/>
      </w:pPr>
      <w:r>
        <w:rPr>
          <w:rFonts w:ascii="Times New Roman" w:cs="Times New Roman" w:eastAsia="Times New Roman" w:hAnsi="Times New Roman"/>
          <w:b/>
          <w:bCs/>
          <w:color w:val="0E2647"/>
          <w:sz w:val="24"/>
          <w:szCs w:val="24"/>
        </w:rPr>
        <w:t xml:space="preserve">12. Accompanying Documentation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tblHeader/>
        </w:trPr>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Code</w:t>
            </w:r>
          </w:p>
        </w:tc>
        <w:tc>
          <w:tcPr>
            <w:tcW w:type="dxa" w:w="71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Title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AES-INJECT-01-F01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Prescriber Assessment and Treatment Plan</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AES-INJECT-01-F02</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Vascular Occlusion Event Record</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AES-PSYCH-01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Psychological Screening for Aesthetic Procedures</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AES-CONSENT-01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Informed Consent</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AES-PROC-01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Product Procurement and Traceability</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AES-EMERG-01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Anaphylaxis and Medical Emergency Response</w:t>
            </w:r>
          </w:p>
        </w:tc>
      </w:tr>
    </w:tbl>
    <w:p>
      <w:pPr>
        <w:spacing w:after="240" w:before="0" w:line="276"/>
      </w:pPr>
      <w:r>
        <w:rPr>
          <w:rFonts w:ascii="Times New Roman" w:cs="Times New Roman" w:eastAsia="Times New Roman" w:hAnsi="Times New Roman"/>
          <w:color w:val="1A1A1A"/>
          <w:sz w:val="20"/>
          <w:szCs w:val="20"/>
        </w:rPr>
        <w:t xml:space="preserve"/>
      </w:r>
    </w:p>
    <w:p>
      <w:pPr>
        <w:spacing w:after="120" w:before="0" w:line="276"/>
      </w:pPr>
      <w:r>
        <w:rPr>
          <w:rFonts w:ascii="Times New Roman" w:cs="Times New Roman" w:eastAsia="Times New Roman" w:hAnsi="Times New Roman"/>
          <w:i/>
          <w:iCs/>
          <w:color w:val="6B778C"/>
          <w:sz w:val="15"/>
          <w:szCs w:val="15"/>
        </w:rPr>
        <w:t xml:space="preserve">FREE SAMPLE — This document is a complete, unrestricted sample from the ASF ISO 9001 READY documentation pack, shared so a facility can judge the depth and quality of the full pack before purchase. Replace every [BRACKETED] placeholder with your facility's own details. The full pack contains the complete document set, forms, master index, and clause crosswalk.</w:t>
      </w:r>
    </w:p>
    <w:sectPr>
      <w:headerReference w:type="default" r:id="rId7"/>
      <w:footerReference w:type="default" r:id="rId8"/>
      <w:pgSz w:w="11906" w:h="16838" w:orient="portrait"/>
      <w:pgMar w:top="900" w:right="1000" w:bottom="900" w:left="10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space="4"/>
      </w:pBdr>
      <w:tabs>
        <w:tab w:val="right" w:pos="9906"/>
      </w:tabs>
    </w:pPr>
    <w:r>
      <w:rPr>
        <w:rFonts w:ascii="Times New Roman" w:cs="Times New Roman" w:eastAsia="Times New Roman" w:hAnsi="Times New Roman"/>
        <w:color w:val="6B778C"/>
        <w:sz w:val="12"/>
        <w:szCs w:val="12"/>
      </w:rPr>
      <w:t xml:space="preserve">Prepared by: [QUALITY MANAGER NAME] · Approved by: [DIRECTOR NAME]</w:t>
    </w:r>
    <w:r>
      <w:rPr>
        <w:rFonts w:ascii="Times New Roman" w:cs="Times New Roman" w:eastAsia="Times New Roman" w:hAnsi="Times New Roman"/>
        <w:color w:val="6B778C"/>
        <w:sz w:val="12"/>
        <w:szCs w:val="12"/>
      </w:rPr>
      <w:t xml:space="preserve">	Effective: [EFFECTIVE DATE] · Page </w:t>
    </w:r>
    <w:r>
      <w:rPr>
        <w:rFonts w:ascii="Times New Roman" w:cs="Times New Roman" w:eastAsia="Times New Roman" w:hAnsi="Times New Roman"/>
        <w:color w:val="6B778C"/>
        <w:sz w:val="12"/>
        <w:szCs w:val="12"/>
      </w:rPr>
      <w:fldChar w:fldCharType="begin"/>
      <w:instrText xml:space="preserve">PAGE</w:instrText>
      <w:fldChar w:fldCharType="separate"/>
      <w:fldChar w:fldCharType="end"/>
    </w:r>
    <w:r>
      <w:rPr>
        <w:rFonts w:ascii="Times New Roman" w:cs="Times New Roman" w:eastAsia="Times New Roman" w:hAnsi="Times New Roman"/>
        <w:color w:val="6B778C"/>
        <w:sz w:val="12"/>
        <w:szCs w:val="12"/>
      </w:rPr>
      <w:t xml:space="preserve"> of </w:t>
    </w:r>
    <w:r>
      <w:rPr>
        <w:rFonts w:ascii="Times New Roman" w:cs="Times New Roman" w:eastAsia="Times New Roman" w:hAnsi="Times New Roman"/>
        <w:color w:val="6B778C"/>
        <w:sz w:val="12"/>
        <w:szCs w:val="12"/>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3EE" w:sz="4" w:space="4"/>
      </w:pBdr>
      <w:tabs>
        <w:tab w:val="right" w:pos="9906"/>
      </w:tabs>
    </w:pPr>
    <w:r>
      <w:drawing>
        <wp:inline distT="0" distB="0" distL="0" distR="0">
          <wp:extent cx="15240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42875"/>
                  </a:xfrm>
                  <a:prstGeom prst="rect">
                    <a:avLst/>
                  </a:prstGeom>
                </pic:spPr>
              </pic:pic>
            </a:graphicData>
          </a:graphic>
        </wp:inline>
      </w:drawing>
    </w:r>
    <w:r>
      <w:rPr>
        <w:rFonts w:ascii="Times New Roman" w:cs="Times New Roman" w:eastAsia="Times New Roman" w:hAnsi="Times New Roman"/>
        <w:b/>
        <w:bCs/>
        <w:color w:val="0E2647"/>
        <w:sz w:val="14"/>
        <w:szCs w:val="14"/>
      </w:rPr>
      <w:t xml:space="preserve">   [ORGANIZATION NAME]</w:t>
    </w:r>
    <w:r>
      <w:rPr>
        <w:rFonts w:ascii="Times New Roman" w:cs="Times New Roman" w:eastAsia="Times New Roman" w:hAnsi="Times New Roman"/>
        <w:color w:val="6B778C"/>
        <w:sz w:val="12"/>
        <w:szCs w:val="12"/>
      </w:rPr>
      <w:t xml:space="preserve">   AES-INJECT-01-EN · Injectable and Filler Safety, Vascular C</w:t>
    </w:r>
    <w:r>
      <w:rPr>
        <w:rFonts w:ascii="Times New Roman" w:cs="Times New Roman" w:eastAsia="Times New Roman" w:hAnsi="Times New Roman"/>
        <w:color w:val="6B778C"/>
        <w:sz w:val="12"/>
        <w:szCs w:val="12"/>
      </w:rPr>
      <w:t xml:space="preserve">	Edition 1.0 · 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81fd126cdf550e781c9e30e2a67f8bbf2b2a95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81fd126cdf550e781c9e30e2a67f8bbf2b2a9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2026-09-22T16:30:26.220Z</dcterms:created>
  <dcterms:modified xsi:type="dcterms:W3CDTF">2026-09-22T16:30:26.220Z</dcterms:modified>
</cp:coreProperties>
</file>

<file path=docProps/custom.xml><?xml version="1.0" encoding="utf-8"?>
<Properties xmlns="http://schemas.openxmlformats.org/officeDocument/2006/custom-properties" xmlns:vt="http://schemas.openxmlformats.org/officeDocument/2006/docPropsVTypes"/>
</file>