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Hand Hygiene</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SOP-IPC-02-EN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Hand Hygiene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When · 5. How · 6. Facilities · 7. Monitoring · 8. Training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prevent transmission of infection between patients, and between patients and staff, by ensuring that hand hygiene is performed correctly at every moment it is required, with the means to do so at every point of care.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staff, students, volunteers, and contractors who have contact with patients, the patient environment, or clinical materials, in every area of the clinic.</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Hand hygiene — hand rubbing with an alcohol-based hand rub (ABHR), or hand washing with soap and water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Five Moments — the WHO-defined occasions requiring hand hygiene: (1) before touching a patient, (2) before a clean or aseptic procedure, (3) after body fluid exposure risk, (4) after touching a patient, (5) after touching the patient's surroundings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Point of care — where the patient, the staff member, and care or treatment come together; ABHR must be within arm's reach</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Bare below the elbows — no long sleeves, wrist jewellery, or wristwatches during clinical contact; a plain ring is permitted</w:t>
      </w:r>
    </w:p>
    <w:p>
      <w:pPr>
        <w:pStyle w:val="Heading2"/>
        <w:spacing w:after="100" w:before="280"/>
      </w:pPr>
      <w:r>
        <w:rPr>
          <w:rFonts w:ascii="Times New Roman" w:cs="Times New Roman" w:eastAsia="Times New Roman" w:hAnsi="Times New Roman"/>
          <w:b/>
          <w:bCs/>
          <w:color w:val="0E2647"/>
          <w:sz w:val="24"/>
          <w:szCs w:val="24"/>
        </w:rPr>
        <w:t xml:space="preserve">4. When</w:t>
      </w:r>
    </w:p>
    <w:p>
      <w:pPr>
        <w:spacing w:after="120" w:before="0" w:line="276"/>
      </w:pPr>
      <w:r>
        <w:rPr>
          <w:rFonts w:ascii="Times New Roman" w:cs="Times New Roman" w:eastAsia="Times New Roman" w:hAnsi="Times New Roman"/>
          <w:color w:val="1A1A1A"/>
          <w:sz w:val="19"/>
          <w:szCs w:val="19"/>
        </w:rPr>
        <w:t xml:space="preserve">Hand hygiene is performed at each of the Five Moments, without exception, whether or not gloves are worn. Gloves do not replace hand hygiene: hands are cleaned before putting gloves on and immediately after removing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200"/>
        <w:gridCol w:w="4706"/>
      </w:tblGrid>
      <w:tr>
        <w:trPr>
          <w:tblHeader/>
        </w:trPr>
        <w:tc>
          <w:tcPr>
            <w:tcW w:type="dxa" w:w="52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Situation</w:t>
            </w:r>
          </w:p>
        </w:tc>
        <w:tc>
          <w:tcPr>
            <w:tcW w:type="dxa" w:w="47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Method</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Hands not visibly soiled — all Five Moments</w:t>
            </w:r>
          </w:p>
        </w:tc>
        <w:tc>
          <w:tcPr>
            <w:tcW w:type="dxa" w:w="4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ABHR, 20–30 seconds</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Hands visibly soiled, or after contact with body fluids</w:t>
            </w:r>
          </w:p>
        </w:tc>
        <w:tc>
          <w:tcPr>
            <w:tcW w:type="dxa" w:w="4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Soap and water, 40–60 seconds, then dry with a single-use towel</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After caring for a patient with suspected or confirmed Clostridioides difficile or norovirus</w:t>
            </w:r>
          </w:p>
        </w:tc>
        <w:tc>
          <w:tcPr>
            <w:tcW w:type="dxa" w:w="4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Soap and water (ABHR is ineffective against spores and some viruses)</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Before an aseptic procedure (injection, wound care, cannulation)</w:t>
            </w:r>
          </w:p>
        </w:tc>
        <w:tc>
          <w:tcPr>
            <w:tcW w:type="dxa" w:w="4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ABHR, or soap and water if soiled; then do not touch anything non-sterile before the procedure</w:t>
            </w:r>
          </w:p>
        </w:tc>
      </w:tr>
    </w:tbl>
    <w:p>
      <w:pPr>
        <w:pStyle w:val="Heading2"/>
        <w:spacing w:after="100" w:before="280"/>
      </w:pPr>
      <w:r>
        <w:rPr>
          <w:rFonts w:ascii="Times New Roman" w:cs="Times New Roman" w:eastAsia="Times New Roman" w:hAnsi="Times New Roman"/>
          <w:b/>
          <w:bCs/>
          <w:color w:val="0E2647"/>
          <w:sz w:val="24"/>
          <w:szCs w:val="24"/>
        </w:rPr>
        <w:t xml:space="preserve">5. How</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ABHR: apply enough to cover all surfaces of both hands; rub palms, backs, between fingers, thumbs, fingertips, and wrists until dry — do not wipe off or shake dry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Soap and water: wet hands, apply soap, rub all surfaces for at least 20 seconds, rinse thoroughly, dry with a single-use paper towel, use the towel to turn off the tap</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Nails are short and clean; artificial nails and nail polish are not worn in clinical areas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Cuts and abrasions on the hands are covered with a waterproof dressing</w:t>
      </w:r>
    </w:p>
    <w:p>
      <w:pPr>
        <w:pStyle w:val="Heading2"/>
        <w:spacing w:after="100" w:before="280"/>
      </w:pPr>
      <w:r>
        <w:rPr>
          <w:rFonts w:ascii="Times New Roman" w:cs="Times New Roman" w:eastAsia="Times New Roman" w:hAnsi="Times New Roman"/>
          <w:b/>
          <w:bCs/>
          <w:color w:val="0E2647"/>
          <w:sz w:val="24"/>
          <w:szCs w:val="24"/>
        </w:rPr>
        <w:t xml:space="preserve">6. Facilities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ABHR is mounted at the point of care in every consulting and treatment room, at reception, and on every trolley; dispensers are checked and refilled daily by the cleaner, recorded on IPC-02-F02</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handwashing sink with liquid soap, paper towels, and a foot- or elbow-operated bin is available in every clinical room; sinks are for hand washing only, not for cleaning equipment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Posters showing the Five Moments and the hand rub technique are displayed at each sink and dispenser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Staff with skin conditions aggravated by hand hygiene products are referred to occupational health; alternative products are provided</w:t>
      </w:r>
    </w:p>
    <w:p>
      <w:pPr>
        <w:pStyle w:val="Heading2"/>
        <w:spacing w:after="100" w:before="280"/>
      </w:pPr>
      <w:r>
        <w:rPr>
          <w:rFonts w:ascii="Times New Roman" w:cs="Times New Roman" w:eastAsia="Times New Roman" w:hAnsi="Times New Roman"/>
          <w:b/>
          <w:bCs/>
          <w:color w:val="0E2647"/>
          <w:sz w:val="24"/>
          <w:szCs w:val="24"/>
        </w:rPr>
        <w:t xml:space="preserve">7. Monitoring</w:t>
      </w:r>
    </w:p>
    <w:p>
      <w:pPr>
        <w:spacing w:after="120" w:before="0" w:line="276"/>
      </w:pPr>
      <w:r>
        <w:rPr>
          <w:rFonts w:ascii="Times New Roman" w:cs="Times New Roman" w:eastAsia="Times New Roman" w:hAnsi="Times New Roman"/>
          <w:color w:val="1A1A1A"/>
          <w:sz w:val="19"/>
          <w:szCs w:val="19"/>
        </w:rPr>
        <w:t xml:space="preserve">The Nurse Lead observes hand hygiene compliance monthly using the WHO observation tool (IPC-02-F01): a minimum of 30 opportunities per month across all clinical staff, observed without prior announcement of the timing. Compliance by moment and by staff group is calculated and displayed in the staff room. The target is ≥ 80%; staff groups below 70% receive feedback and refresher training within two weeks. Results are reported to management review.</w:t>
      </w:r>
    </w:p>
    <w:p>
      <w:pPr>
        <w:pStyle w:val="Heading2"/>
        <w:spacing w:after="100" w:before="280"/>
      </w:pPr>
      <w:r>
        <w:rPr>
          <w:rFonts w:ascii="Times New Roman" w:cs="Times New Roman" w:eastAsia="Times New Roman" w:hAnsi="Times New Roman"/>
          <w:b/>
          <w:bCs/>
          <w:color w:val="0E2647"/>
          <w:sz w:val="24"/>
          <w:szCs w:val="24"/>
        </w:rPr>
        <w:t xml:space="preserve">8. Training</w:t>
      </w:r>
    </w:p>
    <w:p>
      <w:pPr>
        <w:spacing w:after="120" w:before="0" w:line="276"/>
      </w:pPr>
      <w:r>
        <w:rPr>
          <w:rFonts w:ascii="Times New Roman" w:cs="Times New Roman" w:eastAsia="Times New Roman" w:hAnsi="Times New Roman"/>
          <w:color w:val="1A1A1A"/>
          <w:sz w:val="19"/>
          <w:szCs w:val="19"/>
        </w:rPr>
        <w:t xml:space="preserve">Every new staff member completes hand hygiene training with observed practice at induction, before patient contact, recorded on HR-02-F01. All staff complete an annual refresher. Staff who fail observed practice repeat the training.</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Nurse Lead</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Clinical Staff</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Cleaner</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this SOP</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Performing hand hygiene at every moment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compliance observation and feedback</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Daily dispenser and sink check</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Induction and annual training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Attend</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IPC-02-F01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Hand Hygiene Observation Record</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IPC-02-F02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Dispenser and Sink Daily Check</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IPC-01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Infection Prevention and Control Programme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HR-02-F01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Individual Training Record</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SOP-IPC-02-EN · Hand Hygiene</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2026-09-22T16:24:27.312Z</dcterms:created>
  <dcterms:modified xsi:type="dcterms:W3CDTF">2026-09-22T16:24:27.312Z</dcterms:modified>
</cp:coreProperties>
</file>

<file path=docProps/custom.xml><?xml version="1.0" encoding="utf-8"?>
<Properties xmlns="http://schemas.openxmlformats.org/officeDocument/2006/custom-properties" xmlns:vt="http://schemas.openxmlformats.org/officeDocument/2006/docPropsVTypes"/>
</file>