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AFT-PLN-001:</w:t>
      </w:r>
      <w:r>
        <w:t xml:space="preserve"> </w:t>
      </w:r>
      <w:r>
        <w:t xml:space="preserve">Discharge</w:t>
      </w:r>
      <w:r>
        <w:t xml:space="preserve"> </w:t>
      </w:r>
      <w:r>
        <w:t xml:space="preserve">plan:</w:t>
      </w:r>
      <w:r>
        <w:t xml:space="preserve"> </w:t>
      </w:r>
      <w:r>
        <w:t xml:space="preserve">written,</w:t>
      </w:r>
      <w:r>
        <w:t xml:space="preserve"> </w:t>
      </w:r>
      <w:r>
        <w:t xml:space="preserve">agreed</w:t>
      </w:r>
      <w:r>
        <w:t xml:space="preserve"> </w:t>
      </w:r>
      <w:r>
        <w:t xml:space="preserve">and</w:t>
      </w:r>
      <w:r>
        <w:t xml:space="preserve"> </w:t>
      </w:r>
      <w:r>
        <w:t xml:space="preserve">passed</w:t>
      </w:r>
      <w:r>
        <w:t xml:space="preserve"> </w:t>
      </w:r>
      <w:r>
        <w:t xml:space="preserve">on</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Plan</w:t>
            </w:r>
          </w:p>
          <w:p>
            <w:pPr>
              <w:pStyle w:val="Compact"/>
              <w:jc w:val="left"/>
            </w:pPr>
            <w:r>
              <w:t xml:space="preserve">Discharge plan: written, agreed and passed on</w:t>
            </w:r>
          </w:p>
        </w:tc>
        <w:tc>
          <w:tcPr/>
          <w:p>
            <w:pPr>
              <w:pStyle w:val="Compact"/>
            </w:pPr>
          </w:p>
        </w:tc>
      </w:tr>
      <w:tr>
        <w:tc>
          <w:tcPr/>
          <w:p>
            <w:pPr>
              <w:pStyle w:val="Compact"/>
              <w:jc w:val="left"/>
            </w:pPr>
            <w:r>
              <w:t xml:space="preserve">Document ID</w:t>
            </w:r>
          </w:p>
        </w:tc>
        <w:tc>
          <w:tcPr/>
          <w:p>
            <w:pPr>
              <w:pStyle w:val="Compact"/>
              <w:jc w:val="left"/>
            </w:pPr>
            <w:r>
              <w:t xml:space="preserve">AFT-PLN-001</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Plan · AFT-PLN-001 · Version 0.1 · Draft for local review</w:t>
      </w:r>
    </w:p>
    <w:p>
      <w:pPr>
        <w:pStyle w:val="BodyText"/>
      </w:pPr>
      <w:r>
        <w:rPr>
          <w:bCs/>
          <w:b/>
        </w:rPr>
        <w:t xml:space="preserve">Supports:</w:t>
      </w:r>
      <w:r>
        <w:t xml:space="preserve"> </w:t>
      </w:r>
      <w:r>
        <w:t xml:space="preserve">42.1</w:t>
      </w:r>
    </w:p>
    <w:p>
      <w:pPr>
        <w:pStyle w:val="BodyText"/>
      </w:pPr>
      <w:r>
        <w:t xml:space="preserve">At a glance</w:t>
      </w:r>
    </w:p>
    <w:p>
      <w:pPr>
        <w:numPr>
          <w:ilvl w:val="0"/>
          <w:numId w:val="1001"/>
        </w:numPr>
        <w:pStyle w:val="Compact"/>
      </w:pPr>
      <w:r>
        <w:t xml:space="preserve">Every patient leaving a ward, unit or clinic has a written discharge plan, agreed with the patient, and started before the day of discharge.</w:t>
      </w:r>
    </w:p>
    <w:p>
      <w:pPr>
        <w:numPr>
          <w:ilvl w:val="0"/>
          <w:numId w:val="1001"/>
        </w:numPr>
        <w:pStyle w:val="Compact"/>
      </w:pPr>
      <w:r>
        <w:t xml:space="preserve">The plan covers the diagnosis, treatment given, medicines, follow-up, warning signs, social needs and who to contact.</w:t>
      </w:r>
    </w:p>
    <w:p>
      <w:pPr>
        <w:numPr>
          <w:ilvl w:val="0"/>
          <w:numId w:val="1001"/>
        </w:numPr>
        <w:pStyle w:val="Compact"/>
      </w:pPr>
      <w:r>
        <w:t xml:space="preserve">The plan is sent to the next provider, the GP or community team on the day of discharge, with the patient's agreement.</w:t>
      </w:r>
    </w:p>
    <w:p>
      <w:pPr>
        <w:numPr>
          <w:ilvl w:val="0"/>
          <w:numId w:val="1001"/>
        </w:numPr>
        <w:pStyle w:val="Compact"/>
      </w:pPr>
      <w:r>
        <w:t xml:space="preserve">Patients who cannot go home safely are not discharged until the safe plan is in place.</w:t>
      </w:r>
    </w:p>
    <w:p>
      <w:pPr>
        <w:numPr>
          <w:ilvl w:val="0"/>
          <w:numId w:val="1001"/>
        </w:numPr>
        <w:pStyle w:val="Compact"/>
      </w:pPr>
      <w:r>
        <w:t xml:space="preserve">Stop and check if: a plan is missing, not agreed with the patient, or has not reached the next provider.</w:t>
      </w:r>
    </w:p>
    <w:bookmarkStart w:id="20" w:name="purpose"/>
    <w:p>
      <w:pPr>
        <w:pStyle w:val="Heading2"/>
      </w:pPr>
      <w:r>
        <w:t xml:space="preserve">1. Purpose</w:t>
      </w:r>
    </w:p>
    <w:p>
      <w:pPr>
        <w:pStyle w:val="FirstParagraph"/>
      </w:pPr>
      <w:r>
        <w:t xml:space="preserve">To make sure every patient leaves with a written discharge plan that they understand and agree with, and that the plan reaches the people who will care for them next, so that care continues without a gap (42.1).</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Doctors, nurses, allied health staff, social workers and discharge coordinators</w:t>
            </w:r>
          </w:p>
        </w:tc>
      </w:tr>
      <w:tr>
        <w:tc>
          <w:tcPr/>
          <w:p>
            <w:pPr>
              <w:pStyle w:val="Compact"/>
              <w:jc w:val="left"/>
            </w:pPr>
            <w:r>
              <w:t xml:space="preserve">Patients</w:t>
            </w:r>
          </w:p>
        </w:tc>
        <w:tc>
          <w:tcPr/>
          <w:p>
            <w:pPr>
              <w:pStyle w:val="Compact"/>
              <w:jc w:val="left"/>
            </w:pPr>
            <w:r>
              <w:t xml:space="preserve">All patients discharged from inpatient, day-case, emergency and outpatient care, including transfers to another facility or to home</w:t>
            </w:r>
          </w:p>
        </w:tc>
      </w:tr>
      <w:tr>
        <w:tc>
          <w:tcPr/>
          <w:p>
            <w:pPr>
              <w:pStyle w:val="Compact"/>
              <w:jc w:val="left"/>
            </w:pPr>
            <w:r>
              <w:t xml:space="preserve">Documents</w:t>
            </w:r>
          </w:p>
        </w:tc>
        <w:tc>
          <w:tcPr/>
          <w:p>
            <w:pPr>
              <w:pStyle w:val="Compact"/>
              <w:jc w:val="left"/>
            </w:pPr>
            <w:r>
              <w:t xml:space="preserve">The discharge plan, the summary sent to the next provider, and the patient's copy</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Discharge plan</w:t>
            </w:r>
          </w:p>
        </w:tc>
        <w:tc>
          <w:tcPr/>
          <w:p>
            <w:pPr>
              <w:pStyle w:val="Compact"/>
              <w:jc w:val="left"/>
            </w:pPr>
            <w:r>
              <w:t xml:space="preserve">A written plan that sets out the patient's condition at discharge, the care they need after it, who will provide it, and how to get help</w:t>
            </w:r>
          </w:p>
        </w:tc>
      </w:tr>
      <w:tr>
        <w:tc>
          <w:tcPr/>
          <w:p>
            <w:pPr>
              <w:pStyle w:val="Compact"/>
              <w:jc w:val="left"/>
            </w:pPr>
            <w:r>
              <w:t xml:space="preserve">Next provider</w:t>
            </w:r>
          </w:p>
        </w:tc>
        <w:tc>
          <w:tcPr/>
          <w:p>
            <w:pPr>
              <w:pStyle w:val="Compact"/>
              <w:jc w:val="left"/>
            </w:pPr>
            <w:r>
              <w:t xml:space="preserve">The GP, community team, care home, another facility or the family member responsible for the next stage of care</w:t>
            </w:r>
          </w:p>
        </w:tc>
      </w:tr>
      <w:tr>
        <w:tc>
          <w:tcPr/>
          <w:p>
            <w:pPr>
              <w:pStyle w:val="Compact"/>
              <w:jc w:val="left"/>
            </w:pPr>
            <w:r>
              <w:t xml:space="preserve">Teach-back</w:t>
            </w:r>
          </w:p>
        </w:tc>
        <w:tc>
          <w:tcPr/>
          <w:p>
            <w:pPr>
              <w:pStyle w:val="Compact"/>
              <w:jc w:val="left"/>
            </w:pPr>
            <w:r>
              <w:t xml:space="preserve">A check that the patient understands the plan, by asking them to say back the key points in their own words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Poor discharge is one of the most common causes of readmission and harm after hospital care. Plans that are written late, that do not reach the next provider, or that the patient does not understand are a frequent cause of avoidable problems. Starting planning early, and agreeing the plan with the patient, improves outcomes.</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Responsible clinician</w:t>
            </w:r>
          </w:p>
        </w:tc>
        <w:tc>
          <w:tcPr/>
          <w:p>
            <w:pPr>
              <w:pStyle w:val="Compact"/>
              <w:jc w:val="left"/>
            </w:pPr>
            <w:r>
              <w:t xml:space="preserve">Confirms the patient is fit for discharge, agrees the plan, and signs the discharge summary</w:t>
            </w:r>
          </w:p>
        </w:tc>
      </w:tr>
      <w:tr>
        <w:tc>
          <w:tcPr/>
          <w:p>
            <w:pPr>
              <w:pStyle w:val="Compact"/>
              <w:jc w:val="left"/>
            </w:pPr>
            <w:r>
              <w:t xml:space="preserve">Ward nurse</w:t>
            </w:r>
          </w:p>
        </w:tc>
        <w:tc>
          <w:tcPr/>
          <w:p>
            <w:pPr>
              <w:pStyle w:val="Compact"/>
              <w:jc w:val="left"/>
            </w:pPr>
            <w:r>
              <w:t xml:space="preserve">Gives the patient the written plan and warning signs, does the teach-back, and confirms the medicines</w:t>
            </w:r>
          </w:p>
        </w:tc>
      </w:tr>
      <w:tr>
        <w:tc>
          <w:tcPr/>
          <w:p>
            <w:pPr>
              <w:pStyle w:val="Compact"/>
              <w:jc w:val="left"/>
            </w:pPr>
            <w:r>
              <w:t xml:space="preserve">Discharge coordinator or social worker</w:t>
            </w:r>
          </w:p>
        </w:tc>
        <w:tc>
          <w:tcPr/>
          <w:p>
            <w:pPr>
              <w:pStyle w:val="Compact"/>
              <w:jc w:val="left"/>
            </w:pPr>
            <w:r>
              <w:t xml:space="preserve">Arranges the services, transport and support needed, and confirms they are in place</w:t>
            </w:r>
          </w:p>
        </w:tc>
      </w:tr>
      <w:tr>
        <w:tc>
          <w:tcPr/>
          <w:p>
            <w:pPr>
              <w:pStyle w:val="Compact"/>
              <w:jc w:val="left"/>
            </w:pPr>
            <w:r>
              <w:t xml:space="preserve">Service manager</w:t>
            </w:r>
          </w:p>
        </w:tc>
        <w:tc>
          <w:tcPr/>
          <w:p>
            <w:pPr>
              <w:pStyle w:val="Compact"/>
              <w:jc w:val="left"/>
            </w:pPr>
            <w:r>
              <w:t xml:space="preserve">Keeps the template, the transfer route and the audit in place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9" w:name="procedure"/>
    <w:p>
      <w:pPr>
        <w:pStyle w:val="Heading2"/>
      </w:pPr>
      <w:r>
        <w:t xml:space="preserve">6. Procedure</w:t>
      </w:r>
    </w:p>
    <w:bookmarkStart w:id="25" w:name="starting-the-plan"/>
    <w:p>
      <w:pPr>
        <w:pStyle w:val="Heading3"/>
      </w:pPr>
      <w:r>
        <w:t xml:space="preserve">6.1 Starting the plan</w:t>
      </w:r>
    </w:p>
    <w:p>
      <w:pPr>
        <w:numPr>
          <w:ilvl w:val="0"/>
          <w:numId w:val="1002"/>
        </w:numPr>
        <w:pStyle w:val="Compact"/>
      </w:pPr>
      <w:r>
        <w:t xml:space="preserve">Start discharge planning on admission, and record the expected discharge date and the likely needs.</w:t>
      </w:r>
    </w:p>
    <w:p>
      <w:pPr>
        <w:numPr>
          <w:ilvl w:val="0"/>
          <w:numId w:val="1002"/>
        </w:numPr>
        <w:pStyle w:val="Compact"/>
      </w:pPr>
      <w:r>
        <w:t xml:space="preserve">Identify early any patient who may need support at home, a care package or a transfer, and inform the discharge coordinator within 24 hours of admission.</w:t>
      </w:r>
    </w:p>
    <w:p>
      <w:pPr>
        <w:numPr>
          <w:ilvl w:val="0"/>
          <w:numId w:val="1002"/>
        </w:numPr>
        <w:pStyle w:val="Compact"/>
      </w:pPr>
      <w:r>
        <w:t xml:space="preserve">Review the planned date at each ward round, and update the plan when it changes.</w:t>
      </w:r>
    </w:p>
    <w:bookmarkEnd w:id="25"/>
    <w:bookmarkStart w:id="26" w:name="writing-the-plan"/>
    <w:p>
      <w:pPr>
        <w:pStyle w:val="Heading3"/>
      </w:pPr>
      <w:r>
        <w:t xml:space="preserve">6.2 Writing the plan</w:t>
      </w:r>
    </w:p>
    <w:p>
      <w:pPr>
        <w:numPr>
          <w:ilvl w:val="0"/>
          <w:numId w:val="1003"/>
        </w:numPr>
        <w:pStyle w:val="Compact"/>
      </w:pPr>
      <w:r>
        <w:t xml:space="preserve">Write the plan with the patient, using plain language, in the language the patient uses.</w:t>
      </w:r>
    </w:p>
    <w:p>
      <w:pPr>
        <w:numPr>
          <w:ilvl w:val="0"/>
          <w:numId w:val="1003"/>
        </w:numPr>
        <w:pStyle w:val="Compact"/>
      </w:pPr>
      <w:r>
        <w:t xml:space="preserve">Include: diagnosis and treatment given; medicines at discharge with any changes; follow-up appointments with dates; tests still awaited, with who will act on them; warning signs and who to call; activity, diet and self-care advice; social and carer needs and services in place; and the contact number of the ward.</w:t>
      </w:r>
    </w:p>
    <w:p>
      <w:pPr>
        <w:numPr>
          <w:ilvl w:val="0"/>
          <w:numId w:val="1003"/>
        </w:numPr>
        <w:pStyle w:val="Compact"/>
      </w:pPr>
      <w:r>
        <w:t xml:space="preserve">Record the patient's agreement, or the reason it could not be agreed.</w:t>
      </w:r>
    </w:p>
    <w:bookmarkEnd w:id="26"/>
    <w:bookmarkStart w:id="27" w:name="passing-it-on"/>
    <w:p>
      <w:pPr>
        <w:pStyle w:val="Heading3"/>
      </w:pPr>
      <w:r>
        <w:t xml:space="preserve">6.3 Passing it on</w:t>
      </w:r>
    </w:p>
    <w:p>
      <w:pPr>
        <w:numPr>
          <w:ilvl w:val="0"/>
          <w:numId w:val="1004"/>
        </w:numPr>
        <w:pStyle w:val="Compact"/>
      </w:pPr>
      <w:r>
        <w:t xml:space="preserve">Send the discharge summary and the plan to the next provider on the day of discharge, by the agreed secure route.</w:t>
      </w:r>
    </w:p>
    <w:p>
      <w:pPr>
        <w:numPr>
          <w:ilvl w:val="0"/>
          <w:numId w:val="1004"/>
        </w:numPr>
        <w:pStyle w:val="Compact"/>
      </w:pPr>
      <w:r>
        <w:t xml:space="preserve">Give the patient their copy, and send one to the GP with the patient's agreement.</w:t>
      </w:r>
    </w:p>
    <w:p>
      <w:pPr>
        <w:numPr>
          <w:ilvl w:val="0"/>
          <w:numId w:val="1004"/>
        </w:numPr>
        <w:pStyle w:val="Compact"/>
      </w:pPr>
      <w:r>
        <w:t xml:space="preserve">Record the date and the route sent, and the name of the person who received it where known.</w:t>
      </w:r>
    </w:p>
    <w:bookmarkEnd w:id="27"/>
    <w:bookmarkStart w:id="28" w:name="teach-back-and-confirmation"/>
    <w:p>
      <w:pPr>
        <w:pStyle w:val="Heading3"/>
      </w:pPr>
      <w:r>
        <w:t xml:space="preserve">6.4 Teach-back and confirmation</w:t>
      </w:r>
    </w:p>
    <w:p>
      <w:pPr>
        <w:numPr>
          <w:ilvl w:val="0"/>
          <w:numId w:val="1005"/>
        </w:numPr>
        <w:pStyle w:val="Compact"/>
      </w:pPr>
      <w:r>
        <w:t xml:space="preserve">Before discharge, ask the patient and their carer to explain the key points of the plan in their own words.</w:t>
      </w:r>
    </w:p>
    <w:p>
      <w:pPr>
        <w:numPr>
          <w:ilvl w:val="0"/>
          <w:numId w:val="1005"/>
        </w:numPr>
        <w:pStyle w:val="Compact"/>
      </w:pPr>
      <w:r>
        <w:t xml:space="preserve">Correct any misunderstanding and repeat the check until the key points are correct.</w:t>
      </w:r>
    </w:p>
    <w:p>
      <w:pPr>
        <w:numPr>
          <w:ilvl w:val="0"/>
          <w:numId w:val="1005"/>
        </w:numPr>
        <w:pStyle w:val="Compact"/>
      </w:pPr>
      <w:r>
        <w:t xml:space="preserve">Record the teach-back result on the plan.</w:t>
      </w:r>
    </w:p>
    <w:bookmarkEnd w:id="28"/>
    <w:bookmarkEnd w:id="29"/>
    <w:bookmarkStart w:id="30" w:name="decision-points"/>
    <w:p>
      <w:pPr>
        <w:pStyle w:val="Heading2"/>
      </w:pPr>
      <w:r>
        <w:t xml:space="preserve">7.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Patient is not safe to go home</w:t>
            </w:r>
          </w:p>
        </w:tc>
        <w:tc>
          <w:tcPr/>
          <w:p>
            <w:pPr>
              <w:pStyle w:val="Compact"/>
              <w:jc w:val="left"/>
            </w:pPr>
            <w:r>
              <w:t xml:space="preserve">Do not discharge until a safe plan is in place. Inform the senior clinician and the discharge coordinator the same day</w:t>
            </w:r>
          </w:p>
        </w:tc>
      </w:tr>
      <w:tr>
        <w:tc>
          <w:tcPr/>
          <w:p>
            <w:pPr>
              <w:pStyle w:val="Compact"/>
              <w:jc w:val="left"/>
            </w:pPr>
            <w:r>
              <w:t xml:space="preserve">Next provider does not accept the plan</w:t>
            </w:r>
          </w:p>
        </w:tc>
        <w:tc>
          <w:tcPr/>
          <w:p>
            <w:pPr>
              <w:pStyle w:val="Compact"/>
              <w:jc w:val="left"/>
            </w:pPr>
            <w:r>
              <w:t xml:space="preserve">Inform the responsible clinician, who contacts the provider directly before discharge</w:t>
            </w:r>
          </w:p>
        </w:tc>
      </w:tr>
      <w:tr>
        <w:tc>
          <w:tcPr/>
          <w:p>
            <w:pPr>
              <w:pStyle w:val="Compact"/>
              <w:jc w:val="left"/>
            </w:pPr>
            <w:r>
              <w:t xml:space="preserve">Patient does not agree with the plan</w:t>
            </w:r>
          </w:p>
        </w:tc>
        <w:tc>
          <w:tcPr/>
          <w:p>
            <w:pPr>
              <w:pStyle w:val="Compact"/>
              <w:jc w:val="left"/>
            </w:pPr>
            <w:r>
              <w:t xml:space="preserve">Discuss the reasons, offer a second conversation with the senior clinician, and record the outcome, including the patient's decision and any risks they have accepted</w:t>
            </w:r>
          </w:p>
        </w:tc>
      </w:tr>
      <w:tr>
        <w:tc>
          <w:tcPr/>
          <w:p>
            <w:pPr>
              <w:pStyle w:val="Compact"/>
              <w:jc w:val="left"/>
            </w:pPr>
            <w:r>
              <w:t xml:space="preserve">Patient does not speak the language</w:t>
            </w:r>
          </w:p>
        </w:tc>
        <w:tc>
          <w:tcPr/>
          <w:p>
            <w:pPr>
              <w:pStyle w:val="Compact"/>
              <w:jc w:val="left"/>
            </w:pPr>
            <w:r>
              <w:t xml:space="preserve">Use a professional interpreter for the plan and teach-back</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0"/>
    <w:bookmarkStart w:id="31" w:name="escalation"/>
    <w:p>
      <w:pPr>
        <w:pStyle w:val="Heading2"/>
      </w:pPr>
      <w:r>
        <w:t xml:space="preserve">8. Escalation</w:t>
      </w:r>
    </w:p>
    <w:p>
      <w:pPr>
        <w:numPr>
          <w:ilvl w:val="0"/>
          <w:numId w:val="1006"/>
        </w:numPr>
        <w:pStyle w:val="Compact"/>
      </w:pPr>
      <w:r>
        <w:t xml:space="preserve">Plan not sent by the end of the day of discharge: the ward manager is informed the same day.</w:t>
      </w:r>
    </w:p>
    <w:p>
      <w:pPr>
        <w:numPr>
          <w:ilvl w:val="0"/>
          <w:numId w:val="1006"/>
        </w:numPr>
        <w:pStyle w:val="Compact"/>
      </w:pPr>
      <w:r>
        <w:t xml:space="preserve">Readmission within 28 days linked to a planning gap: the discharge review is carried out within 14 days, and the case is reported to the governance meeting.</w:t>
      </w:r>
    </w:p>
    <w:p>
      <w:pPr>
        <w:numPr>
          <w:ilvl w:val="0"/>
          <w:numId w:val="1006"/>
        </w:numPr>
        <w:pStyle w:val="Compact"/>
      </w:pPr>
      <w:r>
        <w:t xml:space="preserve">Harm after discharge linked to the plan: report under INC-SOP-001 within 24 hours.</w:t>
      </w:r>
    </w:p>
    <w:bookmarkEnd w:id="31"/>
    <w:bookmarkStart w:id="32" w:name="monitoring"/>
    <w:p>
      <w:pPr>
        <w:pStyle w:val="Heading2"/>
      </w:pPr>
      <w:r>
        <w:t xml:space="preserve">9. Monitoring</w:t>
      </w:r>
    </w:p>
    <w:p>
      <w:pPr>
        <w:pStyle w:val="FirstParagraph"/>
      </w:pPr>
      <w:r>
        <w:t xml:space="preserve">The ward manager audits 20 discharges each month for the existence of the plan, the agreement, the teach-back, and the time it was sent. Results are reported to the quality committee each quarter.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Discharges with a written plan agreed with the patient</w:t>
            </w:r>
          </w:p>
        </w:tc>
        <w:tc>
          <w:tcPr/>
          <w:p>
            <w:pPr>
              <w:pStyle w:val="Compact"/>
              <w:jc w:val="left"/>
            </w:pPr>
            <w:r>
              <w:t xml:space="preserve">100 percent</w:t>
            </w:r>
          </w:p>
        </w:tc>
      </w:tr>
      <w:tr>
        <w:tc>
          <w:tcPr/>
          <w:p>
            <w:pPr>
              <w:pStyle w:val="Compact"/>
              <w:jc w:val="left"/>
            </w:pPr>
            <w:r>
              <w:t xml:space="preserve">Plans sent to the next provider on the day of discharge</w:t>
            </w:r>
          </w:p>
        </w:tc>
        <w:tc>
          <w:tcPr/>
          <w:p>
            <w:pPr>
              <w:pStyle w:val="Compact"/>
              <w:jc w:val="left"/>
            </w:pPr>
            <w:r>
              <w:t xml:space="preserve">At least 95 percent</w:t>
            </w:r>
          </w:p>
        </w:tc>
      </w:tr>
      <w:tr>
        <w:tc>
          <w:tcPr/>
          <w:p>
            <w:pPr>
              <w:pStyle w:val="Compact"/>
              <w:jc w:val="left"/>
            </w:pPr>
            <w:r>
              <w:t xml:space="preserve">Teach-back recorded</w:t>
            </w:r>
          </w:p>
        </w:tc>
        <w:tc>
          <w:tcPr/>
          <w:p>
            <w:pPr>
              <w:pStyle w:val="Compact"/>
              <w:jc w:val="left"/>
            </w:pPr>
            <w:r>
              <w:t xml:space="preserve">At least 95 percent</w:t>
            </w:r>
          </w:p>
        </w:tc>
      </w:tr>
      <w:tr>
        <w:tc>
          <w:tcPr/>
          <w:p>
            <w:pPr>
              <w:pStyle w:val="Compact"/>
              <w:jc w:val="left"/>
            </w:pPr>
            <w:r>
              <w:t xml:space="preserve">Readmissions within 28 days with a planning gap found on review</w:t>
            </w:r>
          </w:p>
        </w:tc>
        <w:tc>
          <w:tcPr/>
          <w:p>
            <w:pPr>
              <w:pStyle w:val="Compact"/>
              <w:jc w:val="left"/>
            </w:pPr>
            <w:r>
              <w:t xml:space="preserve">Reviewed each quarter</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2"/>
    <w:bookmarkStart w:id="33" w:name="records"/>
    <w:p>
      <w:pPr>
        <w:pStyle w:val="Heading2"/>
      </w:pPr>
      <w:r>
        <w:t xml:space="preserve">10. Records</w:t>
      </w:r>
    </w:p>
    <w:p>
      <w:pPr>
        <w:numPr>
          <w:ilvl w:val="0"/>
          <w:numId w:val="1007"/>
        </w:numPr>
        <w:pStyle w:val="Compact"/>
      </w:pPr>
      <w:r>
        <w:t xml:space="preserve">Discharge plan, signed by the patient and the clinician.</w:t>
      </w:r>
    </w:p>
    <w:p>
      <w:pPr>
        <w:numPr>
          <w:ilvl w:val="0"/>
          <w:numId w:val="1007"/>
        </w:numPr>
        <w:pStyle w:val="Compact"/>
      </w:pPr>
      <w:r>
        <w:t xml:space="preserve">Discharge summary.</w:t>
      </w:r>
    </w:p>
    <w:p>
      <w:pPr>
        <w:numPr>
          <w:ilvl w:val="0"/>
          <w:numId w:val="1007"/>
        </w:numPr>
        <w:pStyle w:val="Compact"/>
      </w:pPr>
      <w:r>
        <w:t xml:space="preserve">Teach-back record.</w:t>
      </w:r>
    </w:p>
    <w:p>
      <w:pPr>
        <w:numPr>
          <w:ilvl w:val="0"/>
          <w:numId w:val="1007"/>
        </w:numPr>
        <w:pStyle w:val="Compact"/>
      </w:pPr>
      <w:r>
        <w:t xml:space="preserve">Record of transmission to the next provider.</w:t>
      </w:r>
    </w:p>
    <w:bookmarkEnd w:id="33"/>
    <w:bookmarkStart w:id="34" w:name="training"/>
    <w:p>
      <w:pPr>
        <w:pStyle w:val="Heading2"/>
      </w:pPr>
      <w:r>
        <w:t xml:space="preserve">11. Training</w:t>
      </w:r>
    </w:p>
    <w:p>
      <w:pPr>
        <w:pStyle w:val="FirstParagraph"/>
      </w:pPr>
      <w:r>
        <w:t xml:space="preserve">All staff who prepare or agree discharge plans complete training on the template, teach-back and safe transfer at induction and every two years.</w:t>
      </w:r>
    </w:p>
    <w:bookmarkEnd w:id="34"/>
    <w:bookmarkStart w:id="35" w:name="related-documents"/>
    <w:p>
      <w:pPr>
        <w:pStyle w:val="Heading2"/>
      </w:pPr>
      <w:r>
        <w:t xml:space="preserve">12.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AFT-FRM-001</w:t>
            </w:r>
          </w:p>
        </w:tc>
        <w:tc>
          <w:tcPr/>
          <w:p>
            <w:pPr>
              <w:pStyle w:val="Compact"/>
              <w:jc w:val="left"/>
            </w:pPr>
            <w:r>
              <w:t xml:space="preserve">Follow-up booking before discharge</w:t>
            </w:r>
          </w:p>
        </w:tc>
      </w:tr>
      <w:tr>
        <w:tc>
          <w:tcPr/>
          <w:p>
            <w:pPr>
              <w:pStyle w:val="Compact"/>
              <w:jc w:val="left"/>
            </w:pPr>
            <w:r>
              <w:t xml:space="preserve">AFT-FRM-002</w:t>
            </w:r>
          </w:p>
        </w:tc>
        <w:tc>
          <w:tcPr/>
          <w:p>
            <w:pPr>
              <w:pStyle w:val="Compact"/>
              <w:jc w:val="left"/>
            </w:pPr>
            <w:r>
              <w:t xml:space="preserve">Warning signs and urgent help record</w:t>
            </w:r>
          </w:p>
        </w:tc>
      </w:tr>
      <w:tr>
        <w:tc>
          <w:tcPr/>
          <w:p>
            <w:pPr>
              <w:pStyle w:val="Compact"/>
              <w:jc w:val="left"/>
            </w:pPr>
            <w:r>
              <w:t xml:space="preserve">AFT-SOP-001</w:t>
            </w:r>
          </w:p>
        </w:tc>
        <w:tc>
          <w:tcPr/>
          <w:p>
            <w:pPr>
              <w:pStyle w:val="Compact"/>
              <w:jc w:val="left"/>
            </w:pPr>
            <w:r>
              <w:t xml:space="preserve">High-risk patient contact after discharge</w:t>
            </w:r>
          </w:p>
        </w:tc>
      </w:tr>
      <w:tr>
        <w:tc>
          <w:tcPr/>
          <w:p>
            <w:pPr>
              <w:pStyle w:val="Compact"/>
              <w:jc w:val="left"/>
            </w:pPr>
            <w:r>
              <w:t xml:space="preserve">AFT-SOP-002</w:t>
            </w:r>
          </w:p>
        </w:tc>
        <w:tc>
          <w:tcPr/>
          <w:p>
            <w:pPr>
              <w:pStyle w:val="Compact"/>
              <w:jc w:val="left"/>
            </w:pPr>
            <w:r>
              <w:t xml:space="preserve">Written warning signs and urgent help route</w:t>
            </w:r>
          </w:p>
        </w:tc>
      </w:tr>
      <w:tr>
        <w:tc>
          <w:tcPr/>
          <w:p>
            <w:pPr>
              <w:pStyle w:val="Compact"/>
              <w:jc w:val="left"/>
            </w:pPr>
            <w:r>
              <w:t xml:space="preserve">SHO-SOP-001</w:t>
            </w:r>
          </w:p>
        </w:tc>
        <w:tc>
          <w:tcPr/>
          <w:p>
            <w:pPr>
              <w:pStyle w:val="Compact"/>
              <w:jc w:val="left"/>
            </w:pPr>
            <w:r>
              <w:t xml:space="preserve">Safe handover procedure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5"/>
    <w:bookmarkStart w:id="36" w:name="evidence"/>
    <w:p>
      <w:pPr>
        <w:pStyle w:val="Heading2"/>
      </w:pPr>
      <w:r>
        <w:t xml:space="preserve">13. Evidence</w:t>
      </w:r>
    </w:p>
    <w:p>
      <w:pPr>
        <w:pStyle w:val="FirstParagraph"/>
      </w:pPr>
      <w:r>
        <w:t xml:space="preserve">This SOP is based on the reference sources listed below and on the requirement of criterion 42.1 of the ASF standards. The template and the transmission route must be confirmed against the national transfer-of-care requirements at each review.</w:t>
      </w:r>
    </w:p>
    <w:bookmarkEnd w:id="36"/>
    <w:bookmarkStart w:id="37" w:name="references"/>
    <w:p>
      <w:pPr>
        <w:pStyle w:val="Heading2"/>
      </w:pPr>
      <w:r>
        <w:t xml:space="preserve">References</w:t>
      </w:r>
    </w:p>
    <w:p>
      <w:pPr>
        <w:numPr>
          <w:ilvl w:val="0"/>
          <w:numId w:val="1008"/>
        </w:numPr>
        <w:pStyle w:val="Compact"/>
      </w:pPr>
      <w:r>
        <w:t xml:space="preserve">NHS England. Transfer of care from hospital to primary care (transfer of care standard). Current edition (check the current publication before use).</w:t>
      </w:r>
    </w:p>
    <w:p>
      <w:pPr>
        <w:numPr>
          <w:ilvl w:val="0"/>
          <w:numId w:val="1008"/>
        </w:numPr>
        <w:pStyle w:val="Compact"/>
      </w:pPr>
      <w:r>
        <w:t xml:space="preserve">NICE. NG27: Transition between inpatient hospital settings and community or care home settings. 2015.</w:t>
      </w:r>
    </w:p>
    <w:p>
      <w:pPr>
        <w:numPr>
          <w:ilvl w:val="0"/>
          <w:numId w:val="1008"/>
        </w:numPr>
        <w:pStyle w:val="Compact"/>
      </w:pPr>
      <w:r>
        <w:t xml:space="preserve">Facility discharge template and transfer route (to be inserted by the facility at adoption).</w:t>
      </w:r>
    </w:p>
    <w:bookmarkEnd w:id="37"/>
    <w:bookmarkStart w:id="41"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8">
        <w:r>
          <w:rPr>
            <w:rStyle w:val="Hyperlink"/>
          </w:rPr>
          <w:t xml:space="preserve">Download this document as PDF</w:t>
        </w:r>
      </w:hyperlink>
    </w:p>
    <w:p>
      <w:pPr>
        <w:pStyle w:val="BodyText"/>
      </w:pPr>
      <w:hyperlink r:id="rId39">
        <w:r>
          <w:rPr>
            <w:rStyle w:val="Hyperlink"/>
          </w:rPr>
          <w:t xml:space="preserve">Download this document as an editable Word file</w:t>
        </w:r>
      </w:hyperlink>
    </w:p>
    <w:p>
      <w:pPr>
        <w:pStyle w:val="BodyText"/>
      </w:pPr>
      <w:r>
        <w:t xml:space="preserve">Related standard</w:t>
      </w:r>
    </w:p>
    <w:p>
      <w:pPr>
        <w:numPr>
          <w:ilvl w:val="0"/>
          <w:numId w:val="1009"/>
        </w:numPr>
        <w:pStyle w:val="Compact"/>
      </w:pPr>
      <w:hyperlink r:id="rId40">
        <w:r>
          <w:rPr>
            <w:rStyle w:val="Hyperlink"/>
          </w:rPr>
          <w:t xml:space="preserve">Standard 42: Aftercare, Follow-Up and Post-Discharge Safety</w:t>
        </w:r>
      </w:hyperlink>
    </w:p>
    <w:bookmarkEnd w:id="41"/>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0" Type="http://schemas.openxmlformats.org/officeDocument/2006/relationships/hyperlink" Target="https://france-asf.fr/standards/standard-42/" TargetMode="External"/><Relationship Id="rId39" Type="http://schemas.openxmlformats.org/officeDocument/2006/relationships/hyperlink" Target="https://france-asf.fr/wp-content/uploads/2026/10/aft-pln-001.docx" TargetMode="External"/><Relationship Id="rId38" Type="http://schemas.openxmlformats.org/officeDocument/2006/relationships/hyperlink" Target="https://france-asf.fr/wp-content/uploads/2026/10/aft-pln-001.pdf"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france-asf.fr/standards/standard-42/" TargetMode="External"/><Relationship Id="rId39" Type="http://schemas.openxmlformats.org/officeDocument/2006/relationships/hyperlink" Target="https://france-asf.fr/wp-content/uploads/2026/10/aft-pln-001.docx" TargetMode="External"/><Relationship Id="rId38" Type="http://schemas.openxmlformats.org/officeDocument/2006/relationships/hyperlink" Target="https://france-asf.fr/wp-content/uploads/2026/10/aft-pln-0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AFT-PLN-001: Discharge plan: written, agreed and passed on</dc:title>
  <dc:creator/>
  <cp:keywords/>
  <dcterms:created xsi:type="dcterms:W3CDTF">2026-10-28T21:34:21Z</dcterms:created>
  <dcterms:modified xsi:type="dcterms:W3CDTF">2026-10-28T21:34:21Z</dcterms:modified>
</cp:coreProperties>
</file>

<file path=docProps/custom.xml><?xml version="1.0" encoding="utf-8"?>
<Properties xmlns="http://schemas.openxmlformats.org/officeDocument/2006/custom-properties" xmlns:vt="http://schemas.openxmlformats.org/officeDocument/2006/docPropsVTypes"/>
</file>