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AMT-SOP-002:</w:t>
      </w:r>
      <w:r>
        <w:t xml:space="preserve"> </w:t>
      </w:r>
      <w:r>
        <w:t xml:space="preserve">Receiving</w:t>
      </w:r>
      <w:r>
        <w:t xml:space="preserve"> </w:t>
      </w:r>
      <w:r>
        <w:t xml:space="preserve">hospital</w:t>
      </w:r>
      <w:r>
        <w:t xml:space="preserve"> </w:t>
      </w:r>
      <w:r>
        <w:t xml:space="preserve">agreement</w:t>
      </w:r>
      <w:r>
        <w:t xml:space="preserve"> </w:t>
      </w:r>
      <w:r>
        <w:t xml:space="preserve">and</w:t>
      </w:r>
      <w:r>
        <w:t xml:space="preserve"> </w:t>
      </w:r>
      <w:r>
        <w:t xml:space="preserve">acceptance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Organisation name</w:t>
            </w:r>
          </w:p>
          <w:p>
            <w:pPr>
              <w:pStyle w:val="Compact"/>
              <w:jc w:val="left"/>
            </w:pPr>
            <w:r>
              <w:t xml:space="preserve">Site or unit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Standard operating procedure</w:t>
            </w:r>
          </w:p>
          <w:p>
            <w:pPr>
              <w:pStyle w:val="Compact"/>
              <w:jc w:val="left"/>
            </w:pPr>
            <w:r>
              <w:t xml:space="preserve">Receiving hospital agreement and acceptance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AMT-SOP-002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Blank form, to adapt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Issue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Review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Standard S5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 xml:space="preserve">Standard operating procedure (SOP) · AMT-SOP-002 · Version 1.0 · Approved by the ASF Expert Committee</w:t>
      </w:r>
    </w:p>
    <w:p>
      <w:pPr>
        <w:pStyle w:val="BodyText"/>
      </w:pPr>
      <w:r>
        <w:rPr>
          <w:bCs/>
          <w:b/>
        </w:rPr>
        <w:t xml:space="preserve">Supports:</w:t>
      </w:r>
      <w:r>
        <w:t xml:space="preserve"> </w:t>
      </w:r>
      <w:r>
        <w:t xml:space="preserve">System S5 (Ambulance and patient transport), criterion S5.4</w:t>
      </w:r>
    </w:p>
    <w:p>
      <w:pPr>
        <w:pStyle w:val="BodyText"/>
      </w:pPr>
      <w:r>
        <w:t xml:space="preserve">At a glance</w:t>
      </w:r>
    </w:p>
    <w:p>
      <w:pPr>
        <w:numPr>
          <w:ilvl w:val="0"/>
          <w:numId w:val="1001"/>
        </w:numPr>
        <w:pStyle w:val="Compact"/>
      </w:pPr>
      <w:r>
        <w:t xml:space="preserve">Send a patient only to a receiver with a written agreement.</w:t>
      </w:r>
    </w:p>
    <w:p>
      <w:pPr>
        <w:numPr>
          <w:ilvl w:val="0"/>
          <w:numId w:val="1001"/>
        </w:numPr>
        <w:pStyle w:val="Compact"/>
      </w:pPr>
      <w:r>
        <w:t xml:space="preserve">Agree the handover point, the acceptance process and the escalation contact.</w:t>
      </w:r>
    </w:p>
    <w:p>
      <w:pPr>
        <w:numPr>
          <w:ilvl w:val="0"/>
          <w:numId w:val="1001"/>
        </w:numPr>
        <w:pStyle w:val="Compact"/>
      </w:pPr>
      <w:r>
        <w:t xml:space="preserve">Confirm acceptance before the vehicle leaves.</w:t>
      </w:r>
    </w:p>
    <w:p>
      <w:pPr>
        <w:numPr>
          <w:ilvl w:val="0"/>
          <w:numId w:val="1001"/>
        </w:numPr>
        <w:pStyle w:val="Compact"/>
      </w:pPr>
      <w:r>
        <w:t xml:space="preserve">Record the receiver's name and the time of acceptance.</w:t>
      </w:r>
    </w:p>
    <w:p>
      <w:pPr>
        <w:numPr>
          <w:ilvl w:val="0"/>
          <w:numId w:val="1001"/>
        </w:numPr>
        <w:pStyle w:val="Compact"/>
      </w:pPr>
      <w:r>
        <w:t xml:space="preserve">Stop and get help straight away if: a patient is sent to a receiver with no written agreement, or without acceptance confirmed.</w:t>
      </w:r>
    </w:p>
    <w:bookmarkStart w:id="22" w:name="purpose"/>
    <w:p>
      <w:pPr>
        <w:pStyle w:val="Heading2"/>
      </w:pPr>
      <w:r>
        <w:t xml:space="preserve">1. Purpose</w:t>
      </w:r>
    </w:p>
    <w:p>
      <w:pPr>
        <w:pStyle w:val="FirstParagraph"/>
      </w:pPr>
      <w:r>
        <w:t xml:space="preserve">To make sure each receiving service has agreed where and to whom the patient is handed over (S5.4).</w:t>
      </w:r>
    </w:p>
    <w:bookmarkEnd w:id="22"/>
    <w:bookmarkStart w:id="23" w:name="scope"/>
    <w:p>
      <w:pPr>
        <w:pStyle w:val="Heading2"/>
      </w:pPr>
      <w:r>
        <w:t xml:space="preserve">2. Scope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Applies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and support staff in the hospital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wards, clinics and departments of the facility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When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Whenever the activity described is carried out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Does not apply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Activities covered by another document listed in section 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definitions"/>
    <w:p>
      <w:pPr>
        <w:pStyle w:val="Heading2"/>
      </w:pPr>
      <w:r>
        <w:t xml:space="preserve">3. Definitions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Term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Clinical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doctor or nurse in charge of the area at the time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background"/>
    <w:p>
      <w:pPr>
        <w:pStyle w:val="Heading2"/>
      </w:pPr>
      <w:r>
        <w:t xml:space="preserve">4. Background</w:t>
      </w:r>
    </w:p>
    <w:p>
      <w:pPr>
        <w:pStyle w:val="FirstParagraph"/>
      </w:pPr>
      <w:r>
        <w:t xml:space="preserve">Most harm in transfer happens at the handover. If the receiving hospital has not agreed where and to whom the patient is handed over, the patient can wait on a pavement or in a corridor with no one responsible.</w:t>
      </w:r>
    </w:p>
    <w:bookmarkEnd w:id="25"/>
    <w:bookmarkStart w:id="26" w:name="responsibilities"/>
    <w:p>
      <w:pPr>
        <w:pStyle w:val="Heading2"/>
      </w:pPr>
      <w:r>
        <w:t xml:space="preserve">5. Responsibilities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Responsibility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Competence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Dispatch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Holds the agreements and confirms acceptance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Trained dispatcher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Clinical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Agrees the escalation contacts with each receiver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Clinician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materials-and-equipment"/>
    <w:p>
      <w:pPr>
        <w:pStyle w:val="Heading2"/>
      </w:pPr>
      <w:r>
        <w:t xml:space="preserve">6. Materials and equipment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Requirement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Condition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Records and forms named in this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Checked before use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safety"/>
    <w:p>
      <w:pPr>
        <w:pStyle w:val="Heading2"/>
      </w:pPr>
      <w:r>
        <w:t xml:space="preserve">7. Safety</w:t>
      </w:r>
    </w:p>
    <w:p>
      <w:pPr>
        <w:numPr>
          <w:ilvl w:val="0"/>
          <w:numId w:val="1002"/>
        </w:numPr>
        <w:pStyle w:val="Compact"/>
      </w:pPr>
      <w:r>
        <w:t xml:space="preserve">Stop and call for help if a patient is at immediate risk. Do not delay urgent care to complete paperwork.</w:t>
      </w:r>
    </w:p>
    <w:bookmarkEnd w:id="28"/>
    <w:bookmarkStart w:id="29" w:name="before-you-start"/>
    <w:p>
      <w:pPr>
        <w:pStyle w:val="Heading2"/>
      </w:pPr>
      <w:r>
        <w:t xml:space="preserve">8. Before you start</w:t>
      </w:r>
    </w:p>
    <w:p>
      <w:pPr>
        <w:numPr>
          <w:ilvl w:val="0"/>
          <w:numId w:val="1003"/>
        </w:numPr>
        <w:pStyle w:val="Compact"/>
      </w:pPr>
      <w:r>
        <w:t xml:space="preserve">Confirm the forms and equipment named in this document are available and current.</w:t>
      </w:r>
    </w:p>
    <w:bookmarkEnd w:id="29"/>
    <w:bookmarkStart w:id="30" w:name="procedure"/>
    <w:p>
      <w:pPr>
        <w:pStyle w:val="Heading2"/>
      </w:pPr>
      <w:r>
        <w:t xml:space="preserve">9. Procedure</w:t>
      </w:r>
    </w:p>
    <w:p>
      <w:pPr>
        <w:pStyle w:val="FirstParagraph"/>
      </w:pPr>
      <w:r>
        <w:t xml:space="preserve">Step 1. Check the agreement.</w:t>
      </w:r>
    </w:p>
    <w:p>
      <w:pPr>
        <w:numPr>
          <w:ilvl w:val="0"/>
          <w:numId w:val="1004"/>
        </w:numPr>
        <w:pStyle w:val="Compact"/>
      </w:pPr>
      <w:r>
        <w:t xml:space="preserve">Check the receiving service is on the register of agreements (AMT-REG-002).</w:t>
      </w:r>
    </w:p>
    <w:p>
      <w:pPr>
        <w:numPr>
          <w:ilvl w:val="0"/>
          <w:numId w:val="1004"/>
        </w:numPr>
        <w:pStyle w:val="Compact"/>
      </w:pPr>
      <w:r>
        <w:t xml:space="preserve">If there is no agreement, do not send the patient there.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No agreement, no transfer.</w:t>
      </w:r>
    </w:p>
    <w:p>
      <w:pPr>
        <w:pStyle w:val="BodyText"/>
      </w:pPr>
      <w:r>
        <w:t xml:space="preserve">Step 2. Confirm acceptance.</w:t>
      </w:r>
    </w:p>
    <w:p>
      <w:pPr>
        <w:numPr>
          <w:ilvl w:val="0"/>
          <w:numId w:val="1005"/>
        </w:numPr>
        <w:pStyle w:val="Compact"/>
      </w:pPr>
      <w:r>
        <w:t xml:space="preserve">Call the receiver before the vehicle leaves.</w:t>
      </w:r>
    </w:p>
    <w:p>
      <w:pPr>
        <w:numPr>
          <w:ilvl w:val="0"/>
          <w:numId w:val="1005"/>
        </w:numPr>
        <w:pStyle w:val="Compact"/>
      </w:pPr>
      <w:r>
        <w:t xml:space="preserve">Record the name of the person who accepts the patient and the time.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Acceptance is confirmed, not assumed.</w:t>
      </w:r>
    </w:p>
    <w:p>
      <w:pPr>
        <w:pStyle w:val="BodyText"/>
      </w:pPr>
      <w:r>
        <w:t xml:space="preserve">Step 3. Escalate.</w:t>
      </w:r>
    </w:p>
    <w:p>
      <w:pPr>
        <w:numPr>
          <w:ilvl w:val="0"/>
          <w:numId w:val="1006"/>
        </w:numPr>
        <w:pStyle w:val="Compact"/>
      </w:pPr>
      <w:r>
        <w:t xml:space="preserve">If the receiver cannot accept, use the escalation contact in the agreement.</w:t>
      </w:r>
    </w:p>
    <w:p>
      <w:pPr>
        <w:numPr>
          <w:ilvl w:val="0"/>
          <w:numId w:val="1006"/>
        </w:numPr>
        <w:pStyle w:val="Compact"/>
      </w:pPr>
      <w:r>
        <w:t xml:space="preserve">Record the change and the reason in the log.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The escalation contact is written down.</w:t>
      </w:r>
    </w:p>
    <w:bookmarkEnd w:id="30"/>
    <w:bookmarkStart w:id="31" w:name="decision-points"/>
    <w:p>
      <w:pPr>
        <w:pStyle w:val="Heading2"/>
      </w:pPr>
      <w:r>
        <w:t xml:space="preserve">10. Decision points</w:t>
      </w:r>
    </w:p>
    <w:p>
      <w:pPr>
        <w:numPr>
          <w:ilvl w:val="0"/>
          <w:numId w:val="1007"/>
        </w:numPr>
        <w:pStyle w:val="Compact"/>
      </w:pPr>
      <w:r>
        <w:t xml:space="preserve">No decision points in this procedure.</w:t>
      </w:r>
    </w:p>
    <w:bookmarkEnd w:id="31"/>
    <w:bookmarkStart w:id="32" w:name="special-situations"/>
    <w:p>
      <w:pPr>
        <w:pStyle w:val="Heading2"/>
      </w:pPr>
      <w:r>
        <w:t xml:space="preserve">11. Special situations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Situation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Out of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 the same steps. Use the on-call contact on the wall of the area.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escalation"/>
    <w:p>
      <w:pPr>
        <w:pStyle w:val="Heading2"/>
      </w:pPr>
      <w:r>
        <w:t xml:space="preserve">12. Escalation</w:t>
      </w:r>
    </w:p>
    <w:p>
      <w:pPr>
        <w:numPr>
          <w:ilvl w:val="0"/>
          <w:numId w:val="1008"/>
        </w:numPr>
        <w:pStyle w:val="Compact"/>
      </w:pPr>
      <w:r>
        <w:t xml:space="preserve">Any serious problem goes to the duty clinical lead at once and to the clinical director the same day.</w:t>
      </w:r>
    </w:p>
    <w:bookmarkEnd w:id="33"/>
    <w:bookmarkStart w:id="34" w:name="monitoring"/>
    <w:p>
      <w:pPr>
        <w:pStyle w:val="Heading2"/>
      </w:pPr>
      <w:r>
        <w:t xml:space="preserve">13. Monitoring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Measure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If not met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Transfers to receivers with a written agreement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Dispatch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clinical lead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Acceptance confirmed before departure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Dispatch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clinical lead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records"/>
    <w:p>
      <w:pPr>
        <w:pStyle w:val="Heading2"/>
      </w:pPr>
      <w:r>
        <w:t xml:space="preserve">14. Records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Record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Kept 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Retention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Record named in this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 record or the area file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period set by the facility's records policy years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5"/>
    <w:bookmarkStart w:id="36" w:name="training"/>
    <w:p>
      <w:pPr>
        <w:pStyle w:val="Heading2"/>
      </w:pPr>
      <w:r>
        <w:t xml:space="preserve">15. Training</w:t>
      </w:r>
    </w:p>
    <w:p>
      <w:pPr>
        <w:numPr>
          <w:ilvl w:val="0"/>
          <w:numId w:val="1009"/>
        </w:numPr>
        <w:pStyle w:val="Compact"/>
      </w:pPr>
      <w:r>
        <w:t xml:space="preserve">Staff are trained in this document at induction and refreshed each year, with a recorded competency check.</w:t>
      </w:r>
    </w:p>
    <w:bookmarkEnd w:id="36"/>
    <w:bookmarkStart w:id="39" w:name="related-documents"/>
    <w:p>
      <w:pPr>
        <w:pStyle w:val="Heading2"/>
      </w:pPr>
      <w:r>
        <w:t xml:space="preserve">16. Related documents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Title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AMT-REG-002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Receiving service agreements register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Register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8">
              <w:r>
                <w:rPr>
                  <w:rStyle w:val="Hyperlink"/>
                </w:rPr>
                <w:t xml:space="preserve">AMT-SOP-001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Transfer logging and handover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Log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9"/>
    <w:bookmarkStart w:id="40" w:name="evidence"/>
    <w:p>
      <w:pPr>
        <w:pStyle w:val="Heading2"/>
      </w:pPr>
      <w:r>
        <w:t xml:space="preserve">17. Evidence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0"/>
    <w:bookmarkStart w:id="41" w:name="change-history"/>
    <w:p>
      <w:pPr>
        <w:pStyle w:val="Heading2"/>
      </w:pPr>
      <w:r>
        <w:t xml:space="preserve">18. Change history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changed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date of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 Expert Committee approval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No e-learning course is linked to this document yet.</w:t>
      </w:r>
    </w:p>
    <w:bookmarkEnd w:id="41"/>
    <w:bookmarkStart w:id="44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2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 xml:space="preserve">Related standard</w:t>
      </w:r>
    </w:p>
    <w:p>
      <w:pPr>
        <w:numPr>
          <w:ilvl w:val="0"/>
          <w:numId w:val="1011"/>
        </w:numPr>
        <w:pStyle w:val="Compact"/>
      </w:pPr>
      <w:hyperlink r:id="rId43">
        <w:r>
          <w:rPr>
            <w:rStyle w:val="Hyperlink"/>
          </w:rPr>
          <w:t xml:space="preserve">Standard 7: Emergency Dispatch</w:t>
        </w:r>
      </w:hyperlink>
    </w:p>
    <w:bookmarkEnd w:id="44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7" Type="http://schemas.openxmlformats.org/officeDocument/2006/relationships/hyperlink" Target="/documents/amt-reg-002/" TargetMode="External"/><Relationship Id="rId38" Type="http://schemas.openxmlformats.org/officeDocument/2006/relationships/hyperlink" Target="/documents/amt-sop-001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3" Type="http://schemas.openxmlformats.org/officeDocument/2006/relationships/hyperlink" Target="https://france-asf.fr/standards/standard-7/" TargetMode="External"/><Relationship Id="rId42" Type="http://schemas.openxmlformats.org/officeDocument/2006/relationships/hyperlink" Target="https://france-asf.fr/wp-content/uploads/2026/10/amt-sop-002-1.pdf" TargetMode="External"/></Relationships>
</file>

<file path=word/_rels/footnotes.xml.rels><?xml version='1.0' encoding='UTF-8' standalone='yes'?>
<Relationships xmlns="http://schemas.openxmlformats.org/package/2006/relationships"><Relationship Id="rId37" Type="http://schemas.openxmlformats.org/officeDocument/2006/relationships/hyperlink" Target="/documents/amt-reg-002/" TargetMode="External"/><Relationship Id="rId38" Type="http://schemas.openxmlformats.org/officeDocument/2006/relationships/hyperlink" Target="/documents/amt-sop-001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3" Type="http://schemas.openxmlformats.org/officeDocument/2006/relationships/hyperlink" Target="https://france-asf.fr/standards/standard-7/" TargetMode="External"/><Relationship Id="rId42" Type="http://schemas.openxmlformats.org/officeDocument/2006/relationships/hyperlink" Target="https://france-asf.fr/wp-content/uploads/2026/10/amt-sop-002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AMT-SOP-002: Receiving hospital agreement and acceptance</dc:title>
  <dc:creator/>
  <cp:keywords/>
  <dcterms:created xsi:type="dcterms:W3CDTF">2026-10-28T21:34:29Z</dcterms:created>
  <dcterms:modified xsi:type="dcterms:W3CDTF">2026-10-28T21:34:29Z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