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ASF-QMS-003</w:t>
      </w:r>
    </w:p>
    <w:p>
      <w:pPr>
        <w:spacing w:after="160" w:before="0"/>
      </w:pPr>
      <w:r>
        <w:rPr>
          <w:rFonts w:ascii="Georgia" w:cs="Georgia" w:eastAsia="Georgia" w:hAnsi="Georgia"/>
          <w:b/>
          <w:bCs/>
          <w:color w:val="14335C"/>
          <w:sz w:val="40"/>
          <w:szCs w:val="40"/>
        </w:rPr>
        <w:t xml:space="preserve">Risk Management Policy</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ASF-QMS-003</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ASF operations, governance processes, and the ASF Quality Management System</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ASF-QMS-001 Internal Audit Policy · ASF-QMS-002 Management Review Procedure · ASF-GOV-003 Impartiality Policy · ASF-GOV-004 Confidentiality Policy · ASF-OPS-001 Accreditation Decision Framework</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ASF-QMS-003 V2.0 (2026-11-28)</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2026-11-06</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2026-11-19</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Management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QMS Coordinator</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2026-11-28</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5×5 risk scoring matrix, 4-level risk rating table with colour coding, 6-category risk taxonomy, 5-step risk assessment process, risk treatment options, risk register requirements, integration with audit and management review, and 12 references</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color w:val="3A4455"/>
          <w:sz w:val="20"/>
          <w:szCs w:val="20"/>
        </w:rPr>
        <w:t xml:space="preserve">Risk management is the systematic identification, assessment, treatment, and monitoring of risks that could affect ASF's ability to deliver a credible, impartial, and high-quality accreditation programme. This policy establishes ASF's approach to risk management as a standing component of its quality management system, integrated with internal audit (ASF-QMS-001) and management review (ASF-QMS-002).</w:t>
      </w:r>
    </w:p>
    <w:p>
      <w:pPr>
        <w:spacing w:after="80" w:before="80" w:line="288"/>
      </w:pPr>
      <w:r>
        <w:rPr>
          <w:rFonts w:ascii="Arial" w:cs="Arial" w:eastAsia="Arial" w:hAnsi="Arial"/>
          <w:b/>
          <w:bCs/>
          <w:color w:val="14335C"/>
          <w:sz w:val="20"/>
          <w:szCs w:val="20"/>
        </w:rPr>
        <w:t xml:space="preserve">1.2  </w:t>
      </w:r>
      <w:r>
        <w:rPr>
          <w:rFonts w:ascii="Arial" w:cs="Arial" w:eastAsia="Arial" w:hAnsi="Arial"/>
          <w:color w:val="3A4455"/>
          <w:sz w:val="20"/>
          <w:szCs w:val="20"/>
        </w:rPr>
        <w:t xml:space="preserve">The risk management framework in this policy is based on ISO 31000:2018 principles and is adapted for the specific operational context of an international accreditation body. The purpose is not to eliminate all risk — that is not achievable — but to ensure that ASF's risk exposure is understood, managed to an acceptable level, and regularly reviewed.</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Risk Categories</w:t>
      </w:r>
    </w:p>
    <w:p>
      <w:pPr>
        <w:spacing w:after="80" w:before="80" w:line="288"/>
      </w:pPr>
      <w:r>
        <w:rPr>
          <w:rFonts w:ascii="Arial" w:cs="Arial" w:eastAsia="Arial" w:hAnsi="Arial"/>
          <w:b/>
          <w:bCs/>
          <w:color w:val="14335C"/>
          <w:sz w:val="20"/>
          <w:szCs w:val="20"/>
        </w:rPr>
        <w:t xml:space="preserve">2.1  </w:t>
      </w:r>
      <w:r>
        <w:rPr>
          <w:rFonts w:ascii="Arial" w:cs="Arial" w:eastAsia="Arial" w:hAnsi="Arial"/>
          <w:color w:val="3A4455"/>
          <w:sz w:val="20"/>
          <w:szCs w:val="20"/>
        </w:rPr>
        <w:t xml:space="preserve">ASF's risk register organises risks into the following categories. Each category is assessed as part of the annual risk review cycle:</w:t>
      </w:r>
    </w:p>
    <w:p>
      <w:pPr>
        <w:spacing w:after="80" w:before="80" w:line="288"/>
      </w:pPr>
      <w:r>
        <w:rPr>
          <w:rFonts w:ascii="Arial" w:cs="Arial" w:eastAsia="Arial" w:hAnsi="Arial"/>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200"/>
        <w:gridCol w:w="3800"/>
        <w:gridCol w:w="35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Risk category</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Description</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Example risks</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Impartiality risk</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Risks that could compromise — or appear to compromise — the independence of ASF's accreditation decisions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Undisclosed CoI; financial dependency on a single accredited organisation; surveyor relationship with an applicant</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Standards quality risk</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Risks to the validity, currency, and relevance of ASF's accreditation standards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Standards not updated in response to regulatory change; criteria that do not reflect current clinical evidence</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Operational risk</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Risks to ASF's ability to deliver surveys on time, with competent surveyors, and to agreed quality</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Surveyor shortage; survey scheduling failures; loss of a key staff member</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Legal and compliance risk</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Risks of non-compliance with applicable law, including GDPR, French civil law, Georgian law, and contractual obligations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Data breach; breach of Accreditation Agreement; regulatory investigation</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Reputational risk</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Risks to ASF's credibility, standing with ISQua, and trust among applicants, accredited organisations, and regulators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 high-profile adverse event at an accredited facility; media criticism; unfair complaint upheld against a surveyor</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Financial and sustainability risk</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Risks to ASF's financial stability and long-term operational viability</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Revenue below forecast; unpaid survey fees; unbudgeted costs</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Risk Assessment — Likelihood and Impact Scoring</w:t>
      </w:r>
    </w:p>
    <w:p>
      <w:pPr>
        <w:spacing w:after="80" w:before="80" w:line="288"/>
      </w:pPr>
      <w:r>
        <w:rPr>
          <w:rFonts w:ascii="Arial" w:cs="Arial" w:eastAsia="Arial" w:hAnsi="Arial"/>
          <w:b/>
          <w:bCs/>
          <w:color w:val="14335C"/>
          <w:sz w:val="20"/>
          <w:szCs w:val="20"/>
        </w:rPr>
        <w:t xml:space="preserve">3.1  </w:t>
      </w:r>
      <w:r>
        <w:rPr>
          <w:rFonts w:ascii="Arial" w:cs="Arial" w:eastAsia="Arial" w:hAnsi="Arial"/>
          <w:color w:val="3A4455"/>
          <w:sz w:val="20"/>
          <w:szCs w:val="20"/>
        </w:rPr>
        <w:t xml:space="preserve">Each identified risk is assessed on two dimensions using a five-point scale: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Likelihood: 1 = Rare (less than once in 10 years); 2 = Unlikely (once in 5–10 years); 3 = Possible (once in 2–5 years); 4 = Likely (once a year or more); 5 = Almost certain (multiple times per year).</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Impact: 1 = Negligible; 2 = Minor; 3 = Moderate; 4 = Major; 5 = Critical (threatens ASF's ability to continue operating or its ISQua EEA accreditation).</w:t>
      </w:r>
    </w:p>
    <w:p>
      <w:pPr>
        <w:spacing w:after="80" w:before="80" w:line="288"/>
      </w:pPr>
      <w:r>
        <w:rPr>
          <w:rFonts w:ascii="Arial" w:cs="Arial" w:eastAsia="Arial" w:hAnsi="Arial"/>
          <w:b/>
          <w:bCs/>
          <w:color w:val="14335C"/>
          <w:sz w:val="20"/>
          <w:szCs w:val="20"/>
        </w:rPr>
        <w:t xml:space="preserve">3.2  </w:t>
      </w:r>
      <w:r>
        <w:rPr>
          <w:rFonts w:ascii="Arial" w:cs="Arial" w:eastAsia="Arial" w:hAnsi="Arial"/>
          <w:color w:val="3A4455"/>
          <w:sz w:val="20"/>
          <w:szCs w:val="20"/>
        </w:rPr>
        <w:t xml:space="preserve">The inherent risk score is calculated as Likelihood × Impact (range 1–25). The residual risk score is calculated after applying existing controls. Both scores are recorded in the risk register.</w:t>
      </w:r>
    </w:p>
    <w:p>
      <w:pPr>
        <w:spacing w:after="80" w:before="80" w:line="288"/>
      </w:pPr>
      <w:r>
        <w:rPr>
          <w:rFonts w:ascii="Arial" w:cs="Arial" w:eastAsia="Arial" w:hAnsi="Arial"/>
          <w:b/>
          <w:bCs/>
          <w:color w:val="14335C"/>
          <w:sz w:val="20"/>
          <w:szCs w:val="20"/>
        </w:rPr>
        <w:t xml:space="preserve">3.3  </w:t>
      </w:r>
      <w:r>
        <w:rPr>
          <w:rFonts w:ascii="Arial" w:cs="Arial" w:eastAsia="Arial" w:hAnsi="Arial"/>
          <w:color w:val="3A4455"/>
          <w:sz w:val="20"/>
          <w:szCs w:val="20"/>
        </w:rPr>
        <w:t xml:space="preserve">Risk levels and the required management responses are as follows:</w:t>
      </w:r>
    </w:p>
    <w:p>
      <w:pPr>
        <w:spacing w:after="80" w:before="80" w:line="288"/>
      </w:pPr>
      <w:r>
        <w:rPr>
          <w:rFonts w:ascii="Arial" w:cs="Arial" w:eastAsia="Arial" w:hAnsi="Arial"/>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600"/>
        <w:gridCol w:w="2000"/>
        <w:gridCol w:w="2000"/>
        <w:gridCol w:w="30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Risk level</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Likelihood × Impact</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Score range</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Required action and timescale</w:t>
            </w:r>
          </w:p>
        </w:tc>
      </w:tr>
      <w:tr>
        <w:tc>
          <w:tcPr>
            <w:shd w:fill="FFE5E5" w:color="auto" w:val="clear"/>
            <w:tcMar>
              <w:top w:type="dxa" w:w="80"/>
              <w:left w:type="dxa" w:w="120"/>
              <w:bottom w:type="dxa" w:w="80"/>
              <w:right w:type="dxa" w:w="80"/>
            </w:tcMar>
          </w:tcPr>
          <w:p>
            <w:r>
              <w:rPr>
                <w:rFonts w:ascii="Arial" w:cs="Arial" w:eastAsia="Arial" w:hAnsi="Arial"/>
                <w:b/>
                <w:bCs/>
                <w:color w:val="8B0000"/>
                <w:sz w:val="18"/>
                <w:szCs w:val="18"/>
              </w:rPr>
              <w:t xml:space="preserve">CRITICAL</w:t>
            </w:r>
          </w:p>
        </w:tc>
        <w:tc>
          <w:tcPr>
            <w:shd w:fill="FFE5E5" w:color="auto" w:val="clear"/>
            <w:tcMar>
              <w:top w:type="dxa" w:w="80"/>
              <w:left w:type="dxa" w:w="120"/>
              <w:bottom w:type="dxa" w:w="80"/>
              <w:right w:type="dxa" w:w="80"/>
            </w:tcMar>
          </w:tcPr>
          <w:p>
            <w:pPr>
              <w:spacing w:line="268"/>
            </w:pPr>
            <w:r>
              <w:rPr>
                <w:rFonts w:ascii="Arial" w:cs="Arial" w:eastAsia="Arial" w:hAnsi="Arial"/>
                <w:color w:val="8B0000"/>
                <w:sz w:val="18"/>
                <w:szCs w:val="18"/>
              </w:rPr>
              <w:t xml:space="preserve">High likelihood × High impact</w:t>
            </w:r>
          </w:p>
        </w:tc>
        <w:tc>
          <w:tcPr>
            <w:shd w:fill="FFE5E5" w:color="auto" w:val="clear"/>
            <w:tcMar>
              <w:top w:type="dxa" w:w="80"/>
              <w:left w:type="dxa" w:w="120"/>
              <w:bottom w:type="dxa" w:w="80"/>
              <w:right w:type="dxa" w:w="80"/>
            </w:tcMar>
          </w:tcPr>
          <w:p>
            <w:r>
              <w:rPr>
                <w:rFonts w:ascii="Arial" w:cs="Arial" w:eastAsia="Arial" w:hAnsi="Arial"/>
                <w:color w:val="8B0000"/>
                <w:sz w:val="18"/>
                <w:szCs w:val="18"/>
              </w:rPr>
              <w:t xml:space="preserve">16–25</w:t>
            </w:r>
          </w:p>
        </w:tc>
        <w:tc>
          <w:tcPr>
            <w:shd w:fill="FFE5E5" w:color="auto" w:val="clear"/>
            <w:tcMar>
              <w:top w:type="dxa" w:w="80"/>
              <w:left w:type="dxa" w:w="120"/>
              <w:bottom w:type="dxa" w:w="80"/>
              <w:right w:type="dxa" w:w="80"/>
            </w:tcMar>
          </w:tcPr>
          <w:p>
            <w:pPr>
              <w:spacing w:line="268"/>
            </w:pPr>
            <w:r>
              <w:rPr>
                <w:rFonts w:ascii="Arial" w:cs="Arial" w:eastAsia="Arial" w:hAnsi="Arial"/>
                <w:color w:val="8B0000"/>
                <w:sz w:val="18"/>
                <w:szCs w:val="18"/>
              </w:rPr>
              <w:t xml:space="preserve">Immediate escalation to ASF President; treatment plan within 5 working days; extraordinary management review convened if not resolved within 15 working days</w:t>
            </w:r>
          </w:p>
        </w:tc>
      </w:tr>
      <w:tr>
        <w:tc>
          <w:tcPr>
            <w:shd w:fill="FFDDB3" w:color="auto" w:val="clear"/>
            <w:tcMar>
              <w:top w:type="dxa" w:w="80"/>
              <w:left w:type="dxa" w:w="120"/>
              <w:bottom w:type="dxa" w:w="80"/>
              <w:right w:type="dxa" w:w="80"/>
            </w:tcMar>
          </w:tcPr>
          <w:p>
            <w:r>
              <w:rPr>
                <w:rFonts w:ascii="Arial" w:cs="Arial" w:eastAsia="Arial" w:hAnsi="Arial"/>
                <w:b/>
                <w:bCs/>
                <w:color w:val="7A4706"/>
                <w:sz w:val="18"/>
                <w:szCs w:val="18"/>
              </w:rPr>
              <w:t xml:space="preserve">HIGH</w:t>
            </w:r>
          </w:p>
        </w:tc>
        <w:tc>
          <w:tcPr>
            <w:shd w:fill="FFDDB3" w:color="auto" w:val="clear"/>
            <w:tcMar>
              <w:top w:type="dxa" w:w="80"/>
              <w:left w:type="dxa" w:w="120"/>
              <w:bottom w:type="dxa" w:w="80"/>
              <w:right w:type="dxa" w:w="80"/>
            </w:tcMar>
          </w:tcPr>
          <w:p>
            <w:pPr>
              <w:spacing w:line="268"/>
            </w:pPr>
            <w:r>
              <w:rPr>
                <w:rFonts w:ascii="Arial" w:cs="Arial" w:eastAsia="Arial" w:hAnsi="Arial"/>
                <w:color w:val="7A4706"/>
                <w:sz w:val="18"/>
                <w:szCs w:val="18"/>
              </w:rPr>
              <w:t xml:space="preserve">High likelihood × Medium impact, or Medium × High</w:t>
            </w:r>
          </w:p>
        </w:tc>
        <w:tc>
          <w:tcPr>
            <w:shd w:fill="FFDDB3" w:color="auto" w:val="clear"/>
            <w:tcMar>
              <w:top w:type="dxa" w:w="80"/>
              <w:left w:type="dxa" w:w="120"/>
              <w:bottom w:type="dxa" w:w="80"/>
              <w:right w:type="dxa" w:w="80"/>
            </w:tcMar>
          </w:tcPr>
          <w:p>
            <w:r>
              <w:rPr>
                <w:rFonts w:ascii="Arial" w:cs="Arial" w:eastAsia="Arial" w:hAnsi="Arial"/>
                <w:color w:val="7A4706"/>
                <w:sz w:val="18"/>
                <w:szCs w:val="18"/>
              </w:rPr>
              <w:t xml:space="preserve">10–15</w:t>
            </w:r>
          </w:p>
        </w:tc>
        <w:tc>
          <w:tcPr>
            <w:shd w:fill="FFDDB3" w:color="auto" w:val="clear"/>
            <w:tcMar>
              <w:top w:type="dxa" w:w="80"/>
              <w:left w:type="dxa" w:w="120"/>
              <w:bottom w:type="dxa" w:w="80"/>
              <w:right w:type="dxa" w:w="80"/>
            </w:tcMar>
          </w:tcPr>
          <w:p>
            <w:pPr>
              <w:spacing w:line="268"/>
            </w:pPr>
            <w:r>
              <w:rPr>
                <w:rFonts w:ascii="Arial" w:cs="Arial" w:eastAsia="Arial" w:hAnsi="Arial"/>
                <w:color w:val="7A4706"/>
                <w:sz w:val="18"/>
                <w:szCs w:val="18"/>
              </w:rPr>
              <w:t xml:space="preserve">Treatment plan within 15 working days; reported at next management review; monthly monitoring</w:t>
            </w:r>
          </w:p>
        </w:tc>
      </w:tr>
      <w:tr>
        <w:tc>
          <w:tcPr>
            <w:shd w:fill="FFFBE6" w:color="auto" w:val="clear"/>
            <w:tcMar>
              <w:top w:type="dxa" w:w="80"/>
              <w:left w:type="dxa" w:w="120"/>
              <w:bottom w:type="dxa" w:w="80"/>
              <w:right w:type="dxa" w:w="80"/>
            </w:tcMar>
          </w:tcPr>
          <w:p>
            <w:r>
              <w:rPr>
                <w:rFonts w:ascii="Arial" w:cs="Arial" w:eastAsia="Arial" w:hAnsi="Arial"/>
                <w:b/>
                <w:bCs/>
                <w:color w:val="14335C"/>
                <w:sz w:val="18"/>
                <w:szCs w:val="18"/>
              </w:rPr>
              <w:t xml:space="preserve">MEDIUM</w:t>
            </w:r>
          </w:p>
        </w:tc>
        <w:tc>
          <w:tcPr>
            <w:shd w:fill="FFFBE6" w:color="auto" w:val="clear"/>
            <w:tcMar>
              <w:top w:type="dxa" w:w="80"/>
              <w:left w:type="dxa" w:w="120"/>
              <w:bottom w:type="dxa" w:w="80"/>
              <w:right w:type="dxa" w:w="80"/>
            </w:tcMar>
          </w:tcPr>
          <w:p>
            <w:pPr>
              <w:spacing w:line="268"/>
            </w:pPr>
            <w:r>
              <w:rPr>
                <w:rFonts w:ascii="Arial" w:cs="Arial" w:eastAsia="Arial" w:hAnsi="Arial"/>
                <w:color w:val="14335C"/>
                <w:sz w:val="18"/>
                <w:szCs w:val="18"/>
              </w:rPr>
              <w:t xml:space="preserve">Medium likelihood × Medium impact, or Low × High</w:t>
            </w:r>
          </w:p>
        </w:tc>
        <w:tc>
          <w:tcPr>
            <w:shd w:fill="FFFBE6" w:color="auto" w:val="clear"/>
            <w:tcMar>
              <w:top w:type="dxa" w:w="80"/>
              <w:left w:type="dxa" w:w="120"/>
              <w:bottom w:type="dxa" w:w="80"/>
              <w:right w:type="dxa" w:w="80"/>
            </w:tcMar>
          </w:tcPr>
          <w:p>
            <w:r>
              <w:rPr>
                <w:rFonts w:ascii="Arial" w:cs="Arial" w:eastAsia="Arial" w:hAnsi="Arial"/>
                <w:color w:val="14335C"/>
                <w:sz w:val="18"/>
                <w:szCs w:val="18"/>
              </w:rPr>
              <w:t xml:space="preserve">6–9</w:t>
            </w:r>
          </w:p>
        </w:tc>
        <w:tc>
          <w:tcPr>
            <w:shd w:fill="FFFBE6" w:color="auto" w:val="clear"/>
            <w:tcMar>
              <w:top w:type="dxa" w:w="80"/>
              <w:left w:type="dxa" w:w="120"/>
              <w:bottom w:type="dxa" w:w="80"/>
              <w:right w:type="dxa" w:w="80"/>
            </w:tcMar>
          </w:tcPr>
          <w:p>
            <w:pPr>
              <w:spacing w:line="268"/>
            </w:pPr>
            <w:r>
              <w:rPr>
                <w:rFonts w:ascii="Arial" w:cs="Arial" w:eastAsia="Arial" w:hAnsi="Arial"/>
                <w:color w:val="14335C"/>
                <w:sz w:val="18"/>
                <w:szCs w:val="18"/>
              </w:rPr>
              <w:t xml:space="preserve">Treatment plan within 30 working days; reported at annual management review; quarterly monitoring</w:t>
            </w:r>
          </w:p>
        </w:tc>
      </w:tr>
      <w:tr>
        <w:tc>
          <w:tcPr>
            <w:shd w:fill="F4F6FA" w:color="auto" w:val="clear"/>
            <w:tcMar>
              <w:top w:type="dxa" w:w="80"/>
              <w:left w:type="dxa" w:w="120"/>
              <w:bottom w:type="dxa" w:w="80"/>
              <w:right w:type="dxa" w:w="80"/>
            </w:tcMar>
          </w:tcPr>
          <w:p>
            <w:r>
              <w:rPr>
                <w:rFonts w:ascii="Arial" w:cs="Arial" w:eastAsia="Arial" w:hAnsi="Arial"/>
                <w:b/>
                <w:bCs/>
                <w:color w:val="3A4455"/>
                <w:sz w:val="18"/>
                <w:szCs w:val="18"/>
              </w:rPr>
              <w:t xml:space="preserve">LOW</w:t>
            </w:r>
          </w:p>
        </w:tc>
        <w:tc>
          <w:tcPr>
            <w:shd w:fill="F4F6FA" w:color="auto" w:val="clear"/>
            <w:tcMar>
              <w:top w:type="dxa" w:w="80"/>
              <w:left w:type="dxa" w:w="120"/>
              <w:bottom w:type="dxa" w:w="80"/>
              <w:right w:type="dxa" w:w="80"/>
            </w:tcMar>
          </w:tcPr>
          <w:p>
            <w:pPr>
              <w:spacing w:line="268"/>
            </w:pPr>
            <w:r>
              <w:rPr>
                <w:rFonts w:ascii="Arial" w:cs="Arial" w:eastAsia="Arial" w:hAnsi="Arial"/>
                <w:color w:val="3A4455"/>
                <w:sz w:val="18"/>
                <w:szCs w:val="18"/>
              </w:rPr>
              <w:t xml:space="preserve">Low likelihood × Low impact, or Low × Medium</w:t>
            </w:r>
          </w:p>
        </w:tc>
        <w:tc>
          <w:tcPr>
            <w:shd w:fill="F4F6FA" w:color="auto" w:val="clear"/>
            <w:tcMar>
              <w:top w:type="dxa" w:w="80"/>
              <w:left w:type="dxa" w:w="120"/>
              <w:bottom w:type="dxa" w:w="80"/>
              <w:right w:type="dxa" w:w="80"/>
            </w:tcMar>
          </w:tcPr>
          <w:p>
            <w:r>
              <w:rPr>
                <w:rFonts w:ascii="Arial" w:cs="Arial" w:eastAsia="Arial" w:hAnsi="Arial"/>
                <w:color w:val="3A4455"/>
                <w:sz w:val="18"/>
                <w:szCs w:val="18"/>
              </w:rPr>
              <w:t xml:space="preserve">1–5</w:t>
            </w:r>
          </w:p>
        </w:tc>
        <w:tc>
          <w:tcPr>
            <w:shd w:fill="F4F6FA" w:color="auto" w:val="clear"/>
            <w:tcMar>
              <w:top w:type="dxa" w:w="80"/>
              <w:left w:type="dxa" w:w="120"/>
              <w:bottom w:type="dxa" w:w="80"/>
              <w:right w:type="dxa" w:w="80"/>
            </w:tcMar>
          </w:tcPr>
          <w:p>
            <w:pPr>
              <w:spacing w:line="268"/>
            </w:pPr>
            <w:r>
              <w:rPr>
                <w:rFonts w:ascii="Arial" w:cs="Arial" w:eastAsia="Arial" w:hAnsi="Arial"/>
                <w:color w:val="3A4455"/>
                <w:sz w:val="18"/>
                <w:szCs w:val="18"/>
              </w:rPr>
              <w:t xml:space="preserve">Accepted or monitored; reviewed at annual audit; no immediate action required unless score increases</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Risk Assessment Process — Five Steps</w:t>
      </w:r>
    </w:p>
    <w:p>
      <w:pPr>
        <w:pStyle w:val="Heading2"/>
        <w:spacing w:after="100" w:before="280"/>
      </w:pPr>
      <w:r>
        <w:rPr>
          <w:rFonts w:ascii="Arial" w:cs="Arial" w:eastAsia="Arial" w:hAnsi="Arial"/>
          <w:b/>
          <w:bCs/>
          <w:color w:val="14335C"/>
          <w:sz w:val="22"/>
          <w:szCs w:val="22"/>
        </w:rPr>
        <w:t xml:space="preserve">Step 1 — Risk Identification</w:t>
      </w:r>
    </w:p>
    <w:p>
      <w:pPr>
        <w:spacing w:after="80" w:before="80" w:line="288"/>
      </w:pPr>
      <w:r>
        <w:rPr>
          <w:rFonts w:ascii="Arial" w:cs="Arial" w:eastAsia="Arial" w:hAnsi="Arial"/>
          <w:b/>
          <w:bCs/>
          <w:color w:val="14335C"/>
          <w:sz w:val="20"/>
          <w:szCs w:val="20"/>
        </w:rPr>
        <w:t xml:space="preserve">4.1  </w:t>
      </w:r>
      <w:r>
        <w:rPr>
          <w:rFonts w:ascii="Arial" w:cs="Arial" w:eastAsia="Arial" w:hAnsi="Arial"/>
          <w:color w:val="3A4455"/>
          <w:sz w:val="20"/>
          <w:szCs w:val="20"/>
        </w:rPr>
        <w:t xml:space="preserve">Risks are identified through: review of previous internal audit findings; management review outputs; complaints and appeals data; changes in ASF's operating environment; and the professional judgement of ASF staff, committee members, and surveyors. Any ASF staff member or committee member may submit a risk identification to the QMS Coordinator at any time.</w:t>
      </w:r>
    </w:p>
    <w:p>
      <w:pPr>
        <w:pStyle w:val="Heading2"/>
        <w:spacing w:after="100" w:before="280"/>
      </w:pPr>
      <w:r>
        <w:rPr>
          <w:rFonts w:ascii="Arial" w:cs="Arial" w:eastAsia="Arial" w:hAnsi="Arial"/>
          <w:b/>
          <w:bCs/>
          <w:color w:val="14335C"/>
          <w:sz w:val="22"/>
          <w:szCs w:val="22"/>
        </w:rPr>
        <w:t xml:space="preserve">Step 2 — Risk Analysis</w:t>
      </w:r>
    </w:p>
    <w:p>
      <w:pPr>
        <w:spacing w:after="80" w:before="80" w:line="288"/>
      </w:pPr>
      <w:r>
        <w:rPr>
          <w:rFonts w:ascii="Arial" w:cs="Arial" w:eastAsia="Arial" w:hAnsi="Arial"/>
          <w:b/>
          <w:bCs/>
          <w:color w:val="14335C"/>
          <w:sz w:val="20"/>
          <w:szCs w:val="20"/>
        </w:rPr>
        <w:t xml:space="preserve">4.2  </w:t>
      </w:r>
      <w:r>
        <w:rPr>
          <w:rFonts w:ascii="Arial" w:cs="Arial" w:eastAsia="Arial" w:hAnsi="Arial"/>
          <w:color w:val="3A4455"/>
          <w:sz w:val="20"/>
          <w:szCs w:val="20"/>
        </w:rPr>
        <w:t xml:space="preserve">The QMS Coordinator analyses each identified risk, assigns it to the appropriate category, and scores its likelihood and impact (inherent score) using the scales in §3.1. Existing controls are identified and documented.</w:t>
      </w:r>
    </w:p>
    <w:p>
      <w:pPr>
        <w:pStyle w:val="Heading2"/>
        <w:spacing w:after="100" w:before="280"/>
      </w:pPr>
      <w:r>
        <w:rPr>
          <w:rFonts w:ascii="Arial" w:cs="Arial" w:eastAsia="Arial" w:hAnsi="Arial"/>
          <w:b/>
          <w:bCs/>
          <w:color w:val="14335C"/>
          <w:sz w:val="22"/>
          <w:szCs w:val="22"/>
        </w:rPr>
        <w:t xml:space="preserve">Step 3 — Risk Evaluation</w:t>
      </w:r>
    </w:p>
    <w:p>
      <w:pPr>
        <w:spacing w:after="80" w:before="80" w:line="288"/>
      </w:pPr>
      <w:r>
        <w:rPr>
          <w:rFonts w:ascii="Arial" w:cs="Arial" w:eastAsia="Arial" w:hAnsi="Arial"/>
          <w:b/>
          <w:bCs/>
          <w:color w:val="14335C"/>
          <w:sz w:val="20"/>
          <w:szCs w:val="20"/>
        </w:rPr>
        <w:t xml:space="preserve">4.3  </w:t>
      </w:r>
      <w:r>
        <w:rPr>
          <w:rFonts w:ascii="Arial" w:cs="Arial" w:eastAsia="Arial" w:hAnsi="Arial"/>
          <w:color w:val="3A4455"/>
          <w:sz w:val="20"/>
          <w:szCs w:val="20"/>
        </w:rPr>
        <w:t xml:space="preserve">The residual risk score is calculated after accounting for existing controls. The risk is rated as Critical, High, Medium, or Low using the matrix in §3.3. Risks rated Critical or High are escalated to the ASF President immediately.</w:t>
      </w:r>
    </w:p>
    <w:p>
      <w:pPr>
        <w:pStyle w:val="Heading2"/>
        <w:spacing w:after="100" w:before="280"/>
      </w:pPr>
      <w:r>
        <w:rPr>
          <w:rFonts w:ascii="Arial" w:cs="Arial" w:eastAsia="Arial" w:hAnsi="Arial"/>
          <w:b/>
          <w:bCs/>
          <w:color w:val="14335C"/>
          <w:sz w:val="22"/>
          <w:szCs w:val="22"/>
        </w:rPr>
        <w:t xml:space="preserve">Step 4 — Risk Treatment</w:t>
      </w:r>
    </w:p>
    <w:p>
      <w:pPr>
        <w:spacing w:after="80" w:before="80" w:line="288"/>
      </w:pPr>
      <w:r>
        <w:rPr>
          <w:rFonts w:ascii="Arial" w:cs="Arial" w:eastAsia="Arial" w:hAnsi="Arial"/>
          <w:b/>
          <w:bCs/>
          <w:color w:val="14335C"/>
          <w:sz w:val="20"/>
          <w:szCs w:val="20"/>
        </w:rPr>
        <w:t xml:space="preserve">4.4  </w:t>
      </w:r>
      <w:r>
        <w:rPr>
          <w:rFonts w:ascii="Arial" w:cs="Arial" w:eastAsia="Arial" w:hAnsi="Arial"/>
          <w:color w:val="3A4455"/>
          <w:sz w:val="20"/>
          <w:szCs w:val="20"/>
        </w:rPr>
        <w:t xml:space="preserve">For each risk rated Medium or above, a risk treatment plan is agreed. The four standard risk treatment options are: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Avoid — discontinue the activity or process that gives rise to the risk;</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Reduce — implement additional controls to reduce the likelihood and/or impact to an acceptable residual level;</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Transfer — transfer some or all of the risk to a third party (e.g. through insurance or contractual provisions);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Accept — acknowledge the risk and accept it without further action, where the cost of treatment exceeds the benefit, and the residual risk is within ASF's risk appetite.</w:t>
      </w:r>
    </w:p>
    <w:p>
      <w:pPr>
        <w:spacing w:after="80" w:before="80" w:line="288"/>
      </w:pPr>
      <w:r>
        <w:rPr>
          <w:rFonts w:ascii="Arial" w:cs="Arial" w:eastAsia="Arial" w:hAnsi="Arial"/>
          <w:b/>
          <w:bCs/>
          <w:color w:val="14335C"/>
          <w:sz w:val="20"/>
          <w:szCs w:val="20"/>
        </w:rPr>
        <w:t xml:space="preserve">4.5  </w:t>
      </w:r>
      <w:r>
        <w:rPr>
          <w:rFonts w:ascii="Arial" w:cs="Arial" w:eastAsia="Arial" w:hAnsi="Arial"/>
          <w:color w:val="3A4455"/>
          <w:sz w:val="20"/>
          <w:szCs w:val="20"/>
        </w:rPr>
        <w:t xml:space="preserve">Risks rated Critical are never accepted without a documented rationale and explicit approval by the ASF President. No Critical risk may be accepted without a compensating control that reduces the effective rating to High or below.</w:t>
      </w:r>
    </w:p>
    <w:p>
      <w:pPr>
        <w:pStyle w:val="Heading2"/>
        <w:spacing w:after="100" w:before="280"/>
      </w:pPr>
      <w:r>
        <w:rPr>
          <w:rFonts w:ascii="Arial" w:cs="Arial" w:eastAsia="Arial" w:hAnsi="Arial"/>
          <w:b/>
          <w:bCs/>
          <w:color w:val="14335C"/>
          <w:sz w:val="22"/>
          <w:szCs w:val="22"/>
        </w:rPr>
        <w:t xml:space="preserve">Step 5 — Monitoring and Review</w:t>
      </w:r>
    </w:p>
    <w:p>
      <w:pPr>
        <w:spacing w:after="80" w:before="80" w:line="288"/>
      </w:pPr>
      <w:r>
        <w:rPr>
          <w:rFonts w:ascii="Arial" w:cs="Arial" w:eastAsia="Arial" w:hAnsi="Arial"/>
          <w:b/>
          <w:bCs/>
          <w:color w:val="14335C"/>
          <w:sz w:val="20"/>
          <w:szCs w:val="20"/>
        </w:rPr>
        <w:t xml:space="preserve">4.6  </w:t>
      </w:r>
      <w:r>
        <w:rPr>
          <w:rFonts w:ascii="Arial" w:cs="Arial" w:eastAsia="Arial" w:hAnsi="Arial"/>
          <w:color w:val="3A4455"/>
          <w:sz w:val="20"/>
          <w:szCs w:val="20"/>
        </w:rPr>
        <w:t xml:space="preserve">The risk register is reviewed at the following points: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At each annual management review — all risks reviewed; ratings updated to reflect changes in likelihood, impact, or control effectiveness since the last review;</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At each extraordinary management review — risks in the relevant category reviewed as part of the trigger-issue assessment;</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Following each internal audit cycle — audit findings used to update risk ratings for the audited process area;</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When a significant change occurs in ASF's operating environment — a new standard type launched, a new regulatory requirement, a change in surveyor pool — the QMS Coordinator conducts a targeted risk review within 20 working days.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Risk Register</w:t>
      </w:r>
    </w:p>
    <w:p>
      <w:pPr>
        <w:spacing w:after="80" w:before="80" w:line="288"/>
      </w:pPr>
      <w:r>
        <w:rPr>
          <w:rFonts w:ascii="Arial" w:cs="Arial" w:eastAsia="Arial" w:hAnsi="Arial"/>
          <w:b/>
          <w:bCs/>
          <w:color w:val="14335C"/>
          <w:sz w:val="20"/>
          <w:szCs w:val="20"/>
        </w:rPr>
        <w:t xml:space="preserve">5.1  </w:t>
      </w:r>
      <w:r>
        <w:rPr>
          <w:rFonts w:ascii="Arial" w:cs="Arial" w:eastAsia="Arial" w:hAnsi="Arial"/>
          <w:color w:val="3A4455"/>
          <w:sz w:val="20"/>
          <w:szCs w:val="20"/>
        </w:rPr>
        <w:t xml:space="preserve">The ASF risk register is maintained by the QMS Coordinator and approved by the ASF President. It is a living document updated at least annually and following each of the triggers in §4.6. The register records for each risk:</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Risk ID (sequential, e.g. R-001);</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Risk category (from §2.1);</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Risk description — what could go wrong, and why;</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Current controls — what is already in place to manage this risk;</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Inherent risk score (Likelihood × Impact before controls);</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Residual risk score (Likelihood × Impact after controls);</w:t>
      </w:r>
    </w:p>
    <w:p>
      <w:pPr>
        <w:spacing w:after="55" w:before="55" w:line="276"/>
        <w:ind w:left="624" w:hanging="255"/>
      </w:pPr>
      <w:r>
        <w:rPr>
          <w:rFonts w:ascii="Arial" w:cs="Arial" w:eastAsia="Arial" w:hAnsi="Arial"/>
          <w:b/>
          <w:bCs/>
          <w:color w:val="14335C"/>
          <w:sz w:val="20"/>
          <w:szCs w:val="20"/>
        </w:rPr>
        <w:t xml:space="preserve">(g)  </w:t>
      </w:r>
      <w:r>
        <w:rPr>
          <w:rFonts w:ascii="Arial" w:cs="Arial" w:eastAsia="Arial" w:hAnsi="Arial"/>
          <w:color w:val="3A4455"/>
          <w:sz w:val="20"/>
          <w:szCs w:val="20"/>
        </w:rPr>
        <w:t xml:space="preserve">Risk rating (Critical / High / Medium / Low);</w:t>
      </w:r>
    </w:p>
    <w:p>
      <w:pPr>
        <w:spacing w:after="55" w:before="55" w:line="276"/>
        <w:ind w:left="624" w:hanging="255"/>
      </w:pPr>
      <w:r>
        <w:rPr>
          <w:rFonts w:ascii="Arial" w:cs="Arial" w:eastAsia="Arial" w:hAnsi="Arial"/>
          <w:b/>
          <w:bCs/>
          <w:color w:val="14335C"/>
          <w:sz w:val="20"/>
          <w:szCs w:val="20"/>
        </w:rPr>
        <w:t xml:space="preserve">(h)  </w:t>
      </w:r>
      <w:r>
        <w:rPr>
          <w:rFonts w:ascii="Arial" w:cs="Arial" w:eastAsia="Arial" w:hAnsi="Arial"/>
          <w:color w:val="3A4455"/>
          <w:sz w:val="20"/>
          <w:szCs w:val="20"/>
        </w:rPr>
        <w:t xml:space="preserve">Risk treatment plan and target residual rating;</w:t>
      </w:r>
    </w:p>
    <w:p>
      <w:pPr>
        <w:spacing w:after="55" w:before="55" w:line="276"/>
        <w:ind w:left="624" w:hanging="255"/>
      </w:pPr>
      <w:r>
        <w:rPr>
          <w:rFonts w:ascii="Arial" w:cs="Arial" w:eastAsia="Arial" w:hAnsi="Arial"/>
          <w:b/>
          <w:bCs/>
          <w:color w:val="14335C"/>
          <w:sz w:val="20"/>
          <w:szCs w:val="20"/>
        </w:rPr>
        <w:t xml:space="preserve">(i)  </w:t>
      </w:r>
      <w:r>
        <w:rPr>
          <w:rFonts w:ascii="Arial" w:cs="Arial" w:eastAsia="Arial" w:hAnsi="Arial"/>
          <w:color w:val="3A4455"/>
          <w:sz w:val="20"/>
          <w:szCs w:val="20"/>
        </w:rPr>
        <w:t xml:space="preserve">Owner — the named person responsible for managing the risk and implementing the treatment plan;</w:t>
      </w:r>
    </w:p>
    <w:p>
      <w:pPr>
        <w:spacing w:after="55" w:before="55" w:line="276"/>
        <w:ind w:left="624" w:hanging="255"/>
      </w:pPr>
      <w:r>
        <w:rPr>
          <w:rFonts w:ascii="Arial" w:cs="Arial" w:eastAsia="Arial" w:hAnsi="Arial"/>
          <w:b/>
          <w:bCs/>
          <w:color w:val="14335C"/>
          <w:sz w:val="20"/>
          <w:szCs w:val="20"/>
        </w:rPr>
        <w:t xml:space="preserve">(j)  </w:t>
      </w:r>
      <w:r>
        <w:rPr>
          <w:rFonts w:ascii="Arial" w:cs="Arial" w:eastAsia="Arial" w:hAnsi="Arial"/>
          <w:color w:val="3A4455"/>
          <w:sz w:val="20"/>
          <w:szCs w:val="20"/>
        </w:rPr>
        <w:t xml:space="preserve">Date last reviewed and next scheduled review date.</w:t>
      </w:r>
    </w:p>
    <w:p>
      <w:pPr>
        <w:spacing w:after="80" w:before="80" w:line="288"/>
      </w:pPr>
      <w:r>
        <w:rPr>
          <w:rFonts w:ascii="Arial" w:cs="Arial" w:eastAsia="Arial" w:hAnsi="Arial"/>
          <w:b/>
          <w:bCs/>
          <w:color w:val="14335C"/>
          <w:sz w:val="20"/>
          <w:szCs w:val="20"/>
        </w:rPr>
        <w:t xml:space="preserve">5.2  </w:t>
      </w:r>
      <w:r>
        <w:rPr>
          <w:rFonts w:ascii="Arial" w:cs="Arial" w:eastAsia="Arial" w:hAnsi="Arial"/>
          <w:color w:val="3A4455"/>
          <w:sz w:val="20"/>
          <w:szCs w:val="20"/>
        </w:rPr>
        <w:t xml:space="preserve">The risk register is presented to the annual management review as a mandatory review input (ASF-QMS-002, §4.1, item 2). A summary of High and Critical risks is included in the pre-meeting documentation pack.</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Records</w:t>
      </w:r>
    </w:p>
    <w:p>
      <w:pPr>
        <w:spacing w:after="80" w:before="80" w:line="288"/>
      </w:pPr>
      <w:r>
        <w:rPr>
          <w:rFonts w:ascii="Arial" w:cs="Arial" w:eastAsia="Arial" w:hAnsi="Arial"/>
          <w:b/>
          <w:bCs/>
          <w:color w:val="14335C"/>
          <w:sz w:val="20"/>
          <w:szCs w:val="20"/>
        </w:rPr>
        <w:t xml:space="preserve">6.1  </w:t>
      </w:r>
      <w:r>
        <w:rPr>
          <w:rFonts w:ascii="Arial" w:cs="Arial" w:eastAsia="Arial" w:hAnsi="Arial"/>
          <w:color w:val="3A4455"/>
          <w:sz w:val="20"/>
          <w:szCs w:val="20"/>
        </w:rPr>
        <w:t xml:space="preserve">The following records are maintained by the QMS Coordinator and retained for a minimum of 5 years: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risk register and all prior versions;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risk treatment plans and their implementation status;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risk escalation records (for Critical and High risks);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risk summary presented at each management review.</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ISQua EEA Alignment</w:t>
      </w:r>
    </w:p>
    <w:p>
      <w:pPr>
        <w:spacing w:after="80" w:before="80" w:line="288"/>
      </w:pPr>
      <w:r>
        <w:rPr>
          <w:rFonts w:ascii="Arial" w:cs="Arial" w:eastAsia="Arial" w:hAnsi="Arial"/>
          <w:b/>
          <w:bCs/>
          <w:color w:val="14335C"/>
          <w:sz w:val="20"/>
          <w:szCs w:val="20"/>
        </w:rPr>
        <w:t xml:space="preserve">7.1  </w:t>
      </w:r>
      <w:r>
        <w:rPr>
          <w:rFonts w:ascii="Arial" w:cs="Arial" w:eastAsia="Arial" w:hAnsi="Arial"/>
          <w:color w:val="3A4455"/>
          <w:sz w:val="20"/>
          <w:szCs w:val="20"/>
        </w:rPr>
        <w:t xml:space="preserve">This policy supports ISQua EEA Principle 10 (Quality Management System), which requires accreditation bodies to have a systematic approach to identifying and managing risks to the impartiality, integrity, and performance of their accreditation programme. It also supports Principle 4 (Independence), insofar as impartiality risk management is a standing component of the risk framework. The ASF ISQua EEA Crosswalk (ASF-EV-004) maps the provisions of this policy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IAP. Principles for Standards. 6th Ed. ISQua EEA, Dublin,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 31000:2018 — Risk Management: Guidelines. ISO, Geneva, 2018.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ISO/IEC 31010:2019 — Risk Management: Risk Assessment Techniques. ISO, Geneva, 2019.</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 9001:2015 — Quality Management Systems: Requirements. §6.1 Actions to Address Risks and Opportunities.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ISO/IEC 17021-1:2015 — Conformity Assessment. §8.5 Impartiality. ISO, Geneva, 2015.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Committee of Sponsoring Organizations of the Treadway Commission (COSO). Enterprise Risk Management — Integrating with Strategy and Performance. COSO, 2017.</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Risk Management Policy. ISQua EEA Accredited Document,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Risk Management Policy. ISQua EEA Accredited Document, 2026.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Braithwaite J et al. Complexity science in healthcare. BMJ Qual Saf. 2017;26(12):1000–1004.</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Flodgren G et al. External inspection of compliance with standards for improved healthcare outcomes. Cochrane Database Syst Rev. 2016;12:CD008992.</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World Health Organization. Risk Management for WHO Field Offices. WHO, Geneva, 2012.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et al. Profiling health-care accreditation organisations. Int J Qual Health Care. 2013;25(3):222–231.</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ASF-QMS-003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ASF-QMS-003</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2026-10-16T17:08:38.179Z</dcterms:created>
  <dcterms:modified xsi:type="dcterms:W3CDTF">2026-10-16T17:08:38.179Z</dcterms:modified>
</cp:coreProperties>
</file>

<file path=docProps/custom.xml><?xml version="1.0" encoding="utf-8"?>
<Properties xmlns="http://schemas.openxmlformats.org/officeDocument/2006/custom-properties" xmlns:vt="http://schemas.openxmlformats.org/officeDocument/2006/docPropsVTypes"/>
</file>