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CLN-POL-001:</w:t>
      </w:r>
      <w:r>
        <w:t xml:space="preserve"> </w:t>
      </w:r>
      <w:r>
        <w:t xml:space="preserve">Staffing</w:t>
      </w:r>
      <w:r>
        <w:t xml:space="preserve"> </w:t>
      </w:r>
      <w:r>
        <w:t xml:space="preserve">levels</w:t>
      </w:r>
      <w:r>
        <w:t xml:space="preserve"> </w:t>
      </w:r>
      <w:r>
        <w:t xml:space="preserve">and</w:t>
      </w:r>
      <w:r>
        <w:t xml:space="preserve"> </w:t>
      </w:r>
      <w:r>
        <w:t xml:space="preserve">skill</w:t>
      </w:r>
      <w:r>
        <w:t xml:space="preserve"> </w:t>
      </w:r>
      <w:r>
        <w:t xml:space="preserve">mix</w:t>
      </w:r>
    </w:p>
    <w:tbl>
      <w:tblPr>
        <w:tblStyle w:val="Table"/>
        <w:tblW w:type="pct" w:w="5000"/>
        <w:tblLook w:firstRow="0" w:lastRow="0" w:firstColumn="0" w:lastColumn="0" w:noHBand="0" w:noVBand="0" w:val="0000"/>
        <w:jc w:val="start"/>
      </w:tblPr>
      <w:tblGrid>
        <w:gridCol w:w="1980"/>
        <w:gridCol w:w="1980"/>
        <w:gridCol w:w="1980"/>
        <w:gridCol w:w="1980"/>
      </w:tblGrid>
      <w:tr>
        <w:tc>
          <w:tcPr/>
          <w:p>
            <w:pPr>
              <w:pStyle w:val="Compact"/>
              <w:jc w:val="left"/>
            </w:pPr>
            <w:r>
              <w:t xml:space="preserve">Organisation name</w:t>
            </w:r>
          </w:p>
          <w:p>
            <w:pPr>
              <w:pStyle w:val="Compact"/>
              <w:jc w:val="left"/>
            </w:pPr>
            <w:r>
              <w:t xml:space="preserve">Site or unit</w:t>
            </w:r>
          </w:p>
        </w:tc>
        <w:tc>
          <w:tcPr>
            <w:gridSpan w:val="2"/>
          </w:tcPr>
          <w:p>
            <w:pPr>
              <w:pStyle w:val="Compact"/>
              <w:jc w:val="left"/>
            </w:pPr>
            <w:r>
              <w:t xml:space="preserve">Policy</w:t>
            </w:r>
          </w:p>
          <w:p>
            <w:pPr>
              <w:pStyle w:val="Compact"/>
              <w:jc w:val="left"/>
            </w:pPr>
            <w:r>
              <w:t xml:space="preserve">Staffing levels and skill mix</w:t>
            </w:r>
          </w:p>
        </w:tc>
        <w:tc>
          <w:tcPr/>
          <w:p>
            <w:pPr>
              <w:pStyle w:val="Compact"/>
            </w:pPr>
          </w:p>
        </w:tc>
      </w:tr>
      <w:tr>
        <w:tc>
          <w:tcPr/>
          <w:p>
            <w:pPr>
              <w:pStyle w:val="Compact"/>
              <w:jc w:val="left"/>
            </w:pPr>
            <w:r>
              <w:t xml:space="preserve">Document ID</w:t>
            </w:r>
          </w:p>
        </w:tc>
        <w:tc>
          <w:tcPr/>
          <w:p>
            <w:pPr>
              <w:pStyle w:val="Compact"/>
              <w:jc w:val="left"/>
            </w:pPr>
            <w:r>
              <w:t xml:space="preserve">CLN-POL-001</w:t>
            </w:r>
          </w:p>
        </w:tc>
        <w:tc>
          <w:tcPr/>
          <w:p>
            <w:pPr>
              <w:pStyle w:val="Compact"/>
              <w:jc w:val="left"/>
            </w:pPr>
            <w:r>
              <w:t xml:space="preserve">Version</w:t>
            </w:r>
          </w:p>
        </w:tc>
        <w:tc>
          <w:tcPr/>
          <w:p>
            <w:pPr>
              <w:pStyle w:val="Compact"/>
              <w:jc w:val="left"/>
            </w:pPr>
            <w:r>
              <w:t xml:space="preserve">1.0</w:t>
            </w:r>
          </w:p>
        </w:tc>
      </w:tr>
      <w:tr>
        <w:tc>
          <w:tcPr/>
          <w:p>
            <w:pPr>
              <w:pStyle w:val="Compact"/>
              <w:jc w:val="left"/>
            </w:pPr>
            <w:r>
              <w:t xml:space="preserve">Status</w:t>
            </w:r>
          </w:p>
        </w:tc>
        <w:tc>
          <w:tcPr/>
          <w:p>
            <w:pPr>
              <w:pStyle w:val="Compact"/>
              <w:jc w:val="left"/>
            </w:pPr>
            <w:r>
              <w:t xml:space="preserve">Blank form, to adapt</w:t>
            </w:r>
          </w:p>
        </w:tc>
        <w:tc>
          <w:tcPr/>
          <w:p>
            <w:pPr>
              <w:pStyle w:val="Compact"/>
              <w:jc w:val="left"/>
            </w:pPr>
            <w:r>
              <w:t xml:space="preserve">Issue date</w:t>
            </w:r>
          </w:p>
        </w:tc>
        <w:tc>
          <w:tcPr/>
          <w:p>
            <w:pPr>
              <w:pStyle w:val="Compact"/>
              <w:jc w:val="left"/>
            </w:pPr>
            <w:r>
              <w:t xml:space="preserve"> </w:t>
            </w:r>
          </w:p>
        </w:tc>
      </w:tr>
      <w:tr>
        <w:tc>
          <w:tcPr/>
          <w:p>
            <w:pPr>
              <w:pStyle w:val="Compact"/>
              <w:jc w:val="left"/>
            </w:pPr>
            <w:r>
              <w:t xml:space="preserve">Review date</w:t>
            </w:r>
          </w:p>
        </w:tc>
        <w:tc>
          <w:tcPr/>
          <w:p>
            <w:pPr>
              <w:pStyle w:val="Compact"/>
              <w:jc w:val="left"/>
            </w:pPr>
            <w:r>
              <w:t xml:space="preserve"> </w:t>
            </w:r>
          </w:p>
        </w:tc>
        <w:tc>
          <w:tcPr/>
          <w:p>
            <w:pPr>
              <w:pStyle w:val="Compact"/>
              <w:jc w:val="left"/>
            </w:pPr>
            <w:r>
              <w:t xml:space="preserve">Replaces</w:t>
            </w:r>
          </w:p>
        </w:tc>
        <w:tc>
          <w:tcPr/>
          <w:p>
            <w:pPr>
              <w:pStyle w:val="Compact"/>
              <w:jc w:val="left"/>
            </w:pPr>
            <w:r>
              <w:t xml:space="preserve"> </w:t>
            </w:r>
          </w:p>
        </w:tc>
      </w:tr>
      <w:tr>
        <w:tc>
          <w:tcPr/>
          <w:p>
            <w:pPr>
              <w:pStyle w:val="Compact"/>
              <w:jc w:val="left"/>
            </w:pPr>
            <w:r>
              <w:t xml:space="preserve">Owner</w:t>
            </w:r>
          </w:p>
        </w:tc>
        <w:tc>
          <w:tcPr/>
          <w:p>
            <w:pPr>
              <w:pStyle w:val="Compact"/>
              <w:jc w:val="left"/>
            </w:pPr>
            <w:r>
              <w:t xml:space="preserve"> </w:t>
            </w:r>
          </w:p>
        </w:tc>
        <w:tc>
          <w:tcPr/>
          <w:p>
            <w:pPr>
              <w:pStyle w:val="Compact"/>
              <w:jc w:val="left"/>
            </w:pPr>
            <w:r>
              <w:t xml:space="preserve">Approved by</w:t>
            </w:r>
          </w:p>
        </w:tc>
        <w:tc>
          <w:tcPr/>
          <w:p>
            <w:pPr>
              <w:pStyle w:val="Compact"/>
              <w:jc w:val="left"/>
            </w:pPr>
            <w:r>
              <w:t xml:space="preserve"> </w:t>
            </w:r>
          </w:p>
        </w:tc>
      </w:tr>
      <w:tr>
        <w:tc>
          <w:tcPr/>
          <w:p>
            <w:pPr>
              <w:pStyle w:val="Compact"/>
              <w:jc w:val="left"/>
            </w:pPr>
            <w:r>
              <w:t xml:space="preserve">Signature</w:t>
            </w:r>
          </w:p>
        </w:tc>
        <w:tc>
          <w:tcPr>
            <w:gridSpan w:val="3"/>
          </w:tcPr>
          <w:p>
            <w:pPr>
              <w:pStyle w:val="Compact"/>
              <w:jc w:val="left"/>
            </w:pPr>
            <w:r>
              <w:t xml:space="preserve"> </w:t>
            </w:r>
          </w:p>
        </w:tc>
      </w:tr>
    </w:tbl>
    <w:p>
      <w:pPr>
        <w:pStyle w:val="BodyText"/>
      </w:pPr>
      <w:hyperlink r:id="rId20">
        <w:r>
          <w:rPr>
            <w:rStyle w:val="Hyperlink"/>
          </w:rPr>
          <w:t xml:space="preserve">Standards</w:t>
        </w:r>
      </w:hyperlink>
      <w:r>
        <w:t xml:space="preserve"> </w:t>
      </w:r>
      <w:r>
        <w:t xml:space="preserve">›</w:t>
      </w:r>
      <w:r>
        <w:t xml:space="preserve"> </w:t>
      </w:r>
      <w:hyperlink r:id="rId21">
        <w:r>
          <w:rPr>
            <w:rStyle w:val="Hyperlink"/>
          </w:rPr>
          <w:t xml:space="preserve">Standard 1</w:t>
        </w:r>
      </w:hyperlink>
      <w:r>
        <w:t xml:space="preserve"> </w:t>
      </w:r>
      <w:r>
        <w:t xml:space="preserve">›</w:t>
      </w:r>
      <w:r>
        <w:t xml:space="preserve"> </w:t>
      </w:r>
      <w:hyperlink r:id="rId22">
        <w:r>
          <w:rPr>
            <w:rStyle w:val="Hyperlink"/>
          </w:rPr>
          <w:t xml:space="preserve">Policies</w:t>
        </w:r>
      </w:hyperlink>
    </w:p>
    <w:p>
      <w:pPr>
        <w:pStyle w:val="BodyText"/>
      </w:pPr>
      <w:r>
        <w:t xml:space="preserve">Policy · CLN-POL-001 · Version 1.0 · Approved by the ASF Expert Committee</w:t>
      </w:r>
    </w:p>
    <w:p>
      <w:pPr>
        <w:pStyle w:val="BodyText"/>
      </w:pPr>
      <w:r>
        <w:rPr>
          <w:bCs/>
          <w:b/>
        </w:rPr>
        <w:t xml:space="preserve">Supports:</w:t>
      </w:r>
      <w:r>
        <w:t xml:space="preserve"> </w:t>
      </w:r>
      <w:hyperlink r:id="rId23">
        <w:r>
          <w:rPr>
            <w:rStyle w:val="Hyperlink"/>
          </w:rPr>
          <w:t xml:space="preserve">1.1</w:t>
        </w:r>
      </w:hyperlink>
    </w:p>
    <w:p>
      <w:pPr>
        <w:pStyle w:val="BodyText"/>
      </w:pPr>
      <w:r>
        <w:t xml:space="preserve">At a glance</w:t>
      </w:r>
    </w:p>
    <w:p>
      <w:pPr>
        <w:numPr>
          <w:ilvl w:val="0"/>
          <w:numId w:val="1001"/>
        </w:numPr>
        <w:pStyle w:val="Compact"/>
      </w:pPr>
      <w:r>
        <w:t xml:space="preserve">Staffing is calculated from patient volume and acuity, not from a fixed roster.</w:t>
      </w:r>
    </w:p>
    <w:p>
      <w:pPr>
        <w:numPr>
          <w:ilvl w:val="0"/>
          <w:numId w:val="1001"/>
        </w:numPr>
        <w:pStyle w:val="Compact"/>
      </w:pPr>
      <w:r>
        <w:t xml:space="preserve">Skill mix is set for each shift, with a named senior clinician in charge.</w:t>
      </w:r>
    </w:p>
    <w:p>
      <w:pPr>
        <w:numPr>
          <w:ilvl w:val="0"/>
          <w:numId w:val="1001"/>
        </w:numPr>
        <w:pStyle w:val="Compact"/>
      </w:pPr>
      <w:r>
        <w:t xml:space="preserve">The calculation is reviewed each month and after any change in demand.</w:t>
      </w:r>
    </w:p>
    <w:p>
      <w:pPr>
        <w:numPr>
          <w:ilvl w:val="0"/>
          <w:numId w:val="1001"/>
        </w:numPr>
        <w:pStyle w:val="Compact"/>
      </w:pPr>
      <w:r>
        <w:t xml:space="preserve">Gaps are recorded and escalated the same shift.</w:t>
      </w:r>
    </w:p>
    <w:p>
      <w:pPr>
        <w:numPr>
          <w:ilvl w:val="0"/>
          <w:numId w:val="1001"/>
        </w:numPr>
        <w:pStyle w:val="Compact"/>
      </w:pPr>
      <w:r>
        <w:t xml:space="preserve">Stop and get help straight away if: a shift runs below the calculated safe level with no escalation recorded.</w:t>
      </w:r>
    </w:p>
    <w:bookmarkStart w:id="24" w:name="purpose"/>
    <w:p>
      <w:pPr>
        <w:pStyle w:val="Heading2"/>
      </w:pPr>
      <w:r>
        <w:t xml:space="preserve">1. Purpose</w:t>
      </w:r>
    </w:p>
    <w:p>
      <w:pPr>
        <w:pStyle w:val="FirstParagraph"/>
      </w:pPr>
      <w:r>
        <w:t xml:space="preserve">To make sure there are enough staff with the right skills for the patients in the care area (1.1).</w:t>
      </w:r>
    </w:p>
    <w:bookmarkEnd w:id="24"/>
    <w:bookmarkStart w:id="25" w:name="scope"/>
    <w:p>
      <w:pPr>
        <w:pStyle w:val="Heading2"/>
      </w:pPr>
      <w:r>
        <w:t xml:space="preserve">2. Scope</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t xml:space="preserve">Applies to</w:t>
            </w:r>
          </w:p>
        </w:tc>
        <w:tc>
          <w:tcPr/>
          <w:p>
            <w:pPr>
              <w:pStyle w:val="Compact"/>
              <w:jc w:val="left"/>
            </w:pPr>
            <w:r>
              <w:t xml:space="preserve">Clinical and support staff in the hospital</w:t>
            </w:r>
          </w:p>
        </w:tc>
      </w:tr>
      <w:tr>
        <w:tc>
          <w:tcPr/>
          <w:p>
            <w:pPr>
              <w:pStyle w:val="Compact"/>
              <w:jc w:val="left"/>
            </w:pPr>
            <w:r>
              <w:t xml:space="preserve">Locations</w:t>
            </w:r>
          </w:p>
        </w:tc>
        <w:tc>
          <w:tcPr/>
          <w:p>
            <w:pPr>
              <w:pStyle w:val="Compact"/>
              <w:jc w:val="left"/>
            </w:pPr>
            <w:r>
              <w:t xml:space="preserve">All wards, clinics and departments of the facility</w:t>
            </w:r>
          </w:p>
        </w:tc>
      </w:tr>
      <w:tr>
        <w:tc>
          <w:tcPr/>
          <w:p>
            <w:pPr>
              <w:pStyle w:val="Compact"/>
              <w:jc w:val="left"/>
            </w:pPr>
            <w:r>
              <w:t xml:space="preserve">When</w:t>
            </w:r>
          </w:p>
        </w:tc>
        <w:tc>
          <w:tcPr/>
          <w:p>
            <w:pPr>
              <w:pStyle w:val="Compact"/>
              <w:jc w:val="left"/>
            </w:pPr>
            <w:r>
              <w:t xml:space="preserve">Whenever the activity described is carried out</w:t>
            </w:r>
          </w:p>
        </w:tc>
      </w:tr>
      <w:tr>
        <w:tc>
          <w:tcPr/>
          <w:p>
            <w:pPr>
              <w:pStyle w:val="Compact"/>
              <w:jc w:val="left"/>
            </w:pPr>
            <w:r>
              <w:t xml:space="preserve">Does not apply to</w:t>
            </w:r>
          </w:p>
        </w:tc>
        <w:tc>
          <w:tcPr/>
          <w:p>
            <w:pPr>
              <w:pStyle w:val="Compact"/>
              <w:jc w:val="left"/>
            </w:pPr>
            <w:r>
              <w:t xml:space="preserve">Activities covered by another document listed in section 15</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25"/>
    <w:bookmarkStart w:id="26" w:name="definitions"/>
    <w:p>
      <w:pPr>
        <w:pStyle w:val="Heading2"/>
      </w:pPr>
      <w:r>
        <w:t xml:space="preserve">3. Definitions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Term</w:t>
            </w:r>
          </w:p>
        </w:tc>
        <w:tc>
          <w:tcPr/>
          <w:p>
            <w:pPr>
              <w:pStyle w:val="Compact"/>
              <w:jc w:val="left"/>
            </w:pPr>
            <w:r>
              <w:t xml:space="preserve">Meaning</w:t>
            </w:r>
          </w:p>
        </w:tc>
      </w:tr>
      <w:tr>
        <w:tc>
          <w:tcPr/>
          <w:p>
            <w:pPr>
              <w:pStyle w:val="Compact"/>
              <w:jc w:val="left"/>
            </w:pPr>
            <w:r>
              <w:t xml:space="preserve">Clinical lead</w:t>
            </w:r>
          </w:p>
        </w:tc>
        <w:tc>
          <w:tcPr/>
          <w:p>
            <w:pPr>
              <w:pStyle w:val="Compact"/>
              <w:jc w:val="left"/>
            </w:pPr>
            <w:r>
              <w:t xml:space="preserve">The doctor or nurse in charge of the area at the time</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26"/>
    <w:bookmarkStart w:id="27" w:name="background"/>
    <w:p>
      <w:pPr>
        <w:pStyle w:val="Heading2"/>
      </w:pPr>
      <w:r>
        <w:t xml:space="preserve">4. Background</w:t>
      </w:r>
    </w:p>
    <w:p>
      <w:pPr>
        <w:pStyle w:val="FirstParagraph"/>
      </w:pPr>
      <w:r>
        <w:t xml:space="preserve">Too few nurses for the number of patients, or too few with the right skills, leads to missed care and avoidable harm. Staffing should be calculated from real demand, not from habit.</w:t>
      </w:r>
    </w:p>
    <w:bookmarkEnd w:id="27"/>
    <w:bookmarkStart w:id="28" w:name="responsibilities"/>
    <w:p>
      <w:pPr>
        <w:pStyle w:val="Heading2"/>
      </w:pPr>
      <w:r>
        <w:t xml:space="preserve">5. Responsibilities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Responsibility</w:t>
            </w:r>
          </w:p>
        </w:tc>
        <w:tc>
          <w:tcPr/>
          <w:p>
            <w:pPr>
              <w:pStyle w:val="Compact"/>
              <w:jc w:val="left"/>
            </w:pPr>
            <w:r>
              <w:t xml:space="preserve">Competence</w:t>
            </w:r>
          </w:p>
        </w:tc>
      </w:tr>
      <w:tr>
        <w:tc>
          <w:tcPr/>
          <w:p>
            <w:pPr>
              <w:pStyle w:val="Compact"/>
              <w:jc w:val="left"/>
            </w:pPr>
            <w:r>
              <w:t xml:space="preserve">Chief nurse or clinical director</w:t>
            </w:r>
          </w:p>
        </w:tc>
        <w:tc>
          <w:tcPr/>
          <w:p>
            <w:pPr>
              <w:pStyle w:val="Compact"/>
              <w:jc w:val="left"/>
            </w:pPr>
            <w:r>
              <w:t xml:space="preserve">Owns the calculation and approves the skill mix</w:t>
            </w:r>
          </w:p>
        </w:tc>
        <w:tc>
          <w:tcPr/>
          <w:p>
            <w:pPr>
              <w:pStyle w:val="Compact"/>
              <w:jc w:val="left"/>
            </w:pPr>
            <w:r>
              <w:t xml:space="preserve">Management</w:t>
            </w:r>
          </w:p>
        </w:tc>
      </w:tr>
      <w:tr>
        <w:tc>
          <w:tcPr/>
          <w:p>
            <w:pPr>
              <w:pStyle w:val="Compact"/>
              <w:jc w:val="left"/>
            </w:pPr>
            <w:r>
              <w:t xml:space="preserve">Duty manager</w:t>
            </w:r>
          </w:p>
        </w:tc>
        <w:tc>
          <w:tcPr/>
          <w:p>
            <w:pPr>
              <w:pStyle w:val="Compact"/>
              <w:jc w:val="left"/>
            </w:pPr>
            <w:r>
              <w:t xml:space="preserve">Checks each shift against the calculation</w:t>
            </w:r>
          </w:p>
        </w:tc>
        <w:tc>
          <w:tcPr/>
          <w:p>
            <w:pPr>
              <w:pStyle w:val="Compact"/>
              <w:jc w:val="left"/>
            </w:pPr>
            <w:r>
              <w:t xml:space="preserve">Senior clinician</w:t>
            </w: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bl>
    <w:bookmarkEnd w:id="28"/>
    <w:bookmarkStart w:id="29" w:name="materials-and-equipment"/>
    <w:p>
      <w:pPr>
        <w:pStyle w:val="Heading2"/>
      </w:pPr>
      <w:r>
        <w:t xml:space="preserve">6. Materials and equipment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Requirement</w:t>
            </w:r>
          </w:p>
        </w:tc>
        <w:tc>
          <w:tcPr/>
          <w:p>
            <w:pPr>
              <w:pStyle w:val="Compact"/>
              <w:jc w:val="left"/>
            </w:pPr>
            <w:r>
              <w:t xml:space="preserve">Condition</w:t>
            </w:r>
          </w:p>
        </w:tc>
      </w:tr>
      <w:tr>
        <w:tc>
          <w:tcPr/>
          <w:p>
            <w:pPr>
              <w:pStyle w:val="Compact"/>
              <w:jc w:val="left"/>
            </w:pPr>
            <w:r>
              <w:t xml:space="preserve">Records and forms named in this document</w:t>
            </w:r>
          </w:p>
        </w:tc>
        <w:tc>
          <w:tcPr/>
          <w:p>
            <w:pPr>
              <w:pStyle w:val="Compact"/>
              <w:jc w:val="left"/>
            </w:pPr>
            <w:r>
              <w:t xml:space="preserve">Current version</w:t>
            </w:r>
          </w:p>
        </w:tc>
        <w:tc>
          <w:tcPr/>
          <w:p>
            <w:pPr>
              <w:pStyle w:val="Compact"/>
              <w:jc w:val="left"/>
            </w:pPr>
            <w:r>
              <w:t xml:space="preserve">Checked before use</w:t>
            </w: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bl>
    <w:bookmarkEnd w:id="29"/>
    <w:bookmarkStart w:id="30" w:name="safety"/>
    <w:p>
      <w:pPr>
        <w:pStyle w:val="Heading2"/>
      </w:pPr>
      <w:r>
        <w:t xml:space="preserve">7. Safety</w:t>
      </w:r>
    </w:p>
    <w:p>
      <w:pPr>
        <w:numPr>
          <w:ilvl w:val="0"/>
          <w:numId w:val="1002"/>
        </w:numPr>
        <w:pStyle w:val="Compact"/>
      </w:pPr>
      <w:r>
        <w:t xml:space="preserve">Stop and call for help if a patient is at immediate risk. Do not delay urgent care to complete paperwork.</w:t>
      </w:r>
    </w:p>
    <w:bookmarkEnd w:id="30"/>
    <w:bookmarkStart w:id="31" w:name="before-you-start"/>
    <w:p>
      <w:pPr>
        <w:pStyle w:val="Heading2"/>
      </w:pPr>
      <w:r>
        <w:t xml:space="preserve">8. Before you start</w:t>
      </w:r>
    </w:p>
    <w:p>
      <w:pPr>
        <w:numPr>
          <w:ilvl w:val="0"/>
          <w:numId w:val="1003"/>
        </w:numPr>
        <w:pStyle w:val="Compact"/>
      </w:pPr>
      <w:r>
        <w:t xml:space="preserve">Confirm the forms and equipment named in this document are available and current.</w:t>
      </w:r>
    </w:p>
    <w:bookmarkEnd w:id="31"/>
    <w:bookmarkStart w:id="32" w:name="procedure"/>
    <w:p>
      <w:pPr>
        <w:pStyle w:val="Heading2"/>
      </w:pPr>
      <w:r>
        <w:t xml:space="preserve">9. Procedure</w:t>
      </w:r>
    </w:p>
    <w:p>
      <w:pPr>
        <w:pStyle w:val="FirstParagraph"/>
      </w:pPr>
      <w:r>
        <w:t xml:space="preserve">Step 1. Calculate.</w:t>
      </w:r>
    </w:p>
    <w:p>
      <w:pPr>
        <w:numPr>
          <w:ilvl w:val="0"/>
          <w:numId w:val="1004"/>
        </w:numPr>
        <w:pStyle w:val="Compact"/>
      </w:pPr>
      <w:r>
        <w:t xml:space="preserve">Use the patient numbers and acuity for the last 4 weeks to calculate the staff needed for each shift (CLN-FRM-001).</w:t>
      </w:r>
    </w:p>
    <w:p>
      <w:pPr>
        <w:pStyle w:val="FirstParagraph"/>
      </w:pPr>
      <w:r>
        <w:rPr>
          <w:bCs/>
          <w:b/>
        </w:rPr>
        <w:t xml:space="preserve">Key point:</w:t>
      </w:r>
      <w:r>
        <w:t xml:space="preserve"> </w:t>
      </w:r>
      <w:r>
        <w:t xml:space="preserve">Calculated from real demand.</w:t>
      </w:r>
    </w:p>
    <w:p>
      <w:pPr>
        <w:pStyle w:val="BodyText"/>
      </w:pPr>
      <w:r>
        <w:t xml:space="preserve">Step 2. Check each shift.</w:t>
      </w:r>
    </w:p>
    <w:p>
      <w:pPr>
        <w:numPr>
          <w:ilvl w:val="0"/>
          <w:numId w:val="1005"/>
        </w:numPr>
        <w:pStyle w:val="Compact"/>
      </w:pPr>
      <w:r>
        <w:t xml:space="preserve">Compare the rota with the calculation before each shift.</w:t>
      </w:r>
    </w:p>
    <w:p>
      <w:pPr>
        <w:numPr>
          <w:ilvl w:val="0"/>
          <w:numId w:val="1005"/>
        </w:numPr>
        <w:pStyle w:val="Compact"/>
      </w:pPr>
      <w:r>
        <w:t xml:space="preserve">Escalate any gap to the duty manager.</w:t>
      </w:r>
    </w:p>
    <w:p>
      <w:pPr>
        <w:pStyle w:val="FirstParagraph"/>
      </w:pPr>
      <w:r>
        <w:rPr>
          <w:bCs/>
          <w:b/>
        </w:rPr>
        <w:t xml:space="preserve">Key point:</w:t>
      </w:r>
      <w:r>
        <w:t xml:space="preserve"> </w:t>
      </w:r>
      <w:r>
        <w:t xml:space="preserve">Gap found before the shift, not during.</w:t>
      </w:r>
    </w:p>
    <w:p>
      <w:pPr>
        <w:pStyle w:val="BodyText"/>
      </w:pPr>
      <w:r>
        <w:t xml:space="preserve">Step 3. Review.</w:t>
      </w:r>
    </w:p>
    <w:p>
      <w:pPr>
        <w:numPr>
          <w:ilvl w:val="0"/>
          <w:numId w:val="1006"/>
        </w:numPr>
        <w:pStyle w:val="Compact"/>
      </w:pPr>
      <w:r>
        <w:t xml:space="preserve">Review the calculation each month and after any change in case mix.</w:t>
      </w:r>
    </w:p>
    <w:p>
      <w:pPr>
        <w:pStyle w:val="FirstParagraph"/>
      </w:pPr>
      <w:r>
        <w:rPr>
          <w:bCs/>
          <w:b/>
        </w:rPr>
        <w:t xml:space="preserve">Key point:</w:t>
      </w:r>
      <w:r>
        <w:t xml:space="preserve"> </w:t>
      </w:r>
      <w:r>
        <w:t xml:space="preserve">The calculation follows the patients.</w:t>
      </w:r>
    </w:p>
    <w:bookmarkEnd w:id="32"/>
    <w:bookmarkStart w:id="33" w:name="decision-points"/>
    <w:p>
      <w:pPr>
        <w:pStyle w:val="Heading2"/>
      </w:pPr>
      <w:r>
        <w:t xml:space="preserve">10. Decision points</w:t>
      </w:r>
    </w:p>
    <w:p>
      <w:pPr>
        <w:numPr>
          <w:ilvl w:val="0"/>
          <w:numId w:val="1007"/>
        </w:numPr>
        <w:pStyle w:val="Compact"/>
      </w:pPr>
      <w:r>
        <w:t xml:space="preserve">No decision points in this procedure.</w:t>
      </w:r>
    </w:p>
    <w:bookmarkEnd w:id="33"/>
    <w:bookmarkStart w:id="34" w:name="special-situations"/>
    <w:p>
      <w:pPr>
        <w:pStyle w:val="Heading2"/>
      </w:pPr>
      <w:r>
        <w:t xml:space="preserve">11. Special situations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Situation</w:t>
            </w:r>
          </w:p>
        </w:tc>
        <w:tc>
          <w:tcPr/>
          <w:p>
            <w:pPr>
              <w:pStyle w:val="Compact"/>
              <w:jc w:val="left"/>
            </w:pPr>
            <w:r>
              <w:t xml:space="preserve">Action</w:t>
            </w:r>
          </w:p>
        </w:tc>
      </w:tr>
      <w:tr>
        <w:tc>
          <w:tcPr/>
          <w:p>
            <w:pPr>
              <w:pStyle w:val="Compact"/>
              <w:jc w:val="left"/>
            </w:pPr>
            <w:r>
              <w:t xml:space="preserve">Out of hours</w:t>
            </w:r>
          </w:p>
        </w:tc>
        <w:tc>
          <w:tcPr/>
          <w:p>
            <w:pPr>
              <w:pStyle w:val="Compact"/>
              <w:jc w:val="left"/>
            </w:pPr>
            <w:r>
              <w:t xml:space="preserve">Follow the same steps. Use the on-call contact on the wall of the area.</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34"/>
    <w:bookmarkStart w:id="35" w:name="escalation"/>
    <w:p>
      <w:pPr>
        <w:pStyle w:val="Heading2"/>
      </w:pPr>
      <w:r>
        <w:t xml:space="preserve">12. Escalation</w:t>
      </w:r>
    </w:p>
    <w:p>
      <w:pPr>
        <w:numPr>
          <w:ilvl w:val="0"/>
          <w:numId w:val="1008"/>
        </w:numPr>
        <w:pStyle w:val="Compact"/>
      </w:pPr>
      <w:r>
        <w:t xml:space="preserve">Any serious problem goes to the duty clinical lead at once and to the clinical director the same day.</w:t>
      </w:r>
    </w:p>
    <w:bookmarkEnd w:id="35"/>
    <w:bookmarkStart w:id="36" w:name="monitoring"/>
    <w:p>
      <w:pPr>
        <w:pStyle w:val="Heading2"/>
      </w:pPr>
      <w:r>
        <w:t xml:space="preserve">13. Monitoring</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Measure</w:t>
            </w:r>
          </w:p>
        </w:tc>
        <w:tc>
          <w:tcPr/>
          <w:p>
            <w:pPr>
              <w:pStyle w:val="Compact"/>
              <w:jc w:val="left"/>
            </w:pPr>
            <w:r>
              <w:t xml:space="preserve">Target</w:t>
            </w:r>
          </w:p>
        </w:tc>
        <w:tc>
          <w:tcPr/>
          <w:p>
            <w:pPr>
              <w:pStyle w:val="Compact"/>
              <w:jc w:val="left"/>
            </w:pPr>
            <w:r>
              <w:t xml:space="preserve">Frequency</w:t>
            </w:r>
          </w:p>
        </w:tc>
        <w:tc>
          <w:tcPr/>
          <w:p>
            <w:pPr>
              <w:pStyle w:val="Compact"/>
              <w:jc w:val="left"/>
            </w:pPr>
            <w:r>
              <w:t xml:space="preserve">Owner</w:t>
            </w:r>
          </w:p>
        </w:tc>
        <w:tc>
          <w:tcPr/>
          <w:p>
            <w:pPr>
              <w:pStyle w:val="Compact"/>
              <w:jc w:val="left"/>
            </w:pPr>
            <w:r>
              <w:t xml:space="preserve">If not met</w:t>
            </w:r>
          </w:p>
        </w:tc>
      </w:tr>
      <w:tr>
        <w:tc>
          <w:tcPr/>
          <w:p>
            <w:pPr>
              <w:pStyle w:val="Compact"/>
              <w:jc w:val="left"/>
            </w:pPr>
            <w:r>
              <w:t xml:space="preserve">Shifts at or above the calculated level</w:t>
            </w:r>
          </w:p>
        </w:tc>
        <w:tc>
          <w:tcPr/>
          <w:p>
            <w:pPr>
              <w:pStyle w:val="Compact"/>
              <w:jc w:val="left"/>
            </w:pPr>
            <w:r>
              <w:t xml:space="preserve">At least 90%</w:t>
            </w:r>
          </w:p>
        </w:tc>
        <w:tc>
          <w:tcPr/>
          <w:p>
            <w:pPr>
              <w:pStyle w:val="Compact"/>
              <w:jc w:val="left"/>
            </w:pPr>
            <w:r>
              <w:t xml:space="preserve">Monthly</w:t>
            </w:r>
          </w:p>
        </w:tc>
        <w:tc>
          <w:tcPr/>
          <w:p>
            <w:pPr>
              <w:pStyle w:val="Compact"/>
              <w:jc w:val="left"/>
            </w:pPr>
            <w:r>
              <w:t xml:space="preserve">Chief nurse</w:t>
            </w:r>
          </w:p>
        </w:tc>
        <w:tc>
          <w:tcPr/>
          <w:p>
            <w:pPr>
              <w:pStyle w:val="Compact"/>
              <w:jc w:val="left"/>
            </w:pPr>
            <w:r>
              <w:t xml:space="preserve">Escalate to chief executive</w:t>
            </w:r>
          </w:p>
        </w:tc>
      </w:tr>
      <w:tr>
        <w:tc>
          <w:tcPr/>
          <w:p>
            <w:pPr>
              <w:pStyle w:val="Compact"/>
              <w:jc w:val="left"/>
            </w:pPr>
            <w:r>
              <w:t xml:space="preserve">Gaps with escalation recorded</w:t>
            </w:r>
          </w:p>
        </w:tc>
        <w:tc>
          <w:tcPr/>
          <w:p>
            <w:pPr>
              <w:pStyle w:val="Compact"/>
              <w:jc w:val="left"/>
            </w:pPr>
            <w:r>
              <w:t xml:space="preserve">100%</w:t>
            </w:r>
          </w:p>
        </w:tc>
        <w:tc>
          <w:tcPr/>
          <w:p>
            <w:pPr>
              <w:pStyle w:val="Compact"/>
              <w:jc w:val="left"/>
            </w:pPr>
            <w:r>
              <w:t xml:space="preserve">Monthly</w:t>
            </w:r>
          </w:p>
        </w:tc>
        <w:tc>
          <w:tcPr/>
          <w:p>
            <w:pPr>
              <w:pStyle w:val="Compact"/>
              <w:jc w:val="left"/>
            </w:pPr>
            <w:r>
              <w:t xml:space="preserve">Duty manager</w:t>
            </w:r>
          </w:p>
        </w:tc>
        <w:tc>
          <w:tcPr/>
          <w:p>
            <w:pPr>
              <w:pStyle w:val="Compact"/>
              <w:jc w:val="left"/>
            </w:pPr>
            <w:r>
              <w:t xml:space="preserve">Escalate to chief executive</w:t>
            </w:r>
          </w:p>
        </w:tc>
      </w:tr>
      <w:tr>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r>
    </w:tbl>
    <w:bookmarkEnd w:id="36"/>
    <w:bookmarkStart w:id="37" w:name="records"/>
    <w:p>
      <w:pPr>
        <w:pStyle w:val="Heading2"/>
      </w:pPr>
      <w:r>
        <w:t xml:space="preserve">14. Records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Record</w:t>
            </w:r>
          </w:p>
        </w:tc>
        <w:tc>
          <w:tcPr/>
          <w:p>
            <w:pPr>
              <w:pStyle w:val="Compact"/>
              <w:jc w:val="left"/>
            </w:pPr>
            <w:r>
              <w:t xml:space="preserve">Kept in</w:t>
            </w:r>
          </w:p>
        </w:tc>
        <w:tc>
          <w:tcPr/>
          <w:p>
            <w:pPr>
              <w:pStyle w:val="Compact"/>
              <w:jc w:val="left"/>
            </w:pPr>
            <w:r>
              <w:t xml:space="preserve">Retention</w:t>
            </w:r>
          </w:p>
        </w:tc>
      </w:tr>
      <w:tr>
        <w:tc>
          <w:tcPr/>
          <w:p>
            <w:pPr>
              <w:pStyle w:val="Compact"/>
              <w:jc w:val="left"/>
            </w:pPr>
            <w:r>
              <w:t xml:space="preserve">Record named in this document</w:t>
            </w:r>
          </w:p>
        </w:tc>
        <w:tc>
          <w:tcPr/>
          <w:p>
            <w:pPr>
              <w:pStyle w:val="Compact"/>
              <w:jc w:val="left"/>
            </w:pPr>
            <w:r>
              <w:t xml:space="preserve">Patient record or the area file</w:t>
            </w:r>
          </w:p>
        </w:tc>
        <w:tc>
          <w:tcPr/>
          <w:p>
            <w:pPr>
              <w:pStyle w:val="Compact"/>
              <w:jc w:val="left"/>
            </w:pPr>
            <w:r>
              <w:t xml:space="preserve">the period set by the facility's records policy years</w:t>
            </w: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bl>
    <w:bookmarkEnd w:id="37"/>
    <w:bookmarkStart w:id="38" w:name="training"/>
    <w:p>
      <w:pPr>
        <w:pStyle w:val="Heading2"/>
      </w:pPr>
      <w:r>
        <w:t xml:space="preserve">15. Training</w:t>
      </w:r>
    </w:p>
    <w:p>
      <w:pPr>
        <w:numPr>
          <w:ilvl w:val="0"/>
          <w:numId w:val="1009"/>
        </w:numPr>
        <w:pStyle w:val="Compact"/>
      </w:pPr>
      <w:r>
        <w:t xml:space="preserve">Staff are trained in this document at induction and refreshed each year, with a recorded competency check.</w:t>
      </w:r>
    </w:p>
    <w:bookmarkEnd w:id="38"/>
    <w:bookmarkStart w:id="40" w:name="related-documents"/>
    <w:p>
      <w:pPr>
        <w:pStyle w:val="Heading2"/>
      </w:pPr>
      <w:r>
        <w:t xml:space="preserve">16. Related documents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ID</w:t>
            </w:r>
          </w:p>
        </w:tc>
        <w:tc>
          <w:tcPr/>
          <w:p>
            <w:pPr>
              <w:pStyle w:val="Compact"/>
              <w:jc w:val="left"/>
            </w:pPr>
            <w:r>
              <w:t xml:space="preserve">Title</w:t>
            </w:r>
          </w:p>
        </w:tc>
        <w:tc>
          <w:tcPr/>
          <w:p>
            <w:pPr>
              <w:pStyle w:val="Compact"/>
              <w:jc w:val="left"/>
            </w:pPr>
            <w:r>
              <w:t xml:space="preserve">Use</w:t>
            </w:r>
          </w:p>
        </w:tc>
      </w:tr>
      <w:tr>
        <w:tc>
          <w:tcPr/>
          <w:p>
            <w:pPr>
              <w:pStyle w:val="Compact"/>
              <w:jc w:val="left"/>
            </w:pPr>
            <w:hyperlink r:id="rId39">
              <w:r>
                <w:rPr>
                  <w:rStyle w:val="Hyperlink"/>
                </w:rPr>
                <w:t xml:space="preserve">CLN-FRM-001</w:t>
              </w:r>
            </w:hyperlink>
          </w:p>
        </w:tc>
        <w:tc>
          <w:tcPr/>
          <w:p>
            <w:pPr>
              <w:pStyle w:val="Compact"/>
              <w:jc w:val="left"/>
            </w:pPr>
            <w:r>
              <w:t xml:space="preserve">Staffing calculation record</w:t>
            </w:r>
          </w:p>
        </w:tc>
        <w:tc>
          <w:tcPr/>
          <w:p>
            <w:pPr>
              <w:pStyle w:val="Compact"/>
              <w:jc w:val="left"/>
            </w:pPr>
            <w:r>
              <w:t xml:space="preserve">Calculation</w:t>
            </w: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bl>
    <w:bookmarkEnd w:id="40"/>
    <w:bookmarkStart w:id="41" w:name="evidence"/>
    <w:p>
      <w:pPr>
        <w:pStyle w:val="Heading2"/>
      </w:pPr>
      <w:r>
        <w:t xml:space="preserve">17. Evidence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Reference</w:t>
            </w:r>
          </w:p>
        </w:tc>
        <w:tc>
          <w:tcPr/>
          <w:p>
            <w:pPr>
              <w:pStyle w:val="Compact"/>
              <w:jc w:val="left"/>
            </w:pPr>
            <w:r>
              <w:t xml:space="preserve">Note</w:t>
            </w:r>
          </w:p>
        </w:tc>
      </w:tr>
      <w:tr>
        <w:tc>
          <w:tcPr/>
          <w:p>
            <w:pPr>
              <w:pStyle w:val="Compact"/>
              <w:jc w:val="left"/>
            </w:pPr>
            <w:r>
              <w:t xml:space="preserve">E-009</w:t>
            </w:r>
          </w:p>
        </w:tc>
        <w:tc>
          <w:tcPr/>
          <w:p>
            <w:pPr>
              <w:pStyle w:val="Compact"/>
              <w:jc w:val="left"/>
            </w:pPr>
            <w:r>
              <w:t xml:space="preserve">ASF Expert Committee consensus.</w:t>
            </w:r>
          </w:p>
        </w:tc>
      </w:tr>
      <w:tr>
        <w:tc>
          <w:tcPr/>
          <w:p>
            <w:pPr>
              <w:pStyle w:val="Compact"/>
              <w:jc w:val="left"/>
            </w:pPr>
            <w:r>
              <w:t xml:space="preserve">E-006</w:t>
            </w:r>
          </w:p>
        </w:tc>
        <w:tc>
          <w:tcPr/>
          <w:p>
            <w:pPr>
              <w:pStyle w:val="Compact"/>
              <w:jc w:val="left"/>
            </w:pPr>
            <w:r>
              <w:t xml:space="preserve">ASF Policy Framework v1.2. Adapted.</w:t>
            </w:r>
          </w:p>
        </w:tc>
      </w:tr>
      <w:tr>
        <w:tc>
          <w:tcPr/>
          <w:p>
            <w:pPr>
              <w:pStyle w:val="Compact"/>
              <w:jc w:val="left"/>
            </w:pPr>
            <w:r>
              <w:t xml:space="preserve">E-009</w:t>
            </w:r>
          </w:p>
        </w:tc>
        <w:tc>
          <w:tcPr/>
          <w:p>
            <w:pPr>
              <w:pStyle w:val="Compact"/>
              <w:jc w:val="left"/>
            </w:pPr>
            <w:r>
              <w:t xml:space="preserve">ASF Expert Committee consensus.</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41"/>
    <w:bookmarkStart w:id="42" w:name="change-history"/>
    <w:p>
      <w:pPr>
        <w:pStyle w:val="Heading2"/>
      </w:pPr>
      <w:r>
        <w:t xml:space="preserve">18. Change history</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Version</w:t>
            </w:r>
          </w:p>
        </w:tc>
        <w:tc>
          <w:tcPr/>
          <w:p>
            <w:pPr>
              <w:pStyle w:val="Compact"/>
              <w:jc w:val="left"/>
            </w:pPr>
            <w:r>
              <w:t xml:space="preserve">Date</w:t>
            </w:r>
          </w:p>
        </w:tc>
        <w:tc>
          <w:tcPr/>
          <w:p>
            <w:pPr>
              <w:pStyle w:val="Compact"/>
              <w:jc w:val="left"/>
            </w:pPr>
            <w:r>
              <w:t xml:space="preserve">What changed</w:t>
            </w:r>
          </w:p>
        </w:tc>
        <w:tc>
          <w:tcPr/>
          <w:p>
            <w:pPr>
              <w:pStyle w:val="Compact"/>
              <w:jc w:val="left"/>
            </w:pPr>
            <w:r>
              <w:t xml:space="preserve">Approval</w:t>
            </w:r>
          </w:p>
        </w:tc>
      </w:tr>
      <w:tr>
        <w:tc>
          <w:tcPr/>
          <w:p>
            <w:pPr>
              <w:pStyle w:val="Compact"/>
              <w:jc w:val="left"/>
            </w:pPr>
            <w:r>
              <w:t xml:space="preserve">1.0</w:t>
            </w:r>
          </w:p>
        </w:tc>
        <w:tc>
          <w:tcPr/>
          <w:p>
            <w:pPr>
              <w:pStyle w:val="Compact"/>
              <w:jc w:val="left"/>
            </w:pPr>
            <w:r>
              <w:t xml:space="preserve">the date of approval</w:t>
            </w:r>
          </w:p>
        </w:tc>
        <w:tc>
          <w:tcPr/>
          <w:p>
            <w:pPr>
              <w:pStyle w:val="Compact"/>
              <w:jc w:val="left"/>
            </w:pPr>
            <w:r>
              <w:t xml:space="preserve">First version</w:t>
            </w:r>
          </w:p>
        </w:tc>
        <w:tc>
          <w:tcPr/>
          <w:p>
            <w:pPr>
              <w:pStyle w:val="Compact"/>
              <w:jc w:val="left"/>
            </w:pPr>
            <w:r>
              <w:t xml:space="preserve">set Expert Committee approval</w:t>
            </w:r>
          </w:p>
        </w:tc>
      </w:tr>
      <w:tr>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r>
    </w:tbl>
    <w:bookmarkEnd w:id="42"/>
    <w:bookmarkStart w:id="44" w:name="references"/>
    <w:p>
      <w:pPr>
        <w:pStyle w:val="Heading2"/>
      </w:pPr>
      <w:r>
        <w:t xml:space="preserve">References</w:t>
      </w:r>
    </w:p>
    <w:p>
      <w:pPr>
        <w:numPr>
          <w:ilvl w:val="0"/>
          <w:numId w:val="1010"/>
        </w:numPr>
        <w:pStyle w:val="Compact"/>
      </w:pPr>
      <w:r>
        <w:t xml:space="preserve">Accréditation Sans Frontières (2026). ASF Policy Framework v1.2.</w:t>
      </w:r>
      <w:r>
        <w:t xml:space="preserve"> </w:t>
      </w:r>
      <w:r>
        <w:t xml:space="preserve">(E-006)</w:t>
      </w:r>
    </w:p>
    <w:p>
      <w:pPr>
        <w:numPr>
          <w:ilvl w:val="0"/>
          <w:numId w:val="1010"/>
        </w:numPr>
        <w:pStyle w:val="Compact"/>
      </w:pPr>
      <w:r>
        <w:t xml:space="preserve">Accréditation Sans Frontières (2026). ASF Expert Committee consensus on Standard 1.</w:t>
      </w:r>
      <w:r>
        <w:t xml:space="preserve"> </w:t>
      </w:r>
      <w:r>
        <w:t xml:space="preserve">(E-009)</w:t>
      </w:r>
    </w:p>
    <w:p>
      <w:pPr>
        <w:pStyle w:val="FirstParagraph"/>
      </w:pPr>
      <w:hyperlink r:id="rId43">
        <w:r>
          <w:rPr>
            <w:rStyle w:val="Hyperlink"/>
          </w:rPr>
          <w:t xml:space="preserve">Download this document as PDF</w:t>
        </w:r>
      </w:hyperlink>
    </w:p>
    <w:bookmarkEnd w:id="44"/>
    <w:sectPr>
      <w:pgSz w:w="11906" w:h="16838"/>
      <w:pgMar w:left="794" w:right="794" w:top="794" w:bottom="90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39" Type="http://schemas.openxmlformats.org/officeDocument/2006/relationships/hyperlink" Target="/documents/cln-frm-001/" TargetMode="External"/><Relationship Id="rId22" Type="http://schemas.openxmlformats.org/officeDocument/2006/relationships/hyperlink" Target="/resources/policies/" TargetMode="External"/><Relationship Id="rId20" Type="http://schemas.openxmlformats.org/officeDocument/2006/relationships/hyperlink" Target="/standards/" TargetMode="External"/><Relationship Id="rId21" Type="http://schemas.openxmlformats.org/officeDocument/2006/relationships/hyperlink" Target="/standards/standard-1/" TargetMode="External"/><Relationship Id="rId23" Type="http://schemas.openxmlformats.org/officeDocument/2006/relationships/hyperlink" Target="/standards/standard-1/#c1-1" TargetMode="External"/><Relationship Id="rId43" Type="http://schemas.openxmlformats.org/officeDocument/2006/relationships/hyperlink" Target="https://france-asf.fr/wp-content/uploads/2026/10/cln-pol-001.pdf" TargetMode="External"/></Relationships>
</file>

<file path=word/_rels/footnotes.xml.rels><?xml version='1.0' encoding='UTF-8' standalone='yes'?>
<Relationships xmlns="http://schemas.openxmlformats.org/package/2006/relationships"><Relationship Id="rId39" Type="http://schemas.openxmlformats.org/officeDocument/2006/relationships/hyperlink" Target="/documents/cln-frm-001/" TargetMode="External"/><Relationship Id="rId22" Type="http://schemas.openxmlformats.org/officeDocument/2006/relationships/hyperlink" Target="/resources/policies/" TargetMode="External"/><Relationship Id="rId20" Type="http://schemas.openxmlformats.org/officeDocument/2006/relationships/hyperlink" Target="/standards/" TargetMode="External"/><Relationship Id="rId21" Type="http://schemas.openxmlformats.org/officeDocument/2006/relationships/hyperlink" Target="/standards/standard-1/" TargetMode="External"/><Relationship Id="rId23" Type="http://schemas.openxmlformats.org/officeDocument/2006/relationships/hyperlink" Target="/standards/standard-1/#c1-1" TargetMode="External"/><Relationship Id="rId43" Type="http://schemas.openxmlformats.org/officeDocument/2006/relationships/hyperlink" Target="https://france-asf.fr/wp-content/uploads/2026/10/cln-pol-00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CLN-POL-001: Staffing levels and skill mix</dc:title>
  <dc:creator/>
  <cp:keywords/>
  <dcterms:created xsi:type="dcterms:W3CDTF">2026-10-28T21:34:16Z</dcterms:created>
  <dcterms:modified xsi:type="dcterms:W3CDTF">2026-10-28T21:34:16Z</dcterms:modified>
</cp:coreProperties>
</file>

<file path=docProps/custom.xml><?xml version="1.0" encoding="utf-8"?>
<Properties xmlns="http://schemas.openxmlformats.org/officeDocument/2006/custom-properties" xmlns:vt="http://schemas.openxmlformats.org/officeDocument/2006/docPropsVTypes"/>
</file>