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Nutritional Risk Screening and Therapeutic Diets</w:t>
            </w:r>
          </w:p>
        </w:tc>
        <w:tc>
          <w:tcPr/>
          <w:p>
            <w:pPr>
              <w:pStyle w:val="Compact"/>
            </w:pPr>
          </w:p>
        </w:tc>
      </w:tr>
      <w:tr>
        <w:tc>
          <w:tcPr/>
          <w:p>
            <w:pPr>
              <w:pStyle w:val="Compact"/>
              <w:jc w:val="left"/>
            </w:pPr>
            <w:r>
              <w:t xml:space="preserve">Document ID</w:t>
            </w:r>
          </w:p>
        </w:tc>
        <w:tc>
          <w:tcPr/>
          <w:p>
            <w:pPr>
              <w:pStyle w:val="Compact"/>
              <w:jc w:val="left"/>
            </w:pPr>
            <w:r>
              <w:t xml:space="preserve">CLN-SOP-003-EN</w:t>
            </w:r>
          </w:p>
        </w:tc>
        <w:tc>
          <w:tcPr/>
          <w:p>
            <w:pPr>
              <w:pStyle w:val="Compact"/>
              <w:jc w:val="left"/>
            </w:pPr>
            <w:r>
              <w:t xml:space="preserve">Version</w:t>
            </w:r>
          </w:p>
        </w:tc>
        <w:tc>
          <w:tcPr/>
          <w:p>
            <w:pPr>
              <w:pStyle w:val="Compact"/>
              <w:jc w:val="left"/>
            </w:pPr>
            <w:r>
              <w:t xml:space="preserve">1.2</w:t>
            </w:r>
          </w:p>
        </w:tc>
      </w:tr>
      <w:tr>
        <w:tc>
          <w:tcPr/>
          <w:p>
            <w:pPr>
              <w:pStyle w:val="Compact"/>
              <w:jc w:val="left"/>
            </w:pPr>
            <w:r>
              <w:t xml:space="preserve">Status</w:t>
            </w:r>
          </w:p>
        </w:tc>
        <w:tc>
          <w:tcPr/>
          <w:p>
            <w:pPr>
              <w:pStyle w:val="Compact"/>
              <w:jc w:val="left"/>
            </w:pPr>
            <w:r>
              <w:t xml:space="preserve">To be issued</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1.0</w:t>
            </w:r>
          </w:p>
        </w:tc>
      </w:tr>
      <w:tr>
        <w:tc>
          <w:tcPr/>
          <w:p>
            <w:pPr>
              <w:pStyle w:val="Compact"/>
              <w:jc w:val="left"/>
            </w:pPr>
            <w:r>
              <w:t xml:space="preserve">Owner</w:t>
            </w:r>
          </w:p>
        </w:tc>
        <w:tc>
          <w:tcPr/>
          <w:p>
            <w:pPr>
              <w:pStyle w:val="Compact"/>
              <w:jc w:val="left"/>
            </w:pPr>
            <w:r>
              <w:t xml:space="preserve">Clinical lead for this procedure</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Classification</w:t>
            </w:r>
          </w:p>
        </w:tc>
        <w:tc>
          <w:tcPr/>
          <w:p>
            <w:pPr>
              <w:pStyle w:val="Compact"/>
              <w:jc w:val="left"/>
            </w:pPr>
            <w:r>
              <w:t xml:space="preserve">Internal</w:t>
            </w:r>
          </w:p>
        </w:tc>
        <w:tc>
          <w:tcPr/>
          <w:p>
            <w:pPr>
              <w:pStyle w:val="Compact"/>
              <w:jc w:val="left"/>
            </w:pPr>
            <w:r>
              <w:t xml:space="preserve">Applies to</w:t>
            </w:r>
          </w:p>
        </w:tc>
        <w:tc>
          <w:tcPr/>
          <w:p>
            <w:pPr>
              <w:pStyle w:val="Compact"/>
              <w:jc w:val="left"/>
            </w:pPr>
            <w:r>
              <w:t xml:space="preserve">All clinical areas</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This is a controlled copy when approved. Printed copies are uncontrolled; check the version against the document register before use.</w:t>
      </w:r>
    </w:p>
    <w:bookmarkStart w:id="20" w:name="toc"/>
    <w:p>
      <w:pPr>
        <w:pStyle w:val="Heading2"/>
      </w:pPr>
      <w:r>
        <w:t xml:space="preserve">Contents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Purpose</w:t>
            </w:r>
          </w:p>
        </w:tc>
        <w:tc>
          <w:tcPr/>
          <w:p>
            <w:pPr>
              <w:pStyle w:val="Compact"/>
              <w:jc w:val="left"/>
            </w:pPr>
            <w:r>
              <w:t xml:space="preserve">2</w:t>
            </w:r>
          </w:p>
        </w:tc>
      </w:tr>
      <w:tr>
        <w:tc>
          <w:tcPr/>
          <w:p>
            <w:pPr>
              <w:pStyle w:val="Compact"/>
              <w:jc w:val="left"/>
            </w:pPr>
            <w:r>
              <w:t xml:space="preserve">2. Scope</w:t>
            </w:r>
          </w:p>
        </w:tc>
        <w:tc>
          <w:tcPr/>
          <w:p>
            <w:pPr>
              <w:pStyle w:val="Compact"/>
              <w:jc w:val="left"/>
            </w:pPr>
            <w:r>
              <w:t xml:space="preserve">2</w:t>
            </w:r>
          </w:p>
        </w:tc>
      </w:tr>
      <w:tr>
        <w:tc>
          <w:tcPr/>
          <w:p>
            <w:pPr>
              <w:pStyle w:val="Compact"/>
              <w:jc w:val="left"/>
            </w:pPr>
            <w:r>
              <w:t xml:space="preserve">3. Definitions</w:t>
            </w:r>
          </w:p>
        </w:tc>
        <w:tc>
          <w:tcPr/>
          <w:p>
            <w:pPr>
              <w:pStyle w:val="Compact"/>
              <w:jc w:val="left"/>
            </w:pPr>
            <w:r>
              <w:t xml:space="preserve">2</w:t>
            </w:r>
          </w:p>
        </w:tc>
      </w:tr>
      <w:tr>
        <w:tc>
          <w:tcPr/>
          <w:p>
            <w:pPr>
              <w:pStyle w:val="Compact"/>
              <w:jc w:val="left"/>
            </w:pPr>
            <w:r>
              <w:t xml:space="preserve">4. Background</w:t>
            </w:r>
          </w:p>
        </w:tc>
        <w:tc>
          <w:tcPr/>
          <w:p>
            <w:pPr>
              <w:pStyle w:val="Compact"/>
              <w:jc w:val="left"/>
            </w:pPr>
            <w:r>
              <w:t xml:space="preserve">3</w:t>
            </w:r>
          </w:p>
        </w:tc>
      </w:tr>
      <w:tr>
        <w:tc>
          <w:tcPr/>
          <w:p>
            <w:pPr>
              <w:pStyle w:val="Compact"/>
              <w:jc w:val="left"/>
            </w:pPr>
            <w:r>
              <w:t xml:space="preserve">5. Responsibilities</w:t>
            </w:r>
          </w:p>
        </w:tc>
        <w:tc>
          <w:tcPr/>
          <w:p>
            <w:pPr>
              <w:pStyle w:val="Compact"/>
              <w:jc w:val="left"/>
            </w:pPr>
            <w:r>
              <w:t xml:space="preserve">3</w:t>
            </w:r>
          </w:p>
        </w:tc>
      </w:tr>
      <w:tr>
        <w:tc>
          <w:tcPr/>
          <w:p>
            <w:pPr>
              <w:pStyle w:val="Compact"/>
              <w:jc w:val="left"/>
            </w:pPr>
            <w:r>
              <w:t xml:space="preserve">6. Materials and equipment</w:t>
            </w:r>
          </w:p>
        </w:tc>
        <w:tc>
          <w:tcPr/>
          <w:p>
            <w:pPr>
              <w:pStyle w:val="Compact"/>
              <w:jc w:val="left"/>
            </w:pPr>
            <w:r>
              <w:t xml:space="preserve">3</w:t>
            </w:r>
          </w:p>
        </w:tc>
      </w:tr>
      <w:tr>
        <w:tc>
          <w:tcPr/>
          <w:p>
            <w:pPr>
              <w:pStyle w:val="Compact"/>
              <w:jc w:val="left"/>
            </w:pPr>
            <w:r>
              <w:t xml:space="preserve">7. Safety and exceptions</w:t>
            </w:r>
          </w:p>
        </w:tc>
        <w:tc>
          <w:tcPr/>
          <w:p>
            <w:pPr>
              <w:pStyle w:val="Compact"/>
              <w:jc w:val="left"/>
            </w:pPr>
            <w:r>
              <w:t xml:space="preserve">3</w:t>
            </w:r>
          </w:p>
        </w:tc>
      </w:tr>
      <w:tr>
        <w:tc>
          <w:tcPr/>
          <w:p>
            <w:pPr>
              <w:pStyle w:val="Compact"/>
              <w:jc w:val="left"/>
            </w:pPr>
            <w:r>
              <w:t xml:space="preserve">8. Procedure</w:t>
            </w:r>
          </w:p>
        </w:tc>
        <w:tc>
          <w:tcPr/>
          <w:p>
            <w:pPr>
              <w:pStyle w:val="Compact"/>
              <w:jc w:val="left"/>
            </w:pPr>
            <w:r>
              <w:t xml:space="preserve">3</w:t>
            </w:r>
          </w:p>
        </w:tc>
      </w:tr>
      <w:tr>
        <w:tc>
          <w:tcPr/>
          <w:p>
            <w:pPr>
              <w:pStyle w:val="Compact"/>
              <w:jc w:val="left"/>
            </w:pPr>
            <w:r>
              <w:t xml:space="preserve">9. Worked example</w:t>
            </w:r>
          </w:p>
        </w:tc>
        <w:tc>
          <w:tcPr/>
          <w:p>
            <w:pPr>
              <w:pStyle w:val="Compact"/>
              <w:jc w:val="left"/>
            </w:pPr>
            <w:r>
              <w:t xml:space="preserve">4</w:t>
            </w:r>
          </w:p>
        </w:tc>
      </w:tr>
      <w:tr>
        <w:tc>
          <w:tcPr/>
          <w:p>
            <w:pPr>
              <w:pStyle w:val="Compact"/>
              <w:jc w:val="left"/>
            </w:pPr>
            <w:r>
              <w:t xml:space="preserve">10. Decision points</w:t>
            </w:r>
          </w:p>
        </w:tc>
        <w:tc>
          <w:tcPr/>
          <w:p>
            <w:pPr>
              <w:pStyle w:val="Compact"/>
              <w:jc w:val="left"/>
            </w:pPr>
            <w:r>
              <w:t xml:space="preserve">5</w:t>
            </w:r>
          </w:p>
        </w:tc>
      </w:tr>
      <w:tr>
        <w:tc>
          <w:tcPr/>
          <w:p>
            <w:pPr>
              <w:pStyle w:val="Compact"/>
              <w:jc w:val="left"/>
            </w:pPr>
            <w:r>
              <w:t xml:space="preserve">11. Escalation</w:t>
            </w:r>
          </w:p>
        </w:tc>
        <w:tc>
          <w:tcPr/>
          <w:p>
            <w:pPr>
              <w:pStyle w:val="Compact"/>
              <w:jc w:val="left"/>
            </w:pPr>
            <w:r>
              <w:t xml:space="preserve">6</w:t>
            </w:r>
          </w:p>
        </w:tc>
      </w:tr>
      <w:tr>
        <w:tc>
          <w:tcPr/>
          <w:p>
            <w:pPr>
              <w:pStyle w:val="Compact"/>
              <w:jc w:val="left"/>
            </w:pPr>
            <w:r>
              <w:t xml:space="preserve">12. Monitoring and compliance</w:t>
            </w:r>
          </w:p>
        </w:tc>
        <w:tc>
          <w:tcPr/>
          <w:p>
            <w:pPr>
              <w:pStyle w:val="Compact"/>
              <w:jc w:val="left"/>
            </w:pPr>
            <w:r>
              <w:t xml:space="preserve">6</w:t>
            </w:r>
          </w:p>
        </w:tc>
      </w:tr>
      <w:tr>
        <w:tc>
          <w:tcPr/>
          <w:p>
            <w:pPr>
              <w:pStyle w:val="Compact"/>
              <w:jc w:val="left"/>
            </w:pPr>
            <w:r>
              <w:t xml:space="preserve">13. Records</w:t>
            </w:r>
          </w:p>
        </w:tc>
        <w:tc>
          <w:tcPr/>
          <w:p>
            <w:pPr>
              <w:pStyle w:val="Compact"/>
              <w:jc w:val="left"/>
            </w:pPr>
            <w:r>
              <w:t xml:space="preserve">6</w:t>
            </w:r>
          </w:p>
        </w:tc>
      </w:tr>
      <w:tr>
        <w:tc>
          <w:tcPr/>
          <w:p>
            <w:pPr>
              <w:pStyle w:val="Compact"/>
              <w:jc w:val="left"/>
            </w:pPr>
            <w:r>
              <w:t xml:space="preserve">14. Training and competence</w:t>
            </w:r>
          </w:p>
        </w:tc>
        <w:tc>
          <w:tcPr/>
          <w:p>
            <w:pPr>
              <w:pStyle w:val="Compact"/>
              <w:jc w:val="left"/>
            </w:pPr>
            <w:r>
              <w:t xml:space="preserve">6</w:t>
            </w:r>
          </w:p>
        </w:tc>
      </w:tr>
      <w:tr>
        <w:tc>
          <w:tcPr/>
          <w:p>
            <w:pPr>
              <w:pStyle w:val="Compact"/>
              <w:jc w:val="left"/>
            </w:pPr>
            <w:r>
              <w:t xml:space="preserve">15. Related documents</w:t>
            </w:r>
          </w:p>
        </w:tc>
        <w:tc>
          <w:tcPr/>
          <w:p>
            <w:pPr>
              <w:pStyle w:val="Compact"/>
              <w:jc w:val="left"/>
            </w:pPr>
            <w:r>
              <w:t xml:space="preserve">6</w:t>
            </w:r>
          </w:p>
        </w:tc>
      </w:tr>
      <w:tr>
        <w:tc>
          <w:tcPr/>
          <w:p>
            <w:pPr>
              <w:pStyle w:val="Compact"/>
              <w:jc w:val="left"/>
            </w:pPr>
            <w:r>
              <w:t xml:space="preserve">16. References</w:t>
            </w:r>
          </w:p>
        </w:tc>
        <w:tc>
          <w:tcPr/>
          <w:p>
            <w:pPr>
              <w:pStyle w:val="Compact"/>
              <w:jc w:val="left"/>
            </w:pPr>
            <w:r>
              <w:t xml:space="preserve">6</w:t>
            </w:r>
          </w:p>
        </w:tc>
      </w:tr>
      <w:tr>
        <w:tc>
          <w:tcPr/>
          <w:p>
            <w:pPr>
              <w:pStyle w:val="Compact"/>
              <w:jc w:val="left"/>
            </w:pPr>
            <w:r>
              <w:t xml:space="preserve">17. Change history</w:t>
            </w:r>
          </w:p>
        </w:tc>
        <w:tc>
          <w:tcPr/>
          <w:p>
            <w:pPr>
              <w:pStyle w:val="Compact"/>
              <w:jc w:val="left"/>
            </w:pPr>
            <w:r>
              <w:t xml:space="preserve">7</w:t>
            </w:r>
          </w:p>
        </w:tc>
      </w:tr>
      <w:tr>
        <w:tc>
          <w:tcPr/>
          <w:p>
            <w:pPr>
              <w:pStyle w:val="Compact"/>
              <w:jc w:val="left"/>
            </w:pPr>
            <w:r>
              <w:t xml:space="preserve">Abbreviations</w:t>
            </w:r>
          </w:p>
        </w:tc>
        <w:tc>
          <w:tcPr/>
          <w:p>
            <w:pPr>
              <w:pStyle w:val="Compact"/>
              <w:jc w:val="left"/>
            </w:pPr>
            <w:r>
              <w:t xml:space="preserve">2</w:t>
            </w:r>
          </w:p>
        </w:tc>
      </w:tr>
      <w:tr>
        <w:tc>
          <w:tcPr/>
          <w:p>
            <w:pPr>
              <w:pStyle w:val="Compact"/>
              <w:jc w:val="left"/>
            </w:pPr>
            <w:r>
              <w:t xml:space="preserve">Annex A. Nutrition audit record</w:t>
            </w:r>
          </w:p>
        </w:tc>
        <w:tc>
          <w:tcPr/>
          <w:p>
            <w:pPr>
              <w:pStyle w:val="Compact"/>
              <w:jc w:val="left"/>
            </w:pPr>
            <w:r>
              <w:t xml:space="preserve">7</w:t>
            </w:r>
          </w:p>
        </w:tc>
      </w:tr>
      <w:tr>
        <w:tc>
          <w:tcPr/>
          <w:p>
            <w:pPr>
              <w:pStyle w:val="Compact"/>
              <w:jc w:val="left"/>
            </w:pPr>
            <w:r>
              <w:t xml:space="preserve">Annex B. Monitoring chart</w:t>
            </w:r>
          </w:p>
        </w:tc>
        <w:tc>
          <w:tcPr/>
          <w:p>
            <w:pPr>
              <w:pStyle w:val="Compact"/>
              <w:jc w:val="left"/>
            </w:pPr>
            <w:r>
              <w:t xml:space="preserve">7</w:t>
            </w:r>
          </w:p>
        </w:tc>
      </w:tr>
    </w:tbl>
    <w:bookmarkEnd w:id="20"/>
    <w:bookmarkStart w:id="21" w:name="abbr"/>
    <w:p>
      <w:pPr>
        <w:pStyle w:val="Heading2"/>
      </w:pPr>
      <w:r>
        <w:t xml:space="preserve">Abbreviations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Abbreviation</w:t>
            </w:r>
          </w:p>
        </w:tc>
        <w:tc>
          <w:tcPr/>
          <w:p>
            <w:pPr>
              <w:pStyle w:val="Compact"/>
              <w:jc w:val="left"/>
            </w:pPr>
            <w:r>
              <w:t xml:space="preserve">Meaning</w:t>
            </w:r>
          </w:p>
        </w:tc>
      </w:tr>
      <w:tr>
        <w:tc>
          <w:tcPr/>
          <w:p>
            <w:pPr>
              <w:pStyle w:val="Compact"/>
              <w:jc w:val="left"/>
            </w:pPr>
            <w:r>
              <w:t xml:space="preserve">MUST</w:t>
            </w:r>
          </w:p>
        </w:tc>
        <w:tc>
          <w:tcPr/>
          <w:p>
            <w:pPr>
              <w:pStyle w:val="Compact"/>
              <w:jc w:val="left"/>
            </w:pPr>
            <w:r>
              <w:t xml:space="preserve">Malnutrition Universal Screening Tool</w:t>
            </w:r>
          </w:p>
        </w:tc>
      </w:tr>
      <w:tr>
        <w:tc>
          <w:tcPr/>
          <w:p>
            <w:pPr>
              <w:pStyle w:val="Compact"/>
              <w:jc w:val="left"/>
            </w:pPr>
            <w:r>
              <w:t xml:space="preserve">QS24</w:t>
            </w:r>
          </w:p>
        </w:tc>
        <w:tc>
          <w:tcPr/>
          <w:p>
            <w:pPr>
              <w:pStyle w:val="Compact"/>
              <w:jc w:val="left"/>
            </w:pPr>
            <w:r>
              <w:t xml:space="preserve">NICE quality standard 24, Nutrition support in adults</w:t>
            </w:r>
          </w:p>
        </w:tc>
      </w:tr>
      <w:tr>
        <w:tc>
          <w:tcPr/>
          <w:p>
            <w:pPr>
              <w:pStyle w:val="Compact"/>
              <w:jc w:val="left"/>
            </w:pPr>
            <w:r>
              <w:t xml:space="preserve">SOP</w:t>
            </w:r>
          </w:p>
        </w:tc>
        <w:tc>
          <w:tcPr/>
          <w:p>
            <w:pPr>
              <w:pStyle w:val="Compact"/>
              <w:jc w:val="left"/>
            </w:pPr>
            <w:r>
              <w:t xml:space="preserve">Standard operating procedure</w:t>
            </w:r>
          </w:p>
        </w:tc>
      </w:tr>
    </w:tbl>
    <w:p>
      <w:pPr>
        <w:pStyle w:val="BodyText"/>
      </w:pPr>
      <w:r>
        <w:rPr>
          <w:bCs/>
          <w:b/>
        </w:rPr>
        <w:t xml:space="preserve">Key points</w:t>
      </w:r>
    </w:p>
    <w:p>
      <w:pPr>
        <w:numPr>
          <w:ilvl w:val="0"/>
          <w:numId w:val="1001"/>
        </w:numPr>
        <w:pStyle w:val="Compact"/>
      </w:pPr>
      <w:r>
        <w:t xml:space="preserve">Screen every admitted patient for malnutrition risk with MUST (Malnutrition Universal Screening Tool), using its three steps and total score [1].</w:t>
      </w:r>
    </w:p>
    <w:p>
      <w:pPr>
        <w:numPr>
          <w:ilvl w:val="0"/>
          <w:numId w:val="1001"/>
        </w:numPr>
        <w:pStyle w:val="Compact"/>
      </w:pPr>
      <w:r>
        <w:t xml:space="preserve">A total score of 2 or more is high risk: refer to the dietitian, set goals, and monitor weekly in hospital [1].</w:t>
      </w:r>
    </w:p>
    <w:p>
      <w:pPr>
        <w:numPr>
          <w:ilvl w:val="0"/>
          <w:numId w:val="1001"/>
        </w:numPr>
        <w:pStyle w:val="Compact"/>
      </w:pPr>
      <w:r>
        <w:t xml:space="preserve">Check every therapeutic diet against the order before it is served. A diet that differs from the order is not served.</w:t>
      </w:r>
    </w:p>
    <w:p>
      <w:pPr>
        <w:numPr>
          <w:ilvl w:val="0"/>
          <w:numId w:val="1001"/>
        </w:numPr>
        <w:pStyle w:val="Compact"/>
      </w:pPr>
      <w:r>
        <w:t xml:space="preserve">Stop and get help straight away if an at-risk patient has no screen, or receives a diet different from the order.</w:t>
      </w:r>
    </w:p>
    <w:bookmarkEnd w:id="21"/>
    <w:bookmarkStart w:id="22" w:name="s1"/>
    <w:p>
      <w:pPr>
        <w:pStyle w:val="Heading2"/>
      </w:pPr>
      <w:r>
        <w:t xml:space="preserve">Purpose</w:t>
      </w:r>
    </w:p>
    <w:p>
      <w:pPr>
        <w:pStyle w:val="FirstParagraph"/>
      </w:pPr>
      <w:r>
        <w:t xml:space="preserve">To treat nutrition as part of clinical care: to identify patients at risk of malnutrition using a validated tool, to put a nutrition plan in place, and to make sure therapeutic diets are delivered exactly as ordered. Malnutrition slows healing, weakens the immune response, and raises the risk of falls and pressure injury. This SOP supports criterion 1.5.</w:t>
      </w:r>
    </w:p>
    <w:bookmarkEnd w:id="22"/>
    <w:bookmarkStart w:id="23" w:name="s2"/>
    <w:p>
      <w:pPr>
        <w:pStyle w:val="Heading2"/>
      </w:pPr>
      <w:r>
        <w:t xml:space="preserve">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Element</w:t>
            </w:r>
          </w:p>
        </w:tc>
        <w:tc>
          <w:tcPr/>
          <w:p>
            <w:pPr>
              <w:pStyle w:val="Compact"/>
              <w:jc w:val="left"/>
            </w:pPr>
            <w:r>
              <w:t xml:space="preserve">Coverage</w:t>
            </w:r>
          </w:p>
        </w:tc>
      </w:tr>
      <w:tr>
        <w:tc>
          <w:tcPr/>
          <w:p>
            <w:pPr>
              <w:pStyle w:val="Compact"/>
              <w:jc w:val="left"/>
            </w:pPr>
            <w:r>
              <w:t xml:space="preserve">Who</w:t>
            </w:r>
          </w:p>
        </w:tc>
        <w:tc>
          <w:tcPr/>
          <w:p>
            <w:pPr>
              <w:pStyle w:val="Compact"/>
              <w:jc w:val="left"/>
            </w:pPr>
            <w:r>
              <w:t xml:space="preserve">Ward nurses who screen, dietitians, catering staff who prepare and deliver diets, and the clinicians who order diets.</w:t>
            </w:r>
          </w:p>
        </w:tc>
      </w:tr>
      <w:tr>
        <w:tc>
          <w:tcPr/>
          <w:p>
            <w:pPr>
              <w:pStyle w:val="Compact"/>
              <w:jc w:val="left"/>
            </w:pPr>
            <w:r>
              <w:t xml:space="preserve">Where</w:t>
            </w:r>
          </w:p>
        </w:tc>
        <w:tc>
          <w:tcPr/>
          <w:p>
            <w:pPr>
              <w:pStyle w:val="Compact"/>
              <w:jc w:val="left"/>
            </w:pPr>
            <w:r>
              <w:t xml:space="preserve">All wards, clinics and departments of the facility, and the catering service.</w:t>
            </w:r>
          </w:p>
        </w:tc>
      </w:tr>
      <w:tr>
        <w:tc>
          <w:tcPr/>
          <w:p>
            <w:pPr>
              <w:pStyle w:val="Compact"/>
              <w:jc w:val="left"/>
            </w:pPr>
            <w:r>
              <w:t xml:space="preserve">When</w:t>
            </w:r>
          </w:p>
        </w:tc>
        <w:tc>
          <w:tcPr/>
          <w:p>
            <w:pPr>
              <w:pStyle w:val="Compact"/>
              <w:jc w:val="left"/>
            </w:pPr>
            <w:r>
              <w:t xml:space="preserve">On admission; at the screening interval set in Step 1; when the clinical condition changes; and at every diet order.</w:t>
            </w:r>
          </w:p>
        </w:tc>
      </w:tr>
      <w:tr>
        <w:tc>
          <w:tcPr/>
          <w:p>
            <w:pPr>
              <w:pStyle w:val="Compact"/>
              <w:jc w:val="left"/>
            </w:pPr>
            <w:r>
              <w:t xml:space="preserve">Not covered</w:t>
            </w:r>
          </w:p>
        </w:tc>
        <w:tc>
          <w:tcPr/>
          <w:p>
            <w:pPr>
              <w:pStyle w:val="Compact"/>
              <w:jc w:val="left"/>
            </w:pPr>
            <w:r>
              <w:t xml:space="preserve">Enteral and parenteral feeding, which follow the specialist feeding protocol.</w:t>
            </w:r>
          </w:p>
        </w:tc>
      </w:tr>
    </w:tbl>
    <w:bookmarkEnd w:id="23"/>
    <w:bookmarkStart w:id="24" w:name="s3"/>
    <w:p>
      <w:pPr>
        <w:pStyle w:val="Heading2"/>
      </w:pPr>
      <w:r>
        <w:t xml:space="preserve">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MUST</w:t>
            </w:r>
          </w:p>
        </w:tc>
        <w:tc>
          <w:tcPr/>
          <w:p>
            <w:pPr>
              <w:pStyle w:val="Compact"/>
              <w:jc w:val="left"/>
            </w:pPr>
            <w:r>
              <w:t xml:space="preserve">Malnutrition Universal Screening Tool, a validated tool with three steps: BMI, unplanned weight loss, and acute disease effect [1].</w:t>
            </w:r>
          </w:p>
        </w:tc>
      </w:tr>
      <w:tr>
        <w:tc>
          <w:tcPr/>
          <w:p>
            <w:pPr>
              <w:pStyle w:val="Compact"/>
              <w:jc w:val="left"/>
            </w:pPr>
            <w:r>
              <w:t xml:space="preserve">Unplanned weight loss</w:t>
            </w:r>
          </w:p>
        </w:tc>
        <w:tc>
          <w:tcPr/>
          <w:p>
            <w:pPr>
              <w:pStyle w:val="Compact"/>
              <w:jc w:val="left"/>
            </w:pPr>
            <w:r>
              <w:t xml:space="preserve">Weight loss that the patient did not intend, measured over the past 3 to 6 months [1].</w:t>
            </w:r>
          </w:p>
        </w:tc>
      </w:tr>
      <w:tr>
        <w:tc>
          <w:tcPr/>
          <w:p>
            <w:pPr>
              <w:pStyle w:val="Compact"/>
              <w:jc w:val="left"/>
            </w:pPr>
            <w:r>
              <w:t xml:space="preserve">Therapeutic diet</w:t>
            </w:r>
          </w:p>
        </w:tc>
        <w:tc>
          <w:tcPr/>
          <w:p>
            <w:pPr>
              <w:pStyle w:val="Compact"/>
              <w:jc w:val="left"/>
            </w:pPr>
            <w:r>
              <w:t xml:space="preserve">A diet prescribed to meet a clinical need, such as texture-modified, diabetic, or low-salt.</w:t>
            </w:r>
          </w:p>
        </w:tc>
      </w:tr>
      <w:tr>
        <w:tc>
          <w:tcPr/>
          <w:p>
            <w:pPr>
              <w:pStyle w:val="Compact"/>
              <w:jc w:val="left"/>
            </w:pPr>
            <w:r>
              <w:t xml:space="preserve">Nutrition plan</w:t>
            </w:r>
          </w:p>
        </w:tc>
        <w:tc>
          <w:tcPr/>
          <w:p>
            <w:pPr>
              <w:pStyle w:val="Compact"/>
              <w:jc w:val="left"/>
            </w:pPr>
            <w:r>
              <w:t xml:space="preserve">The record of food, fluid, supplements and referral for a patient at risk.</w:t>
            </w:r>
          </w:p>
        </w:tc>
      </w:tr>
    </w:tbl>
    <w:bookmarkEnd w:id="24"/>
    <w:bookmarkStart w:id="25" w:name="s4"/>
    <w:p>
      <w:pPr>
        <w:pStyle w:val="Heading2"/>
      </w:pPr>
      <w:r>
        <w:t xml:space="preserve">Background</w:t>
      </w:r>
    </w:p>
    <w:p>
      <w:pPr>
        <w:pStyle w:val="FirstParagraph"/>
      </w:pPr>
      <w:r>
        <w:t xml:space="preserve">Malnutrition in hospital is common and is often not recognised. NICE quality statement 1 of the nutrition support in adults standard (QS24) states that people in all care settings are screened for malnutrition and the risk of malnutrition using a validated screening tool, and that hospital inpatients are screened on admission and weekly thereafter [2]. MUST is one such validated tool. This SOP applies MUST as the screening instrument, and sets out how the result is acted on.</w:t>
      </w:r>
    </w:p>
    <w:bookmarkEnd w:id="25"/>
    <w:bookmarkStart w:id="26" w:name="s5"/>
    <w:p>
      <w:pPr>
        <w:pStyle w:val="Heading2"/>
      </w:pPr>
      <w:r>
        <w:t xml:space="preserve">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Clinical director</w:t>
            </w:r>
          </w:p>
        </w:tc>
        <w:tc>
          <w:tcPr/>
          <w:p>
            <w:pPr>
              <w:pStyle w:val="Compact"/>
              <w:jc w:val="left"/>
            </w:pPr>
            <w:r>
              <w:t xml:space="preserve">Approves this SOP and receives the quarterly audit.</w:t>
            </w:r>
          </w:p>
        </w:tc>
      </w:tr>
      <w:tr>
        <w:tc>
          <w:tcPr/>
          <w:p>
            <w:pPr>
              <w:pStyle w:val="Compact"/>
              <w:jc w:val="left"/>
            </w:pPr>
            <w:r>
              <w:t xml:space="preserve">Ward nurse</w:t>
            </w:r>
          </w:p>
        </w:tc>
        <w:tc>
          <w:tcPr/>
          <w:p>
            <w:pPr>
              <w:pStyle w:val="Compact"/>
              <w:jc w:val="left"/>
            </w:pPr>
            <w:r>
              <w:t xml:space="preserve">Completes MUST on admission, records the score and risk category, starts the nutrition plan, and checks each diet tray against the order.</w:t>
            </w:r>
          </w:p>
        </w:tc>
      </w:tr>
      <w:tr>
        <w:tc>
          <w:tcPr/>
          <w:p>
            <w:pPr>
              <w:pStyle w:val="Compact"/>
              <w:jc w:val="left"/>
            </w:pPr>
            <w:r>
              <w:t xml:space="preserve">Dietitian</w:t>
            </w:r>
          </w:p>
        </w:tc>
        <w:tc>
          <w:tcPr/>
          <w:p>
            <w:pPr>
              <w:pStyle w:val="Compact"/>
              <w:jc w:val="left"/>
            </w:pPr>
            <w:r>
              <w:t xml:space="preserve">Assesses patients referred from screening, sets therapeutic diets, and reviews the plan.</w:t>
            </w:r>
          </w:p>
        </w:tc>
      </w:tr>
      <w:tr>
        <w:tc>
          <w:tcPr/>
          <w:p>
            <w:pPr>
              <w:pStyle w:val="Compact"/>
              <w:jc w:val="left"/>
            </w:pPr>
            <w:r>
              <w:t xml:space="preserve">Catering lead</w:t>
            </w:r>
          </w:p>
        </w:tc>
        <w:tc>
          <w:tcPr/>
          <w:p>
            <w:pPr>
              <w:pStyle w:val="Compact"/>
              <w:jc w:val="left"/>
            </w:pPr>
            <w:r>
              <w:t xml:space="preserve">Ensures each diet is prepared to the order and delivered under food safety rules.</w:t>
            </w:r>
          </w:p>
        </w:tc>
      </w:tr>
    </w:tbl>
    <w:bookmarkEnd w:id="26"/>
    <w:bookmarkStart w:id="27" w:name="s6"/>
    <w:p>
      <w:pPr>
        <w:pStyle w:val="Heading2"/>
      </w:pPr>
      <w:r>
        <w:t xml:space="preserve">Materials and equipment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Requirement</w:t>
            </w:r>
          </w:p>
        </w:tc>
      </w:tr>
      <w:tr>
        <w:tc>
          <w:tcPr/>
          <w:p>
            <w:pPr>
              <w:pStyle w:val="Compact"/>
              <w:jc w:val="left"/>
            </w:pPr>
            <w:r>
              <w:t xml:space="preserve">MUST screening form</w:t>
            </w:r>
          </w:p>
        </w:tc>
        <w:tc>
          <w:tcPr/>
          <w:p>
            <w:pPr>
              <w:pStyle w:val="Compact"/>
              <w:jc w:val="left"/>
            </w:pPr>
            <w:r>
              <w:t xml:space="preserve">The facility's current MUST form, on the electronic or paper record.</w:t>
            </w:r>
          </w:p>
        </w:tc>
      </w:tr>
      <w:tr>
        <w:tc>
          <w:tcPr/>
          <w:p>
            <w:pPr>
              <w:pStyle w:val="Compact"/>
              <w:jc w:val="left"/>
            </w:pPr>
            <w:r>
              <w:t xml:space="preserve">Scales and height measure</w:t>
            </w:r>
          </w:p>
        </w:tc>
        <w:tc>
          <w:tcPr/>
          <w:p>
            <w:pPr>
              <w:pStyle w:val="Compact"/>
              <w:jc w:val="left"/>
            </w:pPr>
            <w:r>
              <w:t xml:space="preserve">Calibrated, checked each month. Bed or chair scales where the patient cannot stand.</w:t>
            </w:r>
          </w:p>
        </w:tc>
      </w:tr>
      <w:tr>
        <w:tc>
          <w:tcPr/>
          <w:p>
            <w:pPr>
              <w:pStyle w:val="Compact"/>
              <w:jc w:val="left"/>
            </w:pPr>
            <w:r>
              <w:t xml:space="preserve">Diet order and tray label</w:t>
            </w:r>
          </w:p>
        </w:tc>
        <w:tc>
          <w:tcPr/>
          <w:p>
            <w:pPr>
              <w:pStyle w:val="Compact"/>
              <w:jc w:val="left"/>
            </w:pPr>
            <w:r>
              <w:t xml:space="preserve">The current order, with the patient's identifiers on the tray label.</w:t>
            </w:r>
          </w:p>
        </w:tc>
      </w:tr>
    </w:tbl>
    <w:bookmarkEnd w:id="27"/>
    <w:bookmarkStart w:id="28" w:name="s7"/>
    <w:p>
      <w:pPr>
        <w:pStyle w:val="Heading2"/>
      </w:pPr>
      <w:r>
        <w:t xml:space="preserve">Safety and exceptions</w:t>
      </w:r>
    </w:p>
    <w:p>
      <w:pPr>
        <w:numPr>
          <w:ilvl w:val="0"/>
          <w:numId w:val="1002"/>
        </w:numPr>
        <w:pStyle w:val="Compact"/>
      </w:pPr>
      <w:r>
        <w:t xml:space="preserve">A patient with a known food allergy or intolerance is checked against the diet order before any food is served.</w:t>
      </w:r>
    </w:p>
    <w:p>
      <w:pPr>
        <w:numPr>
          <w:ilvl w:val="0"/>
          <w:numId w:val="1002"/>
        </w:numPr>
        <w:pStyle w:val="Compact"/>
      </w:pPr>
      <w:r>
        <w:t xml:space="preserve">Food is handled under basic food safety rules at every stage, from preparation to delivery.</w:t>
      </w:r>
    </w:p>
    <w:p>
      <w:pPr>
        <w:numPr>
          <w:ilvl w:val="0"/>
          <w:numId w:val="1002"/>
        </w:numPr>
        <w:pStyle w:val="Compact"/>
      </w:pPr>
      <w:r>
        <w:t xml:space="preserve">Where a patient cannot be weighed, record the reason, estimate the weight by a validated method if the facility policy allows, and tell the dietitian.</w:t>
      </w:r>
    </w:p>
    <w:bookmarkEnd w:id="28"/>
    <w:bookmarkStart w:id="34" w:name="s8"/>
    <w:p>
      <w:pPr>
        <w:pStyle w:val="Heading2"/>
      </w:pPr>
      <w:r>
        <w:t xml:space="preserve">Procedure</w:t>
      </w:r>
    </w:p>
    <w:bookmarkStart w:id="29" w:name="before-you-start"/>
    <w:p>
      <w:pPr>
        <w:pStyle w:val="Heading3"/>
      </w:pPr>
      <w:r>
        <w:t xml:space="preserve">Before you start</w:t>
      </w:r>
    </w:p>
    <w:p>
      <w:pPr>
        <w:numPr>
          <w:ilvl w:val="0"/>
          <w:numId w:val="1003"/>
        </w:numPr>
        <w:pStyle w:val="Compact"/>
      </w:pPr>
      <w:r>
        <w:t xml:space="preserve">Check that the scales are calibrated and that the MUST form is current.</w:t>
      </w:r>
    </w:p>
    <w:p>
      <w:pPr>
        <w:numPr>
          <w:ilvl w:val="0"/>
          <w:numId w:val="1003"/>
        </w:numPr>
        <w:pStyle w:val="Compact"/>
      </w:pPr>
      <w:r>
        <w:t xml:space="preserve">Check the diet order and any allergy alert.</w:t>
      </w:r>
    </w:p>
    <w:bookmarkEnd w:id="29"/>
    <w:bookmarkStart w:id="30" w:name="step-1.-screen-with-must"/>
    <w:p>
      <w:pPr>
        <w:pStyle w:val="Heading3"/>
      </w:pPr>
      <w:r>
        <w:t xml:space="preserve">Step 1. Screen with MUST</w:t>
      </w:r>
    </w:p>
    <w:p>
      <w:pPr>
        <w:numPr>
          <w:ilvl w:val="0"/>
          <w:numId w:val="1004"/>
        </w:numPr>
        <w:pStyle w:val="Compact"/>
      </w:pPr>
      <w:r>
        <w:rPr>
          <w:bCs/>
          <w:b/>
        </w:rPr>
        <w:t xml:space="preserve">Step 1 of MUST: BMI.</w:t>
      </w:r>
      <w:r>
        <w:t xml:space="preserve"> </w:t>
      </w:r>
      <w:r>
        <w:t xml:space="preserve">Calculate BMI as weight in kilograms divided by height in metres squared. Score 0 for BMI above 20 (above 30 is recorded as obese, but is scored 0), 1 for 18.5 to 20, and 2 for below 18.5 [1].</w:t>
      </w:r>
    </w:p>
    <w:p>
      <w:pPr>
        <w:numPr>
          <w:ilvl w:val="0"/>
          <w:numId w:val="1004"/>
        </w:numPr>
        <w:pStyle w:val="Compact"/>
      </w:pPr>
      <w:r>
        <w:rPr>
          <w:bCs/>
          <w:b/>
        </w:rPr>
        <w:t xml:space="preserve">Step 2 of MUST: unplanned weight loss.</w:t>
      </w:r>
      <w:r>
        <w:t xml:space="preserve"> </w:t>
      </w:r>
      <w:r>
        <w:t xml:space="preserve">Score 0 for less than 5% loss, 1 for 5 to 10%, and 2 for more than 10%, over the past 3 to 6 months [1].</w:t>
      </w:r>
    </w:p>
    <w:p>
      <w:pPr>
        <w:numPr>
          <w:ilvl w:val="0"/>
          <w:numId w:val="1004"/>
        </w:numPr>
        <w:pStyle w:val="Compact"/>
      </w:pPr>
      <w:r>
        <w:rPr>
          <w:bCs/>
          <w:b/>
        </w:rPr>
        <w:t xml:space="preserve">Step 3 of MUST: acute disease effect.</w:t>
      </w:r>
      <w:r>
        <w:t xml:space="preserve"> </w:t>
      </w:r>
      <w:r>
        <w:t xml:space="preserve">Score 2 if the patient is acutely ill and has had no nutritional intake, or likely none, for more than 5 days [1].</w:t>
      </w:r>
    </w:p>
    <w:p>
      <w:pPr>
        <w:numPr>
          <w:ilvl w:val="0"/>
          <w:numId w:val="1004"/>
        </w:numPr>
        <w:pStyle w:val="Compact"/>
      </w:pPr>
      <w:r>
        <w:t xml:space="preserve">Add the three scores to give the total, and record the risk category.</w:t>
      </w:r>
    </w:p>
    <w:bookmarkEnd w:id="30"/>
    <w:bookmarkStart w:id="31" w:name="step-2.-act-on-the-risk-category"/>
    <w:p>
      <w:pPr>
        <w:pStyle w:val="Heading3"/>
      </w:pPr>
      <w:r>
        <w:t xml:space="preserve">Step 2. Act on the risk category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Total score</w:t>
            </w:r>
          </w:p>
        </w:tc>
        <w:tc>
          <w:tcPr/>
          <w:p>
            <w:pPr>
              <w:pStyle w:val="Compact"/>
              <w:jc w:val="left"/>
            </w:pPr>
            <w:r>
              <w:t xml:space="preserve">Risk category</w:t>
            </w:r>
          </w:p>
        </w:tc>
        <w:tc>
          <w:tcPr/>
          <w:p>
            <w:pPr>
              <w:pStyle w:val="Compact"/>
              <w:jc w:val="left"/>
            </w:pPr>
            <w:r>
              <w:t xml:space="preserve">Action</w:t>
            </w:r>
          </w:p>
        </w:tc>
      </w:tr>
      <w:tr>
        <w:tc>
          <w:tcPr/>
          <w:p>
            <w:pPr>
              <w:pStyle w:val="Compact"/>
              <w:jc w:val="left"/>
            </w:pPr>
            <w:r>
              <w:t xml:space="preserve">0</w:t>
            </w:r>
          </w:p>
        </w:tc>
        <w:tc>
          <w:tcPr/>
          <w:p>
            <w:pPr>
              <w:pStyle w:val="Compact"/>
              <w:jc w:val="left"/>
            </w:pPr>
            <w:r>
              <w:t xml:space="preserve">Low</w:t>
            </w:r>
          </w:p>
        </w:tc>
        <w:tc>
          <w:tcPr/>
          <w:p>
            <w:pPr>
              <w:pStyle w:val="Compact"/>
              <w:jc w:val="left"/>
            </w:pPr>
            <w:r>
              <w:t xml:space="preserve">Routine clinical care. Repeat the screen weekly in hospital. Treat the underlying condition and advise on food and drink.</w:t>
            </w:r>
          </w:p>
        </w:tc>
      </w:tr>
      <w:tr>
        <w:tc>
          <w:tcPr/>
          <w:p>
            <w:pPr>
              <w:pStyle w:val="Compact"/>
              <w:jc w:val="left"/>
            </w:pPr>
            <w:r>
              <w:t xml:space="preserve">1</w:t>
            </w:r>
          </w:p>
        </w:tc>
        <w:tc>
          <w:tcPr/>
          <w:p>
            <w:pPr>
              <w:pStyle w:val="Compact"/>
              <w:jc w:val="left"/>
            </w:pPr>
            <w:r>
              <w:t xml:space="preserve">Medium</w:t>
            </w:r>
          </w:p>
        </w:tc>
        <w:tc>
          <w:tcPr/>
          <w:p>
            <w:pPr>
              <w:pStyle w:val="Compact"/>
              <w:jc w:val="left"/>
            </w:pPr>
            <w:r>
              <w:t xml:space="preserve">Observe: record dietary intake for 3 days. If intake is adequate, repeat the screen. If it is inadequate, treat as a clinical concern, set goals, and review the care plan regularly.</w:t>
            </w:r>
          </w:p>
        </w:tc>
      </w:tr>
      <w:tr>
        <w:tc>
          <w:tcPr/>
          <w:p>
            <w:pPr>
              <w:pStyle w:val="Compact"/>
              <w:jc w:val="left"/>
            </w:pPr>
            <w:r>
              <w:t xml:space="preserve">2 or more</w:t>
            </w:r>
          </w:p>
        </w:tc>
        <w:tc>
          <w:tcPr/>
          <w:p>
            <w:pPr>
              <w:pStyle w:val="Compact"/>
              <w:jc w:val="left"/>
            </w:pPr>
            <w:r>
              <w:t xml:space="preserve">High</w:t>
            </w:r>
          </w:p>
        </w:tc>
        <w:tc>
          <w:tcPr/>
          <w:p>
            <w:pPr>
              <w:pStyle w:val="Compact"/>
              <w:jc w:val="left"/>
            </w:pPr>
            <w:r>
              <w:t xml:space="preserve">Treat: refer to the dietitian or nutrition support team, set goals, increase overall nutritional intake, and review the care plan weekly in hospital. Treatment is withheld where it would be detrimental or no benefit is expected, and the decision is recorded [1].</w:t>
            </w:r>
          </w:p>
        </w:tc>
      </w:tr>
    </w:tbl>
    <w:bookmarkEnd w:id="31"/>
    <w:bookmarkStart w:id="32" w:name="step-3.-plan-and-refer"/>
    <w:p>
      <w:pPr>
        <w:pStyle w:val="Heading3"/>
      </w:pPr>
      <w:r>
        <w:t xml:space="preserve">Step 3. Plan and refer</w:t>
      </w:r>
    </w:p>
    <w:p>
      <w:pPr>
        <w:numPr>
          <w:ilvl w:val="0"/>
          <w:numId w:val="1005"/>
        </w:numPr>
        <w:pStyle w:val="Compact"/>
      </w:pPr>
      <w:r>
        <w:t xml:space="preserve">For a medium or high score, start the nutrition plan on the same day, and refer to the dietitian for a high score.</w:t>
      </w:r>
    </w:p>
    <w:p>
      <w:pPr>
        <w:numPr>
          <w:ilvl w:val="0"/>
          <w:numId w:val="1005"/>
        </w:numPr>
        <w:pStyle w:val="Compact"/>
      </w:pPr>
      <w:r>
        <w:t xml:space="preserve">The dietitian sets the therapeutic diet and records it on the order.</w:t>
      </w:r>
    </w:p>
    <w:p>
      <w:pPr>
        <w:numPr>
          <w:ilvl w:val="0"/>
          <w:numId w:val="1005"/>
        </w:numPr>
        <w:pStyle w:val="Compact"/>
      </w:pPr>
      <w:r>
        <w:t xml:space="preserve">Record the presence of obesity separately. Obesity does not change the MUST score, but it is recorded so that the underlying conditions can be managed.</w:t>
      </w:r>
    </w:p>
    <w:bookmarkEnd w:id="32"/>
    <w:bookmarkStart w:id="33" w:name="step-4.-deliver-and-check-the-diet"/>
    <w:p>
      <w:pPr>
        <w:pStyle w:val="Heading3"/>
      </w:pPr>
      <w:r>
        <w:t xml:space="preserve">Step 4. Deliver and check the diet</w:t>
      </w:r>
    </w:p>
    <w:p>
      <w:pPr>
        <w:numPr>
          <w:ilvl w:val="0"/>
          <w:numId w:val="1006"/>
        </w:numPr>
        <w:pStyle w:val="Compact"/>
      </w:pPr>
      <w:r>
        <w:t xml:space="preserve">Before each tray is served, check the diet on the tray against the current order, the patient's identifiers on the label, and any allergy alert.</w:t>
      </w:r>
    </w:p>
    <w:p>
      <w:pPr>
        <w:numPr>
          <w:ilvl w:val="0"/>
          <w:numId w:val="1006"/>
        </w:numPr>
        <w:pStyle w:val="Compact"/>
      </w:pPr>
      <w:r>
        <w:t xml:space="preserve">If the diet differs from the order, do not serve it. Inform the catering lead and the ward nurse at once.</w:t>
      </w:r>
    </w:p>
    <w:p>
      <w:pPr>
        <w:numPr>
          <w:ilvl w:val="0"/>
          <w:numId w:val="1006"/>
        </w:numPr>
        <w:pStyle w:val="Compact"/>
      </w:pPr>
      <w:r>
        <w:t xml:space="preserve">Record any refusal or fall in intake, and report it to the ward nurse. Intake that falls below the level in the plan triggers a review the same day.</w:t>
      </w:r>
    </w:p>
    <w:bookmarkEnd w:id="33"/>
    <w:bookmarkEnd w:id="34"/>
    <w:bookmarkStart w:id="35" w:name="s9"/>
    <w:p>
      <w:pPr>
        <w:pStyle w:val="Heading2"/>
      </w:pPr>
      <w:r>
        <w:t xml:space="preserve">Worked example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Scoring and action</w:t>
            </w:r>
          </w:p>
        </w:tc>
      </w:tr>
      <w:tr>
        <w:tc>
          <w:tcPr/>
          <w:p>
            <w:pPr>
              <w:pStyle w:val="Compact"/>
              <w:jc w:val="left"/>
            </w:pPr>
            <w:r>
              <w:rPr>
                <w:bCs/>
                <w:b/>
              </w:rPr>
              <w:t xml:space="preserve">A 79-year-old man is admitted with pneumonia. Height 1.70 m, weight 52 kg. He has lost 6 kg over 4 months (about 10%). He has had little food for 4 days.</w:t>
            </w:r>
          </w:p>
        </w:tc>
        <w:tc>
          <w:tcPr/>
          <w:p>
            <w:pPr>
              <w:pStyle w:val="Compact"/>
              <w:jc w:val="left"/>
            </w:pPr>
            <w:r>
              <w:t xml:space="preserve">BMI is 52 ÷ (1.70 × 1.70) = 18.0, which is below 18.5, so Step 1 scores 2. Weight loss of 6 kg from 58 kg is 10.3%, which is above 10%, so Step 2 scores 2. Little intake for 4 days is below the 5-day threshold, so Step 3 scores 0. Total 4: high risk. Refer to the dietitian the same day, set goals, and review the plan weekly.</w:t>
            </w:r>
          </w:p>
        </w:tc>
      </w:tr>
      <w:tr>
        <w:tc>
          <w:tcPr/>
          <w:p>
            <w:pPr>
              <w:pStyle w:val="Compact"/>
              <w:jc w:val="left"/>
            </w:pPr>
            <w:r>
              <w:rPr>
                <w:bCs/>
                <w:b/>
              </w:rPr>
              <w:t xml:space="preserve">A patient's tray arrives with a texture-modified diet, but the order is for a low-salt diet.</w:t>
            </w:r>
          </w:p>
        </w:tc>
        <w:tc>
          <w:tcPr/>
          <w:p>
            <w:pPr>
              <w:pStyle w:val="Compact"/>
              <w:jc w:val="left"/>
            </w:pPr>
            <w:r>
              <w:t xml:space="preserve">Do not serve. Inform the catering lead and the ward nurse at once, and check whether the order has been changed. Record the event as an incident.</w:t>
            </w:r>
          </w:p>
        </w:tc>
      </w:tr>
    </w:tbl>
    <w:p>
      <w:pPr>
        <w:pStyle w:val="BodyText"/>
      </w:pPr>
      <w:r>
        <w:rPr>
          <w:bCs/>
          <w:b/>
        </w:rPr>
        <w:t xml:space="preserve">Figure 1. MUST screening and action</w:t>
      </w:r>
    </w:p>
    <w:bookmarkEnd w:id="35"/>
    <w:bookmarkStart w:id="36" w:name="s10"/>
    <w:p>
      <w:pPr>
        <w:pStyle w:val="Heading2"/>
      </w:pPr>
      <w:r>
        <w:t xml:space="preserve">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If</w:t>
            </w:r>
          </w:p>
        </w:tc>
        <w:tc>
          <w:tcPr/>
          <w:p>
            <w:pPr>
              <w:pStyle w:val="Compact"/>
              <w:jc w:val="left"/>
            </w:pPr>
            <w:r>
              <w:t xml:space="preserve">Then</w:t>
            </w:r>
          </w:p>
        </w:tc>
      </w:tr>
      <w:tr>
        <w:tc>
          <w:tcPr/>
          <w:p>
            <w:pPr>
              <w:pStyle w:val="Compact"/>
              <w:jc w:val="left"/>
            </w:pPr>
            <w:r>
              <w:t xml:space="preserve">Total score 0</w:t>
            </w:r>
          </w:p>
        </w:tc>
        <w:tc>
          <w:tcPr/>
          <w:p>
            <w:pPr>
              <w:pStyle w:val="Compact"/>
              <w:jc w:val="left"/>
            </w:pPr>
            <w:r>
              <w:t xml:space="preserve">Routine care; repeat screen weekly in hospital.</w:t>
            </w:r>
          </w:p>
        </w:tc>
      </w:tr>
      <w:tr>
        <w:tc>
          <w:tcPr/>
          <w:p>
            <w:pPr>
              <w:pStyle w:val="Compact"/>
              <w:jc w:val="left"/>
            </w:pPr>
            <w:r>
              <w:t xml:space="preserve">Total score 1 with adequate intake</w:t>
            </w:r>
          </w:p>
        </w:tc>
        <w:tc>
          <w:tcPr/>
          <w:p>
            <w:pPr>
              <w:pStyle w:val="Compact"/>
              <w:jc w:val="left"/>
            </w:pPr>
            <w:r>
              <w:t xml:space="preserve">Repeat the screen.</w:t>
            </w:r>
          </w:p>
        </w:tc>
      </w:tr>
      <w:tr>
        <w:tc>
          <w:tcPr/>
          <w:p>
            <w:pPr>
              <w:pStyle w:val="Compact"/>
              <w:jc w:val="left"/>
            </w:pPr>
            <w:r>
              <w:t xml:space="preserve">Total score 1 with inadequate intake, or total score 2 or more</w:t>
            </w:r>
          </w:p>
        </w:tc>
        <w:tc>
          <w:tcPr/>
          <w:p>
            <w:pPr>
              <w:pStyle w:val="Compact"/>
              <w:jc w:val="left"/>
            </w:pPr>
            <w:r>
              <w:t xml:space="preserve">Start the nutrition plan; refer to the dietitian for a high score.</w:t>
            </w:r>
          </w:p>
        </w:tc>
      </w:tr>
      <w:tr>
        <w:tc>
          <w:tcPr/>
          <w:p>
            <w:pPr>
              <w:pStyle w:val="Compact"/>
              <w:jc w:val="left"/>
            </w:pPr>
            <w:r>
              <w:t xml:space="preserve">Delivered diet differs from the order</w:t>
            </w:r>
          </w:p>
        </w:tc>
        <w:tc>
          <w:tcPr/>
          <w:p>
            <w:pPr>
              <w:pStyle w:val="Compact"/>
              <w:jc w:val="left"/>
            </w:pPr>
            <w:r>
              <w:t xml:space="preserve">Do not serve it; inform the catering lead and the ward nurse.</w:t>
            </w:r>
          </w:p>
        </w:tc>
      </w:tr>
    </w:tbl>
    <w:bookmarkEnd w:id="36"/>
    <w:bookmarkStart w:id="37" w:name="s11"/>
    <w:p>
      <w:pPr>
        <w:pStyle w:val="Heading2"/>
      </w:pPr>
      <w:r>
        <w:t xml:space="preserve">Escalation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Event</w:t>
            </w:r>
          </w:p>
        </w:tc>
        <w:tc>
          <w:tcPr/>
          <w:p>
            <w:pPr>
              <w:pStyle w:val="Compact"/>
              <w:jc w:val="left"/>
            </w:pPr>
            <w:r>
              <w:t xml:space="preserve">Inform</w:t>
            </w:r>
          </w:p>
        </w:tc>
        <w:tc>
          <w:tcPr/>
          <w:p>
            <w:pPr>
              <w:pStyle w:val="Compact"/>
              <w:jc w:val="left"/>
            </w:pPr>
            <w:r>
              <w:t xml:space="preserve">Timescale</w:t>
            </w:r>
          </w:p>
        </w:tc>
      </w:tr>
      <w:tr>
        <w:tc>
          <w:tcPr/>
          <w:p>
            <w:pPr>
              <w:pStyle w:val="Compact"/>
              <w:jc w:val="left"/>
            </w:pPr>
            <w:r>
              <w:t xml:space="preserve">At-risk patient with no screen</w:t>
            </w:r>
          </w:p>
        </w:tc>
        <w:tc>
          <w:tcPr/>
          <w:p>
            <w:pPr>
              <w:pStyle w:val="Compact"/>
              <w:jc w:val="left"/>
            </w:pPr>
            <w:r>
              <w:t xml:space="preserve">Ward or unit manager</w:t>
            </w:r>
          </w:p>
        </w:tc>
        <w:tc>
          <w:tcPr/>
          <w:p>
            <w:pPr>
              <w:pStyle w:val="Compact"/>
              <w:jc w:val="left"/>
            </w:pPr>
            <w:r>
              <w:t xml:space="preserve">Immediately</w:t>
            </w:r>
          </w:p>
        </w:tc>
      </w:tr>
      <w:tr>
        <w:tc>
          <w:tcPr/>
          <w:p>
            <w:pPr>
              <w:pStyle w:val="Compact"/>
              <w:jc w:val="left"/>
            </w:pPr>
            <w:r>
              <w:t xml:space="preserve">Diet served in error</w:t>
            </w:r>
          </w:p>
        </w:tc>
        <w:tc>
          <w:tcPr/>
          <w:p>
            <w:pPr>
              <w:pStyle w:val="Compact"/>
              <w:jc w:val="left"/>
            </w:pPr>
            <w:r>
              <w:t xml:space="preserve">Ward nurse, dietitian and catering lead</w:t>
            </w:r>
          </w:p>
        </w:tc>
        <w:tc>
          <w:tcPr/>
          <w:p>
            <w:pPr>
              <w:pStyle w:val="Compact"/>
              <w:jc w:val="left"/>
            </w:pPr>
            <w:r>
              <w:t xml:space="preserve">Immediately; incident report within 24 hours</w:t>
            </w:r>
          </w:p>
        </w:tc>
      </w:tr>
      <w:tr>
        <w:tc>
          <w:tcPr/>
          <w:p>
            <w:pPr>
              <w:pStyle w:val="Compact"/>
              <w:jc w:val="left"/>
            </w:pPr>
            <w:r>
              <w:t xml:space="preserve">Repeated diet errors on one unit</w:t>
            </w:r>
          </w:p>
        </w:tc>
        <w:tc>
          <w:tcPr/>
          <w:p>
            <w:pPr>
              <w:pStyle w:val="Compact"/>
              <w:jc w:val="left"/>
            </w:pPr>
            <w:r>
              <w:t xml:space="preserve">Clinical director and quality team</w:t>
            </w:r>
          </w:p>
        </w:tc>
        <w:tc>
          <w:tcPr/>
          <w:p>
            <w:pPr>
              <w:pStyle w:val="Compact"/>
              <w:jc w:val="left"/>
            </w:pPr>
            <w:r>
              <w:t xml:space="preserve">Within one week</w:t>
            </w:r>
          </w:p>
        </w:tc>
      </w:tr>
    </w:tbl>
    <w:bookmarkEnd w:id="37"/>
    <w:bookmarkStart w:id="38" w:name="s12"/>
    <w:p>
      <w:pPr>
        <w:pStyle w:val="Heading2"/>
      </w:pPr>
      <w:r>
        <w:t xml:space="preserve">Monitoring and compliance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Indicator</w:t>
            </w:r>
          </w:p>
        </w:tc>
        <w:tc>
          <w:tcPr/>
          <w:p>
            <w:pPr>
              <w:pStyle w:val="Compact"/>
              <w:jc w:val="left"/>
            </w:pPr>
            <w:r>
              <w:t xml:space="preserve">Target</w:t>
            </w:r>
          </w:p>
        </w:tc>
        <w:tc>
          <w:tcPr/>
          <w:p>
            <w:pPr>
              <w:pStyle w:val="Compact"/>
              <w:jc w:val="left"/>
            </w:pPr>
            <w:r>
              <w:t xml:space="preserve">Method</w:t>
            </w:r>
          </w:p>
        </w:tc>
        <w:tc>
          <w:tcPr/>
          <w:p>
            <w:pPr>
              <w:pStyle w:val="Compact"/>
              <w:jc w:val="left"/>
            </w:pPr>
            <w:r>
              <w:t xml:space="preserve">Frequency</w:t>
            </w:r>
          </w:p>
        </w:tc>
        <w:tc>
          <w:tcPr/>
          <w:p>
            <w:pPr>
              <w:pStyle w:val="Compact"/>
              <w:jc w:val="left"/>
            </w:pPr>
            <w:r>
              <w:t xml:space="preserve">Owner</w:t>
            </w:r>
          </w:p>
        </w:tc>
      </w:tr>
      <w:tr>
        <w:tc>
          <w:tcPr/>
          <w:p>
            <w:pPr>
              <w:pStyle w:val="Compact"/>
              <w:jc w:val="left"/>
            </w:pPr>
            <w:r>
              <w:t xml:space="preserve">Admissions screened with MUST within the shift</w:t>
            </w:r>
          </w:p>
        </w:tc>
        <w:tc>
          <w:tcPr/>
          <w:p>
            <w:pPr>
              <w:pStyle w:val="Compact"/>
              <w:jc w:val="left"/>
            </w:pPr>
            <w:r>
              <w:t xml:space="preserve">100% of admissions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Ward manager</w:t>
            </w:r>
          </w:p>
        </w:tc>
      </w:tr>
      <w:tr>
        <w:tc>
          <w:tcPr/>
          <w:p>
            <w:pPr>
              <w:pStyle w:val="Compact"/>
              <w:jc w:val="left"/>
            </w:pPr>
            <w:r>
              <w:t xml:space="preserve">High-risk patients referred to the dietitian the same day</w:t>
            </w:r>
          </w:p>
        </w:tc>
        <w:tc>
          <w:tcPr/>
          <w:p>
            <w:pPr>
              <w:pStyle w:val="Compact"/>
              <w:jc w:val="left"/>
            </w:pPr>
            <w:r>
              <w:t xml:space="preserve">100% of high-risk patients</w:t>
            </w:r>
          </w:p>
        </w:tc>
        <w:tc>
          <w:tcPr/>
          <w:p>
            <w:pPr>
              <w:pStyle w:val="Compact"/>
              <w:jc w:val="left"/>
            </w:pPr>
            <w:r>
              <w:t xml:space="preserve">Audit of high-risk records</w:t>
            </w:r>
          </w:p>
        </w:tc>
        <w:tc>
          <w:tcPr/>
          <w:p>
            <w:pPr>
              <w:pStyle w:val="Compact"/>
              <w:jc w:val="left"/>
            </w:pPr>
            <w:r>
              <w:t xml:space="preserve">Monthly</w:t>
            </w:r>
          </w:p>
        </w:tc>
        <w:tc>
          <w:tcPr/>
          <w:p>
            <w:pPr>
              <w:pStyle w:val="Compact"/>
              <w:jc w:val="left"/>
            </w:pPr>
            <w:r>
              <w:t xml:space="preserve">Dietitian</w:t>
            </w:r>
          </w:p>
        </w:tc>
      </w:tr>
      <w:tr>
        <w:tc>
          <w:tcPr/>
          <w:p>
            <w:pPr>
              <w:pStyle w:val="Compact"/>
              <w:jc w:val="left"/>
            </w:pPr>
            <w:r>
              <w:t xml:space="preserve">Diets delivered as ordered</w:t>
            </w:r>
          </w:p>
        </w:tc>
        <w:tc>
          <w:tcPr/>
          <w:p>
            <w:pPr>
              <w:pStyle w:val="Compact"/>
              <w:jc w:val="left"/>
            </w:pPr>
            <w:r>
              <w:t xml:space="preserve">100% of sampled trays</w:t>
            </w:r>
          </w:p>
        </w:tc>
        <w:tc>
          <w:tcPr/>
          <w:p>
            <w:pPr>
              <w:pStyle w:val="Compact"/>
              <w:jc w:val="left"/>
            </w:pPr>
            <w:r>
              <w:t xml:space="preserve">Tray check of 20 diets per unit</w:t>
            </w:r>
          </w:p>
        </w:tc>
        <w:tc>
          <w:tcPr/>
          <w:p>
            <w:pPr>
              <w:pStyle w:val="Compact"/>
              <w:jc w:val="left"/>
            </w:pPr>
            <w:r>
              <w:t xml:space="preserve">Monthly</w:t>
            </w:r>
          </w:p>
        </w:tc>
        <w:tc>
          <w:tcPr/>
          <w:p>
            <w:pPr>
              <w:pStyle w:val="Compact"/>
              <w:jc w:val="left"/>
            </w:pPr>
            <w:r>
              <w:t xml:space="preserve">Catering lead</w:t>
            </w:r>
          </w:p>
        </w:tc>
      </w:tr>
    </w:tbl>
    <w:bookmarkEnd w:id="38"/>
    <w:bookmarkStart w:id="39" w:name="s13"/>
    <w:p>
      <w:pPr>
        <w:pStyle w:val="Heading2"/>
      </w:pPr>
      <w:r>
        <w:t xml:space="preserve">Records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Record</w:t>
            </w:r>
          </w:p>
        </w:tc>
        <w:tc>
          <w:tcPr/>
          <w:p>
            <w:pPr>
              <w:pStyle w:val="Compact"/>
              <w:jc w:val="left"/>
            </w:pPr>
            <w:r>
              <w:t xml:space="preserve">Kept in</w:t>
            </w:r>
          </w:p>
        </w:tc>
        <w:tc>
          <w:tcPr/>
          <w:p>
            <w:pPr>
              <w:pStyle w:val="Compact"/>
              <w:jc w:val="left"/>
            </w:pPr>
            <w:r>
              <w:t xml:space="preserve">Retention</w:t>
            </w:r>
          </w:p>
        </w:tc>
      </w:tr>
      <w:tr>
        <w:tc>
          <w:tcPr/>
          <w:p>
            <w:pPr>
              <w:pStyle w:val="Compact"/>
              <w:jc w:val="left"/>
            </w:pPr>
            <w:r>
              <w:t xml:space="preserve">MUST score, risk category and nutrition plan</w:t>
            </w:r>
          </w:p>
        </w:tc>
        <w:tc>
          <w:tcPr/>
          <w:p>
            <w:pPr>
              <w:pStyle w:val="Compact"/>
              <w:jc w:val="left"/>
            </w:pPr>
            <w:r>
              <w:t xml:space="preserve">Patient record</w:t>
            </w:r>
          </w:p>
        </w:tc>
        <w:tc>
          <w:tcPr/>
          <w:p>
            <w:pPr>
              <w:pStyle w:val="Compact"/>
              <w:jc w:val="left"/>
            </w:pPr>
            <w:r>
              <w:t xml:space="preserve">As set by the institutional retention policy</w:t>
            </w:r>
          </w:p>
        </w:tc>
      </w:tr>
      <w:tr>
        <w:tc>
          <w:tcPr/>
          <w:p>
            <w:pPr>
              <w:pStyle w:val="Compact"/>
              <w:jc w:val="left"/>
            </w:pPr>
            <w:r>
              <w:t xml:space="preserve">Diet orders and incident reports</w:t>
            </w:r>
          </w:p>
        </w:tc>
        <w:tc>
          <w:tcPr/>
          <w:p>
            <w:pPr>
              <w:pStyle w:val="Compact"/>
              <w:jc w:val="left"/>
            </w:pPr>
            <w:r>
              <w:t xml:space="preserve">Patient record and incident system</w:t>
            </w:r>
          </w:p>
        </w:tc>
        <w:tc>
          <w:tcPr/>
          <w:p>
            <w:pPr>
              <w:pStyle w:val="Compact"/>
              <w:jc w:val="left"/>
            </w:pPr>
            <w:r>
              <w:t xml:space="preserve">As set by the institutional retention policy</w:t>
            </w:r>
          </w:p>
        </w:tc>
      </w:tr>
    </w:tbl>
    <w:bookmarkEnd w:id="39"/>
    <w:bookmarkStart w:id="40" w:name="s14"/>
    <w:p>
      <w:pPr>
        <w:pStyle w:val="Heading2"/>
      </w:pPr>
      <w:r>
        <w:t xml:space="preserve">Training and competence</w:t>
      </w:r>
    </w:p>
    <w:p>
      <w:pPr>
        <w:numPr>
          <w:ilvl w:val="0"/>
          <w:numId w:val="1007"/>
        </w:numPr>
        <w:pStyle w:val="Compact"/>
      </w:pPr>
      <w:r>
        <w:rPr>
          <w:bCs/>
          <w:b/>
        </w:rPr>
        <w:t xml:space="preserve">Induction:</w:t>
      </w:r>
      <w:r>
        <w:t xml:space="preserve"> </w:t>
      </w:r>
      <w:r>
        <w:t xml:space="preserve">MUST scoring, the risk actions, weight and height measurement, and the tray check. Competence is assessed by scoring three practice cases correctly.</w:t>
      </w:r>
    </w:p>
    <w:p>
      <w:pPr>
        <w:numPr>
          <w:ilvl w:val="0"/>
          <w:numId w:val="1007"/>
        </w:numPr>
        <w:pStyle w:val="Compact"/>
      </w:pPr>
      <w:r>
        <w:rPr>
          <w:bCs/>
          <w:b/>
        </w:rPr>
        <w:t xml:space="preserve">Annual update:</w:t>
      </w:r>
      <w:r>
        <w:t xml:space="preserve"> </w:t>
      </w:r>
      <w:r>
        <w:t xml:space="preserve">MUST rescoring of audited records, with food safety refresher.</w:t>
      </w:r>
    </w:p>
    <w:bookmarkEnd w:id="40"/>
    <w:bookmarkStart w:id="41" w:name="s15"/>
    <w:p>
      <w:pPr>
        <w:pStyle w:val="Heading2"/>
      </w:pPr>
      <w:r>
        <w:t xml:space="preserve">Related documents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Title</w:t>
            </w:r>
          </w:p>
        </w:tc>
        <w:tc>
          <w:tcPr/>
          <w:p>
            <w:pPr>
              <w:pStyle w:val="Compact"/>
              <w:jc w:val="left"/>
            </w:pPr>
            <w:r>
              <w:t xml:space="preserve">Relationship</w:t>
            </w:r>
          </w:p>
        </w:tc>
      </w:tr>
      <w:tr>
        <w:tc>
          <w:tcPr/>
          <w:p>
            <w:pPr>
              <w:pStyle w:val="Compact"/>
              <w:jc w:val="left"/>
            </w:pPr>
            <w:r>
              <w:t xml:space="preserve">CLN-SOP-001-EN</w:t>
            </w:r>
          </w:p>
        </w:tc>
        <w:tc>
          <w:tcPr/>
          <w:p>
            <w:pPr>
              <w:pStyle w:val="Compact"/>
              <w:jc w:val="left"/>
            </w:pPr>
            <w:r>
              <w:t xml:space="preserve">Structured clinical assessment on admission</w:t>
            </w:r>
          </w:p>
        </w:tc>
        <w:tc>
          <w:tcPr/>
          <w:p>
            <w:pPr>
              <w:pStyle w:val="Compact"/>
              <w:jc w:val="left"/>
            </w:pPr>
            <w:r>
              <w:t xml:space="preserve">Admission assessment</w:t>
            </w:r>
          </w:p>
        </w:tc>
      </w:tr>
      <w:tr>
        <w:tc>
          <w:tcPr/>
          <w:p>
            <w:pPr>
              <w:pStyle w:val="Compact"/>
              <w:jc w:val="left"/>
            </w:pPr>
            <w:r>
              <w:t xml:space="preserve">CLN-SOP-002-EN</w:t>
            </w:r>
          </w:p>
        </w:tc>
        <w:tc>
          <w:tcPr/>
          <w:p>
            <w:pPr>
              <w:pStyle w:val="Compact"/>
              <w:jc w:val="left"/>
            </w:pPr>
            <w:r>
              <w:t xml:space="preserve">Individualised care planning</w:t>
            </w:r>
          </w:p>
        </w:tc>
        <w:tc>
          <w:tcPr/>
          <w:p>
            <w:pPr>
              <w:pStyle w:val="Compact"/>
              <w:jc w:val="left"/>
            </w:pPr>
            <w:r>
              <w:t xml:space="preserve">Nutrition plan in the care plan</w:t>
            </w:r>
          </w:p>
        </w:tc>
      </w:tr>
    </w:tbl>
    <w:bookmarkEnd w:id="41"/>
    <w:bookmarkStart w:id="42" w:name="s16"/>
    <w:p>
      <w:pPr>
        <w:pStyle w:val="Heading2"/>
      </w:pPr>
      <w:r>
        <w:t xml:space="preserve">References</w:t>
      </w:r>
    </w:p>
    <w:p>
      <w:pPr>
        <w:numPr>
          <w:ilvl w:val="0"/>
          <w:numId w:val="1008"/>
        </w:numPr>
        <w:pStyle w:val="Compact"/>
      </w:pPr>
      <w:r>
        <w:t xml:space="preserve">BAPEN and Malnutrition Advisory Group. MUST (Malnutrition Universal Screening Tool): the full tool, scoring steps and actions (first published 2003; reprinted 2011). Source read: NHS Scotland copy, https://rightdecisions.scot.nhs.uk/media/1624/must-full.pdf</w:t>
      </w:r>
    </w:p>
    <w:p>
      <w:pPr>
        <w:numPr>
          <w:ilvl w:val="0"/>
          <w:numId w:val="1008"/>
        </w:numPr>
        <w:pStyle w:val="Compact"/>
      </w:pPr>
      <w:r>
        <w:t xml:space="preserve">NICE. Nutrition support in adults, quality statement 1, quality standard QS24. Source read: the 2012 draft quality standard text (consultation draft released 4 July 2012). The final text and its status must be confirmed before publication. https://www.nice.org.uk/guidance/qs24</w:t>
      </w:r>
    </w:p>
    <w:bookmarkEnd w:id="42"/>
    <w:bookmarkStart w:id="43" w:name="s17"/>
    <w:p>
      <w:pPr>
        <w:pStyle w:val="Heading2"/>
      </w:pPr>
      <w:r>
        <w:t xml:space="preserve">Change history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Summary of change</w:t>
            </w:r>
          </w:p>
        </w:tc>
        <w:tc>
          <w:tcPr/>
          <w:p>
            <w:pPr>
              <w:pStyle w:val="Compact"/>
              <w:jc w:val="left"/>
            </w:pPr>
            <w:r>
              <w:t xml:space="preserve">Approved by</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First approved version.</w:t>
            </w:r>
          </w:p>
        </w:tc>
        <w:tc>
          <w:tcPr/>
          <w:p>
            <w:pPr>
              <w:pStyle w:val="Compact"/>
              <w:jc w:val="left"/>
            </w:pPr>
            <w:r>
              <w:t xml:space="preserve">ASF Expert Committee</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Substantive revision: MUST scoring steps and actions added from the source; worked example; diet check steps; flowchart and references checked.</w:t>
            </w:r>
          </w:p>
        </w:tc>
        <w:tc>
          <w:tcPr/>
          <w:p>
            <w:pPr>
              <w:pStyle w:val="Compact"/>
              <w:jc w:val="left"/>
            </w:pPr>
            <w:r>
              <w:t xml:space="preserve"> </w:t>
            </w:r>
          </w:p>
        </w:tc>
      </w:tr>
    </w:tbl>
    <w:bookmarkEnd w:id="43"/>
    <w:bookmarkStart w:id="44" w:name="annex-a"/>
    <w:p>
      <w:pPr>
        <w:pStyle w:val="Heading2"/>
      </w:pPr>
      <w:r>
        <w:t xml:space="preserve">Annex A. Nutrition audit record</w:t>
      </w:r>
    </w:p>
    <w:p>
      <w:pPr>
        <w:pStyle w:val="FirstParagraph"/>
      </w:pPr>
      <w:r>
        <w:t xml:space="preserve">Use this record for each audit session. Record one line per patient or task observed. Enter Y, N or NA as shown in the column heading.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Date</w:t>
            </w:r>
          </w:p>
        </w:tc>
        <w:tc>
          <w:tcPr/>
          <w:p>
            <w:pPr>
              <w:pStyle w:val="Compact"/>
              <w:jc w:val="left"/>
            </w:pPr>
            <w:r>
              <w:t xml:space="preserve">Unit</w:t>
            </w:r>
          </w:p>
        </w:tc>
        <w:tc>
          <w:tcPr/>
          <w:p>
            <w:pPr>
              <w:pStyle w:val="Compact"/>
              <w:jc w:val="left"/>
            </w:pPr>
            <w:r>
              <w:t xml:space="preserve">Patient reference</w:t>
            </w:r>
          </w:p>
        </w:tc>
        <w:tc>
          <w:tcPr/>
          <w:p>
            <w:pPr>
              <w:pStyle w:val="Compact"/>
              <w:jc w:val="left"/>
            </w:pPr>
            <w:r>
              <w:t xml:space="preserve">Screened on admission (Y / N)</w:t>
            </w:r>
          </w:p>
        </w:tc>
        <w:tc>
          <w:tcPr/>
          <w:p>
            <w:pPr>
              <w:pStyle w:val="Compact"/>
              <w:jc w:val="left"/>
            </w:pPr>
            <w:r>
              <w:t xml:space="preserve">Plan in place if at risk (Y / N / NA)</w:t>
            </w:r>
          </w:p>
        </w:tc>
        <w:tc>
          <w:tcPr/>
          <w:p>
            <w:pPr>
              <w:pStyle w:val="Compact"/>
              <w:jc w:val="left"/>
            </w:pPr>
            <w:r>
              <w:t xml:space="preserve">Diet delivered as ordered (Y / N)</w:t>
            </w:r>
          </w:p>
        </w:tc>
        <w:tc>
          <w:tcPr/>
          <w:p>
            <w:pPr>
              <w:pStyle w:val="Compact"/>
              <w:jc w:val="left"/>
            </w:pPr>
            <w:r>
              <w:t xml:space="preserve">Refusal or intake change recorded (Y / N / NA)</w:t>
            </w:r>
          </w:p>
        </w:tc>
        <w:tc>
          <w:tcPr/>
          <w:p>
            <w:pPr>
              <w:pStyle w:val="Compact"/>
              <w:jc w:val="left"/>
            </w:pPr>
            <w:r>
              <w:t xml:space="preserve">Comment</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4"/>
    <w:bookmarkStart w:id="45" w:name="annex-b"/>
    <w:p>
      <w:pPr>
        <w:pStyle w:val="Heading2"/>
      </w:pPr>
      <w:r>
        <w:t xml:space="preserve">Annex B. Monitoring chart</w:t>
      </w:r>
    </w:p>
    <w:p>
      <w:pPr>
        <w:pStyle w:val="FirstParagraph"/>
      </w:pPr>
      <w:r>
        <w:t xml:space="preserve">The unit records its monthly result on this chart and reviews it at the monthly meeting. Plot each month as a point or a bar, and note the actions taken beside it.</w:t>
      </w:r>
    </w:p>
    <w:p>
      <w:pPr>
        <w:pStyle w:val="BodyText"/>
      </w:pPr>
      <w:r>
        <w:t xml:space="preserve">Figure B.1 Admissions screened for nutritional risk by month. Target as set by the facility (see the monitoring table).</w:t>
      </w:r>
    </w:p>
    <w:bookmarkEnd w:id="45"/>
    <w:sectPr>
      <w:pgSz w:w="11906" w:h="16838"/>
      <w:pgMar w:left="1134" w:right="1134" w:top="1020"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2026-10-29T09:45:43Z</dcterms:created>
  <dcterms:modified xsi:type="dcterms:W3CDTF">2026-10-29T09:45:43Z</dcterms:modified>
</cp:coreProperties>
</file>

<file path=docProps/custom.xml><?xml version="1.0" encoding="utf-8"?>
<Properties xmlns="http://schemas.openxmlformats.org/officeDocument/2006/custom-properties" xmlns:vt="http://schemas.openxmlformats.org/officeDocument/2006/docPropsVTypes"/>
</file>