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C9A227"/>
          <w:sz w:val="15"/>
        </w:rPr>
        <w:t>ACCRÉDITATION SANS FRONTIÈRES · ISO 9001 READY — HOSPITALITY &amp; HOTEL</w:t>
      </w:r>
    </w:p>
    <w:p>
      <w:pPr>
        <w:jc w:val="center"/>
      </w:pPr>
      <w:r>
        <w:rPr>
          <w:rFonts w:ascii="Times New Roman" w:hAnsi="Times New Roman" w:eastAsia="Times New Roman"/>
          <w:b/>
          <w:color w:val="0E2647"/>
          <w:sz w:val="30"/>
        </w:rPr>
        <w:t>Guest Complaint Handling Procedure</w:t>
      </w:r>
    </w:p>
    <w:p>
      <w:pPr>
        <w:jc w:val="center"/>
      </w:pPr>
      <w:r>
        <w:rPr>
          <w:rFonts w:ascii="Times New Roman" w:hAnsi="Times New Roman" w:eastAsia="Times New Roman"/>
          <w:color w:val="6B778C"/>
          <w:sz w:val="20"/>
        </w:rPr>
        <w:t>Standard Operating Procedure / Policy</w:t>
      </w:r>
    </w:p>
    <w:p/>
    <w:p>
      <w:r>
        <w:rPr>
          <w:rFonts w:ascii="Times New Roman" w:hAnsi="Times New Roman" w:eastAsia="Times New Roman"/>
          <w:b/>
          <w:color w:val="0E2647"/>
          <w:sz w:val="24"/>
        </w:rPr>
        <w:t>Table of Contents</w:t>
      </w:r>
    </w:p>
    <w:p>
      <w:r>
        <w:rPr>
          <w:rFonts w:ascii="Times New Roman" w:hAnsi="Times New Roman" w:eastAsia="Times New Roman"/>
          <w:color w:val="1A1A1A"/>
          <w:sz w:val="19"/>
        </w:rPr>
        <w:t>1. Purpose · 2. Scope · 3. Definitions · 4. Principles · 5. Receiving a Complaint · 6. Acknowledgement, Investigation and Response · 7. Serious Complaints and Escalation · 8. Learning · 9. Distribution of Responsibilities · 10. Accompanying Documentation</w:t>
      </w:r>
    </w:p>
    <w:p/>
    <w:p>
      <w:r>
        <w:rPr>
          <w:rFonts w:ascii="Times New Roman" w:hAnsi="Times New Roman" w:eastAsia="Times New Roman"/>
          <w:b/>
          <w:color w:val="0E2647"/>
          <w:sz w:val="24"/>
        </w:rPr>
        <w:t>1. Purpose</w:t>
      </w:r>
    </w:p>
    <w:p>
      <w:r>
        <w:rPr>
          <w:rFonts w:ascii="Times New Roman" w:hAnsi="Times New Roman" w:eastAsia="Times New Roman"/>
          <w:color w:val="1A1A1A"/>
          <w:sz w:val="19"/>
        </w:rPr>
        <w:t>To ensure every complaint — from a guest, an online review, a travel agent, or anyone else — is received without obstruction, acknowledged quickly, investigated fairly, and answered in a way the complainant can see was taken seriously.</w:t>
      </w:r>
    </w:p>
    <w:p>
      <w:r>
        <w:rPr>
          <w:rFonts w:ascii="Times New Roman" w:hAnsi="Times New Roman" w:eastAsia="Times New Roman"/>
          <w:b/>
          <w:color w:val="0E2647"/>
          <w:sz w:val="24"/>
        </w:rPr>
        <w:t>2. Scope</w:t>
      </w:r>
    </w:p>
    <w:p>
      <w:r>
        <w:rPr>
          <w:rFonts w:ascii="Times New Roman" w:hAnsi="Times New Roman" w:eastAsia="Times New Roman"/>
          <w:color w:val="1A1A1A"/>
          <w:sz w:val="19"/>
        </w:rPr>
        <w:t>All expressions of dissatisfaction about any aspect of the property's service, whether made in person, by phone, in writing, by email, or via a public review site.</w:t>
      </w:r>
    </w:p>
    <w:p>
      <w:r>
        <w:rPr>
          <w:rFonts w:ascii="Times New Roman" w:hAnsi="Times New Roman" w:eastAsia="Times New Roman"/>
          <w:b/>
          <w:color w:val="0E2647"/>
          <w:sz w:val="24"/>
        </w:rPr>
        <w:t>3. Definitions</w:t>
      </w:r>
    </w:p>
    <w:p>
      <w:pPr>
        <w:pStyle w:val="ListBullet"/>
      </w:pPr>
      <w:r>
        <w:rPr>
          <w:rFonts w:ascii="Times New Roman" w:hAnsi="Times New Roman" w:eastAsia="Times New Roman"/>
          <w:color w:val="1A1A1A"/>
          <w:sz w:val="19"/>
        </w:rPr>
        <w:t>Complaint — any expression of dissatisfaction that the guest wants addressed; a concern raised in passing that the guest does not want escalated is handled as service recovery, not logged as a complaint</w:t>
      </w:r>
    </w:p>
    <w:p>
      <w:pPr>
        <w:pStyle w:val="ListBullet"/>
      </w:pPr>
      <w:r>
        <w:rPr>
          <w:rFonts w:ascii="Times New Roman" w:hAnsi="Times New Roman" w:eastAsia="Times New Roman"/>
          <w:color w:val="1A1A1A"/>
          <w:sz w:val="19"/>
        </w:rPr>
        <w:t>Complainant — the person making the complaint, or someone acting with their consent</w:t>
      </w:r>
    </w:p>
    <w:p>
      <w:pPr>
        <w:pStyle w:val="ListBullet"/>
      </w:pPr>
      <w:r>
        <w:rPr>
          <w:rFonts w:ascii="Times New Roman" w:hAnsi="Times New Roman" w:eastAsia="Times New Roman"/>
          <w:color w:val="1A1A1A"/>
          <w:sz w:val="19"/>
        </w:rPr>
        <w:t>Serious complaint — any complaint alleging injury, discrimination, theft, or a safety failure; handled under section 7</w:t>
      </w:r>
    </w:p>
    <w:p>
      <w:r>
        <w:rPr>
          <w:rFonts w:ascii="Times New Roman" w:hAnsi="Times New Roman" w:eastAsia="Times New Roman"/>
          <w:b/>
          <w:color w:val="0E2647"/>
          <w:sz w:val="24"/>
        </w:rPr>
        <w:t>4. Principles</w:t>
      </w:r>
    </w:p>
    <w:p>
      <w:pPr>
        <w:pStyle w:val="ListBullet"/>
      </w:pPr>
      <w:r>
        <w:rPr>
          <w:rFonts w:ascii="Times New Roman" w:hAnsi="Times New Roman" w:eastAsia="Times New Roman"/>
          <w:color w:val="1A1A1A"/>
          <w:sz w:val="19"/>
        </w:rPr>
        <w:t>A complaint is information, not an attack; the property wants to receive it</w:t>
      </w:r>
    </w:p>
    <w:p>
      <w:pPr>
        <w:pStyle w:val="ListBullet"/>
      </w:pPr>
      <w:r>
        <w:rPr>
          <w:rFonts w:ascii="Times New Roman" w:hAnsi="Times New Roman" w:eastAsia="Times New Roman"/>
          <w:color w:val="1A1A1A"/>
          <w:sz w:val="19"/>
        </w:rPr>
        <w:t>No complainant suffers any disadvantage in how they are treated for the rest of their stay because they complained</w:t>
      </w:r>
    </w:p>
    <w:p>
      <w:pPr>
        <w:pStyle w:val="ListBullet"/>
      </w:pPr>
      <w:r>
        <w:rPr>
          <w:rFonts w:ascii="Times New Roman" w:hAnsi="Times New Roman" w:eastAsia="Times New Roman"/>
          <w:color w:val="1A1A1A"/>
          <w:sz w:val="19"/>
        </w:rPr>
        <w:t>Every complaint is taken at face value until investigated; the complainant is not asked to prove it before it is recorded</w:t>
      </w:r>
    </w:p>
    <w:p>
      <w:pPr>
        <w:pStyle w:val="ListBullet"/>
      </w:pPr>
      <w:r>
        <w:rPr>
          <w:rFonts w:ascii="Times New Roman" w:hAnsi="Times New Roman" w:eastAsia="Times New Roman"/>
          <w:color w:val="1A1A1A"/>
          <w:sz w:val="19"/>
        </w:rPr>
        <w:t>The complainant is kept informed and receives an answer, in writing if they raised it in writing or asked for one</w:t>
      </w:r>
    </w:p>
    <w:p>
      <w:r>
        <w:rPr>
          <w:rFonts w:ascii="Times New Roman" w:hAnsi="Times New Roman" w:eastAsia="Times New Roman"/>
          <w:b/>
          <w:color w:val="0E2647"/>
          <w:sz w:val="24"/>
        </w:rPr>
        <w:t>5. Receiving a Complaint</w:t>
      </w:r>
    </w:p>
    <w:p>
      <w:pPr>
        <w:pStyle w:val="ListBullet"/>
      </w:pPr>
      <w:r>
        <w:rPr>
          <w:rFonts w:ascii="Times New Roman" w:hAnsi="Times New Roman" w:eastAsia="Times New Roman"/>
          <w:color w:val="1A1A1A"/>
          <w:sz w:val="19"/>
        </w:rPr>
        <w:t>Any staff member who receives a complaint records it the same day on HTL-GOV-08-F01: who, when, what happened, what the complainant wants</w:t>
      </w:r>
    </w:p>
    <w:p>
      <w:pPr>
        <w:pStyle w:val="ListBullet"/>
      </w:pPr>
      <w:r>
        <w:rPr>
          <w:rFonts w:ascii="Times New Roman" w:hAnsi="Times New Roman" w:eastAsia="Times New Roman"/>
          <w:color w:val="1A1A1A"/>
          <w:sz w:val="19"/>
        </w:rPr>
        <w:t>The staff member does not argue, explain, or defend at the point of receipt; they thank the complainant and confirm they have understood</w:t>
      </w:r>
    </w:p>
    <w:p>
      <w:pPr>
        <w:pStyle w:val="ListBullet"/>
      </w:pPr>
      <w:r>
        <w:rPr>
          <w:rFonts w:ascii="Times New Roman" w:hAnsi="Times New Roman" w:eastAsia="Times New Roman"/>
          <w:color w:val="1A1A1A"/>
          <w:sz w:val="19"/>
        </w:rPr>
        <w:t>The form goes to the duty manager or Quality Manager the same day; complaints made online (review sites, social media) are checked daily per HTL-CC-12 and logged the same way</w:t>
      </w:r>
    </w:p>
    <w:p>
      <w:r>
        <w:rPr>
          <w:rFonts w:ascii="Times New Roman" w:hAnsi="Times New Roman" w:eastAsia="Times New Roman"/>
          <w:b/>
          <w:color w:val="0E2647"/>
          <w:sz w:val="24"/>
        </w:rPr>
        <w:t>6. Acknowledgement, Investigation and Response</w:t>
      </w:r>
    </w:p>
    <w:p>
      <w:r>
        <w:rPr>
          <w:rFonts w:ascii="Times New Roman" w:hAnsi="Times New Roman" w:eastAsia="Times New Roman"/>
          <w:color w:val="1A1A1A"/>
          <w:sz w:val="19"/>
        </w:rPr>
        <w:t>The complainant receives an acknowledgement within 24 hours. The Quality Manager or duty manager investigates, speaking to the staff and reviewing records involved, and responds within 5 working days with the outcome and, where applicable, what will change.</w:t>
      </w:r>
    </w:p>
    <w:p>
      <w:r>
        <w:rPr>
          <w:rFonts w:ascii="Times New Roman" w:hAnsi="Times New Roman" w:eastAsia="Times New Roman"/>
          <w:b/>
          <w:color w:val="0E2647"/>
          <w:sz w:val="24"/>
        </w:rPr>
        <w:t>7. Serious Complaints and Escalation</w:t>
      </w:r>
    </w:p>
    <w:p>
      <w:r>
        <w:rPr>
          <w:rFonts w:ascii="Times New Roman" w:hAnsi="Times New Roman" w:eastAsia="Times New Roman"/>
          <w:color w:val="1A1A1A"/>
          <w:sz w:val="19"/>
        </w:rPr>
        <w:t>A serious complaint is reported to the General Manager on the day of receipt. The General Manager decides whether to inform insurers, relevant authorities, or the property's owners, and whether an external review is required. The guest is kept informed throughout.</w:t>
      </w:r>
    </w:p>
    <w:p>
      <w:r>
        <w:rPr>
          <w:rFonts w:ascii="Times New Roman" w:hAnsi="Times New Roman" w:eastAsia="Times New Roman"/>
          <w:b/>
          <w:color w:val="0E2647"/>
          <w:sz w:val="24"/>
        </w:rPr>
        <w:t>8. Learning</w:t>
      </w:r>
    </w:p>
    <w:p>
      <w:r>
        <w:rPr>
          <w:rFonts w:ascii="Times New Roman" w:hAnsi="Times New Roman" w:eastAsia="Times New Roman"/>
          <w:color w:val="1A1A1A"/>
          <w:sz w:val="19"/>
        </w:rPr>
        <w:t>The Quality Manager reviews all complaints monthly for themes — by department, time of day, type of issue — and reports quarterly to management review (HTL-GOV-01) with any corrective action raised under HTL-GOV-03.</w:t>
      </w:r>
    </w:p>
    <w:p>
      <w:r>
        <w:rPr>
          <w:rFonts w:ascii="Times New Roman" w:hAnsi="Times New Roman" w:eastAsia="Times New Roman"/>
          <w:b/>
          <w:color w:val="0E2647"/>
          <w:sz w:val="24"/>
        </w:rPr>
        <w:t>9. Distribution of Responsibilities</w:t>
      </w:r>
    </w:p>
    <w:tbl>
      <w:tblPr>
        <w:tblW w:type="auto" w:w="0"/>
        <w:tblLook w:firstColumn="1" w:firstRow="1" w:lastColumn="0" w:lastRow="0" w:noHBand="0" w:noVBand="1" w:val="04A0"/>
      </w:tblPr>
      <w:tblGrid>
        <w:gridCol w:w="1981"/>
        <w:gridCol w:w="1981"/>
        <w:gridCol w:w="1981"/>
        <w:gridCol w:w="1981"/>
        <w:gridCol w:w="1981"/>
      </w:tblGrid>
      <w:tr>
        <w:tc>
          <w:tcPr>
            <w:tcW w:type="dxa" w:w="1981"/>
          </w:tcPr>
          <w:p>
            <w:r>
              <w:rPr>
                <w:rFonts w:ascii="Times New Roman" w:hAnsi="Times New Roman" w:eastAsia="Times New Roman"/>
                <w:b/>
                <w:color w:val="1A1A1A"/>
                <w:sz w:val="18"/>
              </w:rPr>
              <w:t>Task</w:t>
            </w:r>
          </w:p>
        </w:tc>
        <w:tc>
          <w:tcPr>
            <w:tcW w:type="dxa" w:w="1981"/>
          </w:tcPr>
          <w:p>
            <w:r>
              <w:rPr>
                <w:rFonts w:ascii="Times New Roman" w:hAnsi="Times New Roman" w:eastAsia="Times New Roman"/>
                <w:b/>
                <w:color w:val="1A1A1A"/>
                <w:sz w:val="18"/>
              </w:rPr>
              <w:t>General Manager</w:t>
            </w:r>
          </w:p>
        </w:tc>
        <w:tc>
          <w:tcPr>
            <w:tcW w:type="dxa" w:w="1981"/>
          </w:tcPr>
          <w:p>
            <w:r>
              <w:rPr>
                <w:rFonts w:ascii="Times New Roman" w:hAnsi="Times New Roman" w:eastAsia="Times New Roman"/>
                <w:b/>
                <w:color w:val="1A1A1A"/>
                <w:sz w:val="18"/>
              </w:rPr>
              <w:t>Quality Manager</w:t>
            </w:r>
          </w:p>
        </w:tc>
        <w:tc>
          <w:tcPr>
            <w:tcW w:type="dxa" w:w="1981"/>
          </w:tcPr>
          <w:p>
            <w:r>
              <w:rPr>
                <w:rFonts w:ascii="Times New Roman" w:hAnsi="Times New Roman" w:eastAsia="Times New Roman"/>
                <w:b/>
                <w:color w:val="1A1A1A"/>
                <w:sz w:val="18"/>
              </w:rPr>
              <w:t>Duty Manager</w:t>
            </w:r>
          </w:p>
        </w:tc>
        <w:tc>
          <w:tcPr>
            <w:tcW w:type="dxa" w:w="1981"/>
          </w:tcPr>
          <w:p>
            <w:r>
              <w:rPr>
                <w:rFonts w:ascii="Times New Roman" w:hAnsi="Times New Roman" w:eastAsia="Times New Roman"/>
                <w:b/>
                <w:color w:val="1A1A1A"/>
                <w:sz w:val="18"/>
              </w:rPr>
              <w:t>All Staff</w:t>
            </w:r>
          </w:p>
        </w:tc>
      </w:tr>
      <w:tr>
        <w:tc>
          <w:tcPr>
            <w:tcW w:type="dxa" w:w="1981"/>
          </w:tcPr>
          <w:p>
            <w:r>
              <w:rPr>
                <w:rFonts w:ascii="Times New Roman" w:hAnsi="Times New Roman" w:eastAsia="Times New Roman"/>
                <w:b w:val="0"/>
                <w:color w:val="1A1A1A"/>
                <w:sz w:val="18"/>
              </w:rPr>
              <w:t>Serious-complaint decisions</w:t>
            </w:r>
          </w:p>
        </w:tc>
        <w:tc>
          <w:tcPr>
            <w:tcW w:type="dxa" w:w="1981"/>
          </w:tcPr>
          <w:p>
            <w:r>
              <w:rPr>
                <w:rFonts w:ascii="Times New Roman" w:hAnsi="Times New Roman" w:eastAsia="Times New Roman"/>
                <w:b w:val="0"/>
                <w:color w:val="1A1A1A"/>
                <w:sz w:val="18"/>
              </w:rPr>
              <w:t>Responsible</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Investigation and response</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Responsible</w:t>
            </w:r>
          </w:p>
        </w:tc>
        <w:tc>
          <w:tcPr>
            <w:tcW w:type="dxa" w:w="1981"/>
          </w:tcPr>
          <w:p>
            <w:r>
              <w:rPr>
                <w:rFonts w:ascii="Times New Roman" w:hAnsi="Times New Roman" w:eastAsia="Times New Roman"/>
                <w:b w:val="0"/>
                <w:color w:val="1A1A1A"/>
                <w:sz w:val="18"/>
              </w:rPr>
              <w:t>Supports</w:t>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Receiving and logging</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Responsible</w:t>
            </w:r>
          </w:p>
        </w:tc>
      </w:tr>
      <w:tr>
        <w:tc>
          <w:tcPr>
            <w:tcW w:type="dxa" w:w="1981"/>
          </w:tcPr>
          <w:p>
            <w:r>
              <w:rPr>
                <w:rFonts w:ascii="Times New Roman" w:hAnsi="Times New Roman" w:eastAsia="Times New Roman"/>
                <w:b w:val="0"/>
                <w:color w:val="1A1A1A"/>
                <w:sz w:val="18"/>
              </w:rPr>
              <w:t>Trend review</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Responsible</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r>
    </w:tbl>
    <w:p/>
    <w:p>
      <w:r>
        <w:rPr>
          <w:rFonts w:ascii="Times New Roman" w:hAnsi="Times New Roman" w:eastAsia="Times New Roman"/>
          <w:b/>
          <w:color w:val="0E2647"/>
          <w:sz w:val="24"/>
        </w:rPr>
        <w:t>10. Accompanying Documentation</w:t>
      </w:r>
    </w:p>
    <w:tbl>
      <w:tblPr>
        <w:tblW w:type="auto" w:w="0"/>
        <w:tblLook w:firstColumn="1" w:firstRow="1" w:lastColumn="0" w:lastRow="0" w:noHBand="0" w:noVBand="1" w:val="04A0"/>
      </w:tblPr>
      <w:tblGrid>
        <w:gridCol w:w="4953"/>
        <w:gridCol w:w="4953"/>
      </w:tblGrid>
      <w:tr>
        <w:tc>
          <w:tcPr>
            <w:tcW w:type="dxa" w:w="4953"/>
          </w:tcPr>
          <w:p>
            <w:r>
              <w:rPr>
                <w:rFonts w:ascii="Times New Roman" w:hAnsi="Times New Roman" w:eastAsia="Times New Roman"/>
                <w:b/>
                <w:color w:val="1A1A1A"/>
                <w:sz w:val="18"/>
              </w:rPr>
              <w:t>Code</w:t>
            </w:r>
          </w:p>
        </w:tc>
        <w:tc>
          <w:tcPr>
            <w:tcW w:type="dxa" w:w="4953"/>
          </w:tcPr>
          <w:p>
            <w:r>
              <w:rPr>
                <w:rFonts w:ascii="Times New Roman" w:hAnsi="Times New Roman" w:eastAsia="Times New Roman"/>
                <w:b/>
                <w:color w:val="1A1A1A"/>
                <w:sz w:val="18"/>
              </w:rPr>
              <w:t>Title</w:t>
            </w:r>
          </w:p>
        </w:tc>
      </w:tr>
      <w:tr>
        <w:tc>
          <w:tcPr>
            <w:tcW w:type="dxa" w:w="4953"/>
          </w:tcPr>
          <w:p>
            <w:r>
              <w:rPr>
                <w:rFonts w:ascii="Times New Roman" w:hAnsi="Times New Roman" w:eastAsia="Times New Roman"/>
                <w:color w:val="1A1A1A"/>
                <w:sz w:val="18"/>
              </w:rPr>
              <w:t>HTL-GOV-08-F01</w:t>
            </w:r>
          </w:p>
        </w:tc>
        <w:tc>
          <w:tcPr>
            <w:tcW w:type="dxa" w:w="4953"/>
          </w:tcPr>
          <w:p>
            <w:r>
              <w:rPr>
                <w:rFonts w:ascii="Times New Roman" w:hAnsi="Times New Roman" w:eastAsia="Times New Roman"/>
                <w:color w:val="1A1A1A"/>
                <w:sz w:val="18"/>
              </w:rPr>
              <w:t>Guest Complaint Register</w:t>
            </w:r>
          </w:p>
        </w:tc>
      </w:tr>
      <w:tr>
        <w:tc>
          <w:tcPr>
            <w:tcW w:type="dxa" w:w="4953"/>
          </w:tcPr>
          <w:p>
            <w:r>
              <w:rPr>
                <w:rFonts w:ascii="Times New Roman" w:hAnsi="Times New Roman" w:eastAsia="Times New Roman"/>
                <w:color w:val="1A1A1A"/>
                <w:sz w:val="18"/>
              </w:rPr>
              <w:t>HTL-GOV-01</w:t>
            </w:r>
          </w:p>
        </w:tc>
        <w:tc>
          <w:tcPr>
            <w:tcW w:type="dxa" w:w="4953"/>
          </w:tcPr>
          <w:p>
            <w:r>
              <w:rPr>
                <w:rFonts w:ascii="Times New Roman" w:hAnsi="Times New Roman" w:eastAsia="Times New Roman"/>
                <w:color w:val="1A1A1A"/>
                <w:sz w:val="18"/>
              </w:rPr>
              <w:t>Management Review</w:t>
            </w:r>
          </w:p>
        </w:tc>
      </w:tr>
      <w:tr>
        <w:tc>
          <w:tcPr>
            <w:tcW w:type="dxa" w:w="4953"/>
          </w:tcPr>
          <w:p>
            <w:r>
              <w:rPr>
                <w:rFonts w:ascii="Times New Roman" w:hAnsi="Times New Roman" w:eastAsia="Times New Roman"/>
                <w:color w:val="1A1A1A"/>
                <w:sz w:val="18"/>
              </w:rPr>
              <w:t>HTL-GOV-03</w:t>
            </w:r>
          </w:p>
        </w:tc>
        <w:tc>
          <w:tcPr>
            <w:tcW w:type="dxa" w:w="4953"/>
          </w:tcPr>
          <w:p>
            <w:r>
              <w:rPr>
                <w:rFonts w:ascii="Times New Roman" w:hAnsi="Times New Roman" w:eastAsia="Times New Roman"/>
                <w:color w:val="1A1A1A"/>
                <w:sz w:val="18"/>
              </w:rPr>
              <w:t>Nonconformity and Corrective Action</w:t>
            </w:r>
          </w:p>
        </w:tc>
      </w:tr>
    </w:tbl>
    <w:p/>
    <w:p/>
    <w:p>
      <w:r>
        <w:rPr>
          <w:rFonts w:ascii="Times New Roman" w:hAnsi="Times New Roman" w:eastAsia="Times New Roman"/>
          <w:i/>
          <w:color w:val="6B778C"/>
          <w:sz w:val="15"/>
        </w:rPr>
        <w:t>FREE SAMPLE — This document is a complete, unrestricted sample from the ASF ISO 9001 READY documentation pack (Hospitality &amp; Hotel edition), shared so a property can judge the depth and quality of the full pack before purchase. Replace every [BRACKETED] placeholder with your property's own details. The full pack contains the complete document set, forms, master index, and clause crosswalk.</w:t>
      </w:r>
    </w:p>
    <w:tbl>
      <w:tblPr>
        <w:tblW w:type="auto" w:w="0"/>
        <w:tblLook w:firstColumn="1" w:firstRow="1" w:lastColumn="0" w:lastRow="0" w:noHBand="0" w:noVBand="1" w:val="04A0"/>
      </w:tblPr>
      <w:tblGrid>
        <w:gridCol w:w="4953"/>
        <w:gridCol w:w="4953"/>
      </w:tblGrid>
      <w:tr>
        <w:tc>
          <w:tcPr>
            <w:tcW w:type="dxa" w:w="4953"/>
          </w:tcPr>
          <w:p>
            <w:r>
              <w:rPr>
                <w:rFonts w:ascii="Times New Roman" w:hAnsi="Times New Roman" w:eastAsia="Times New Roman"/>
                <w:b/>
                <w:color w:val="1A1A1A"/>
                <w:sz w:val="18"/>
              </w:rPr>
              <w:t>Document Code</w:t>
            </w:r>
          </w:p>
        </w:tc>
        <w:tc>
          <w:tcPr>
            <w:tcW w:type="dxa" w:w="4953"/>
          </w:tcPr>
          <w:p>
            <w:r>
              <w:rPr>
                <w:rFonts w:ascii="Times New Roman" w:hAnsi="Times New Roman" w:eastAsia="Times New Roman"/>
                <w:color w:val="1A1A1A"/>
                <w:sz w:val="18"/>
              </w:rPr>
              <w:t>HTL-GOV-08-EN</w:t>
            </w:r>
          </w:p>
        </w:tc>
      </w:tr>
      <w:tr>
        <w:tc>
          <w:tcPr>
            <w:tcW w:type="dxa" w:w="4953"/>
          </w:tcPr>
          <w:p>
            <w:r>
              <w:rPr>
                <w:rFonts w:ascii="Times New Roman" w:hAnsi="Times New Roman" w:eastAsia="Times New Roman"/>
                <w:b/>
                <w:color w:val="1A1A1A"/>
                <w:sz w:val="18"/>
              </w:rPr>
              <w:t>Title</w:t>
            </w:r>
          </w:p>
        </w:tc>
        <w:tc>
          <w:tcPr>
            <w:tcW w:type="dxa" w:w="4953"/>
          </w:tcPr>
          <w:p>
            <w:r>
              <w:rPr>
                <w:rFonts w:ascii="Times New Roman" w:hAnsi="Times New Roman" w:eastAsia="Times New Roman"/>
                <w:color w:val="1A1A1A"/>
                <w:sz w:val="18"/>
              </w:rPr>
              <w:t>Guest Complaint Handling Procedure</w:t>
            </w:r>
          </w:p>
        </w:tc>
      </w:tr>
      <w:tr>
        <w:tc>
          <w:tcPr>
            <w:tcW w:type="dxa" w:w="4953"/>
          </w:tcPr>
          <w:p>
            <w:r>
              <w:rPr>
                <w:rFonts w:ascii="Times New Roman" w:hAnsi="Times New Roman" w:eastAsia="Times New Roman"/>
                <w:b/>
                <w:color w:val="1A1A1A"/>
                <w:sz w:val="18"/>
              </w:rPr>
              <w:t>Edition</w:t>
            </w:r>
          </w:p>
        </w:tc>
        <w:tc>
          <w:tcPr>
            <w:tcW w:type="dxa" w:w="4953"/>
          </w:tcPr>
          <w:p>
            <w:r>
              <w:rPr>
                <w:rFonts w:ascii="Times New Roman" w:hAnsi="Times New Roman" w:eastAsia="Times New Roman"/>
                <w:color w:val="1A1A1A"/>
                <w:sz w:val="18"/>
              </w:rPr>
              <w:t>1st Edition</w:t>
            </w:r>
          </w:p>
        </w:tc>
      </w:tr>
      <w:tr>
        <w:tc>
          <w:tcPr>
            <w:tcW w:type="dxa" w:w="4953"/>
          </w:tcPr>
          <w:p>
            <w:r>
              <w:rPr>
                <w:rFonts w:ascii="Times New Roman" w:hAnsi="Times New Roman" w:eastAsia="Times New Roman"/>
                <w:b/>
                <w:color w:val="1A1A1A"/>
                <w:sz w:val="18"/>
              </w:rPr>
              <w:t>Copy #</w:t>
            </w:r>
          </w:p>
        </w:tc>
        <w:tc>
          <w:tcPr>
            <w:tcW w:type="dxa" w:w="4953"/>
          </w:tcPr>
          <w:p>
            <w:r>
              <w:rPr>
                <w:rFonts w:ascii="Times New Roman" w:hAnsi="Times New Roman" w:eastAsia="Times New Roman"/>
                <w:color w:val="1A1A1A"/>
                <w:sz w:val="18"/>
              </w:rPr>
              <w:t>___</w:t>
            </w:r>
          </w:p>
        </w:tc>
      </w:tr>
      <w:tr>
        <w:tc>
          <w:tcPr>
            <w:tcW w:type="dxa" w:w="4953"/>
          </w:tcPr>
          <w:p>
            <w:r>
              <w:rPr>
                <w:rFonts w:ascii="Times New Roman" w:hAnsi="Times New Roman" w:eastAsia="Times New Roman"/>
                <w:b/>
                <w:color w:val="1A1A1A"/>
                <w:sz w:val="18"/>
              </w:rPr>
              <w:t>Effective Date</w:t>
            </w:r>
          </w:p>
        </w:tc>
        <w:tc>
          <w:tcPr>
            <w:tcW w:type="dxa" w:w="4953"/>
          </w:tcPr>
          <w:p>
            <w:r>
              <w:rPr>
                <w:rFonts w:ascii="Times New Roman" w:hAnsi="Times New Roman" w:eastAsia="Times New Roman"/>
                <w:color w:val="1A1A1A"/>
                <w:sz w:val="18"/>
              </w:rPr>
              <w:t>[EFFECTIVE DATE]</w:t>
            </w:r>
          </w:p>
        </w:tc>
      </w:tr>
      <w:tr>
        <w:tc>
          <w:tcPr>
            <w:tcW w:type="dxa" w:w="4953"/>
          </w:tcPr>
          <w:p>
            <w:r>
              <w:rPr>
                <w:rFonts w:ascii="Times New Roman" w:hAnsi="Times New Roman" w:eastAsia="Times New Roman"/>
                <w:b/>
                <w:color w:val="1A1A1A"/>
                <w:sz w:val="18"/>
              </w:rPr>
              <w:t>Next Review Date</w:t>
            </w:r>
          </w:p>
        </w:tc>
        <w:tc>
          <w:tcPr>
            <w:tcW w:type="dxa" w:w="4953"/>
          </w:tcPr>
          <w:p>
            <w:r>
              <w:rPr>
                <w:rFonts w:ascii="Times New Roman" w:hAnsi="Times New Roman" w:eastAsia="Times New Roman"/>
                <w:color w:val="1A1A1A"/>
                <w:sz w:val="18"/>
              </w:rPr>
              <w:t>[NEXT REVIEW DATE]</w:t>
            </w:r>
          </w:p>
        </w:tc>
      </w:tr>
      <w:tr>
        <w:tc>
          <w:tcPr>
            <w:tcW w:type="dxa" w:w="4953"/>
          </w:tcPr>
          <w:p>
            <w:r>
              <w:rPr>
                <w:rFonts w:ascii="Times New Roman" w:hAnsi="Times New Roman" w:eastAsia="Times New Roman"/>
                <w:b/>
                <w:color w:val="1A1A1A"/>
                <w:sz w:val="18"/>
              </w:rPr>
              <w:t>Organization</w:t>
            </w:r>
          </w:p>
        </w:tc>
        <w:tc>
          <w:tcPr>
            <w:tcW w:type="dxa" w:w="4953"/>
          </w:tcPr>
          <w:p>
            <w:r>
              <w:rPr>
                <w:rFonts w:ascii="Times New Roman" w:hAnsi="Times New Roman" w:eastAsia="Times New Roman"/>
                <w:color w:val="1A1A1A"/>
                <w:sz w:val="18"/>
              </w:rPr>
              <w:t>[PROPERTY NAME], Georgia</w:t>
            </w:r>
          </w:p>
        </w:tc>
      </w:tr>
    </w:tbl>
    <w:p/>
    <w:tbl>
      <w:tblPr>
        <w:tblW w:type="auto" w:w="0"/>
        <w:tblLook w:firstColumn="1" w:firstRow="1" w:lastColumn="0" w:lastRow="0" w:noHBand="0" w:noVBand="1" w:val="04A0"/>
      </w:tblPr>
      <w:tblGrid>
        <w:gridCol w:w="9906"/>
      </w:tblGrid>
      <w:tr>
        <w:tc>
          <w:tcPr>
            <w:tcW w:type="dxa" w:w="9906"/>
          </w:tcPr>
          <w:p>
            <w:r>
              <w:rPr>
                <w:rFonts w:ascii="Times New Roman" w:hAnsi="Times New Roman" w:eastAsia="Times New Roman"/>
                <w:color w:val="1A1A1A"/>
                <w:sz w:val="18"/>
              </w:rPr>
              <w:t>Approved by</w:t>
              <w:br/>
              <w:t>Director/General Manager, [PROPERTY NAME], Georgia</w:t>
              <w:br/>
              <w:t>[DIRECTOR NAME] ______________________</w:t>
              <w:br/>
              <w:t>Date: __________</w:t>
            </w:r>
          </w:p>
        </w:tc>
      </w:tr>
    </w:tbl>
    <w:p/>
    <w:sectPr w:rsidR="00FC693F" w:rsidRPr="0006063C" w:rsidSect="00034616">
      <w:headerReference w:type="default" r:id="rId9"/>
      <w:footerReference w:type="default" r:id="rId10"/>
      <w:pgSz w:w="11906" w:h="16838"/>
      <w:pgMar w:top="900" w:right="1000" w:bottom="900" w:left="10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Times New Roman" w:hAnsi="Times New Roman" w:eastAsia="Times New Roman"/>
        <w:color w:val="6B778C"/>
        <w:sz w:val="16"/>
      </w:rPr>
      <w:t>Prepared by: [QUALITY MANAGER NAME] · Approved by: [DIRECTOR/GM NAME]</w:t>
      <w:tab/>
      <w:t xml:space="preserve">Effective: [EFFECTIVE DATE] · Page  of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Times New Roman" w:hAnsi="Times New Roman" w:eastAsia="Times New Roman"/>
        <w:color w:val="6B778C"/>
        <w:sz w:val="16"/>
      </w:rPr>
      <w:t>[PROPERTY NAME]</w:t>
      <w:tab/>
      <w:t>HTL-GOV-08-EN · Guest Complaint Handling Procedure</w:t>
      <w:tab/>
      <w:t>Edition 1.0 · Approved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