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ONC-SOP-007:</w:t>
      </w:r>
      <w:r>
        <w:t xml:space="preserve"> </w:t>
      </w:r>
      <w:r>
        <w:t xml:space="preserve">Urgent</w:t>
      </w:r>
      <w:r>
        <w:t xml:space="preserve"> </w:t>
      </w:r>
      <w:r>
        <w:t xml:space="preserve">triage</w:t>
      </w:r>
      <w:r>
        <w:t xml:space="preserve"> </w:t>
      </w:r>
      <w:r>
        <w:t xml:space="preserve">of</w:t>
      </w:r>
      <w:r>
        <w:t xml:space="preserve"> </w:t>
      </w:r>
      <w:r>
        <w:t xml:space="preserve">patients</w:t>
      </w:r>
      <w:r>
        <w:t xml:space="preserve"> </w:t>
      </w:r>
      <w:r>
        <w:t xml:space="preserve">with</w:t>
      </w:r>
      <w:r>
        <w:t xml:space="preserve"> </w:t>
      </w:r>
      <w:r>
        <w:t xml:space="preserve">cancer</w:t>
      </w:r>
    </w:p>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 xml:space="preserve">Organisation name</w:t>
            </w:r>
          </w:p>
          <w:p>
            <w:pPr>
              <w:pStyle w:val="Compact"/>
              <w:jc w:val="left"/>
            </w:pPr>
            <w:r>
              <w:t xml:space="preserve">Site or unit</w:t>
            </w:r>
          </w:p>
        </w:tc>
        <w:tc>
          <w:tcPr>
            <w:gridSpan w:val="2"/>
          </w:tcPr>
          <w:p>
            <w:pPr>
              <w:pStyle w:val="Compact"/>
              <w:jc w:val="left"/>
            </w:pPr>
            <w:r>
              <w:t xml:space="preserve">Standard operating procedure</w:t>
            </w:r>
          </w:p>
          <w:p>
            <w:pPr>
              <w:pStyle w:val="Compact"/>
              <w:jc w:val="left"/>
            </w:pPr>
            <w:r>
              <w:t xml:space="preserve">Urgent triage of patients with cancer</w:t>
            </w:r>
          </w:p>
        </w:tc>
        <w:tc>
          <w:tcPr/>
          <w:p>
            <w:pPr>
              <w:pStyle w:val="Compact"/>
            </w:pPr>
          </w:p>
        </w:tc>
      </w:tr>
      <w:tr>
        <w:tc>
          <w:tcPr/>
          <w:p>
            <w:pPr>
              <w:pStyle w:val="Compact"/>
              <w:jc w:val="left"/>
            </w:pPr>
            <w:r>
              <w:t xml:space="preserve">Document ID</w:t>
            </w:r>
          </w:p>
        </w:tc>
        <w:tc>
          <w:tcPr/>
          <w:p>
            <w:pPr>
              <w:pStyle w:val="Compact"/>
              <w:jc w:val="left"/>
            </w:pPr>
            <w:r>
              <w:t xml:space="preserve">ONC-SOP-007</w:t>
            </w:r>
          </w:p>
        </w:tc>
        <w:tc>
          <w:tcPr/>
          <w:p>
            <w:pPr>
              <w:pStyle w:val="Compact"/>
              <w:jc w:val="left"/>
            </w:pPr>
            <w:r>
              <w:t xml:space="preserve">Version</w:t>
            </w:r>
          </w:p>
        </w:tc>
        <w:tc>
          <w:tcPr/>
          <w:p>
            <w:pPr>
              <w:pStyle w:val="Compact"/>
              <w:jc w:val="left"/>
            </w:pPr>
            <w:r>
              <w:t xml:space="preserve">1.0</w:t>
            </w:r>
          </w:p>
        </w:tc>
      </w:tr>
      <w:tr>
        <w:tc>
          <w:tcPr/>
          <w:p>
            <w:pPr>
              <w:pStyle w:val="Compact"/>
              <w:jc w:val="left"/>
            </w:pPr>
            <w:r>
              <w:t xml:space="preserve">Status</w:t>
            </w:r>
          </w:p>
        </w:tc>
        <w:tc>
          <w:tcPr/>
          <w:p>
            <w:pPr>
              <w:pStyle w:val="Compact"/>
              <w:jc w:val="left"/>
            </w:pPr>
            <w:r>
              <w:t xml:space="preserve">Blank form, to adapt</w:t>
            </w:r>
          </w:p>
        </w:tc>
        <w:tc>
          <w:tcPr/>
          <w:p>
            <w:pPr>
              <w:pStyle w:val="Compact"/>
              <w:jc w:val="left"/>
            </w:pPr>
            <w:r>
              <w:t xml:space="preserve">Issue date</w:t>
            </w:r>
          </w:p>
        </w:tc>
        <w:tc>
          <w:tcPr/>
          <w:p>
            <w:pPr>
              <w:pStyle w:val="Compact"/>
              <w:jc w:val="left"/>
            </w:pPr>
            <w:r>
              <w:t xml:space="preserve"> </w:t>
            </w:r>
          </w:p>
        </w:tc>
      </w:tr>
      <w:tr>
        <w:tc>
          <w:tcPr/>
          <w:p>
            <w:pPr>
              <w:pStyle w:val="Compact"/>
              <w:jc w:val="left"/>
            </w:pPr>
            <w:r>
              <w:t xml:space="preserve">Review date</w:t>
            </w:r>
          </w:p>
        </w:tc>
        <w:tc>
          <w:tcPr/>
          <w:p>
            <w:pPr>
              <w:pStyle w:val="Compact"/>
              <w:jc w:val="left"/>
            </w:pPr>
            <w:r>
              <w:t xml:space="preserve"> </w:t>
            </w:r>
          </w:p>
        </w:tc>
        <w:tc>
          <w:tcPr/>
          <w:p>
            <w:pPr>
              <w:pStyle w:val="Compact"/>
              <w:jc w:val="left"/>
            </w:pPr>
            <w:r>
              <w:t xml:space="preserve">Replaces</w:t>
            </w:r>
          </w:p>
        </w:tc>
        <w:tc>
          <w:tcPr/>
          <w:p>
            <w:pPr>
              <w:pStyle w:val="Compact"/>
              <w:jc w:val="left"/>
            </w:pPr>
            <w:r>
              <w:t xml:space="preserve"> </w:t>
            </w:r>
          </w:p>
        </w:tc>
      </w:tr>
      <w:tr>
        <w:tc>
          <w:tcPr/>
          <w:p>
            <w:pPr>
              <w:pStyle w:val="Compact"/>
              <w:jc w:val="left"/>
            </w:pPr>
            <w:r>
              <w:t xml:space="preserve">Owner</w:t>
            </w:r>
          </w:p>
        </w:tc>
        <w:tc>
          <w:tcPr/>
          <w:p>
            <w:pPr>
              <w:pStyle w:val="Compact"/>
              <w:jc w:val="left"/>
            </w:pPr>
            <w:r>
              <w:t xml:space="preserve"> </w:t>
            </w:r>
          </w:p>
        </w:tc>
        <w:tc>
          <w:tcPr/>
          <w:p>
            <w:pPr>
              <w:pStyle w:val="Compact"/>
              <w:jc w:val="left"/>
            </w:pPr>
            <w:r>
              <w:t xml:space="preserve">Approved by</w:t>
            </w:r>
          </w:p>
        </w:tc>
        <w:tc>
          <w:tcPr/>
          <w:p>
            <w:pPr>
              <w:pStyle w:val="Compact"/>
              <w:jc w:val="left"/>
            </w:pPr>
            <w:r>
              <w:t xml:space="preserve"> </w:t>
            </w:r>
          </w:p>
        </w:tc>
      </w:tr>
      <w:tr>
        <w:tc>
          <w:tcPr/>
          <w:p>
            <w:pPr>
              <w:pStyle w:val="Compact"/>
              <w:jc w:val="left"/>
            </w:pPr>
            <w:r>
              <w:t xml:space="preserve">Signature</w:t>
            </w:r>
          </w:p>
        </w:tc>
        <w:tc>
          <w:tcPr>
            <w:gridSpan w:val="3"/>
          </w:tcPr>
          <w:p>
            <w:pPr>
              <w:pStyle w:val="Compact"/>
              <w:jc w:val="left"/>
            </w:pPr>
            <w:r>
              <w:t xml:space="preserve"> </w:t>
            </w:r>
          </w:p>
        </w:tc>
      </w:tr>
    </w:tbl>
    <w:p>
      <w:pPr>
        <w:pStyle w:val="BodyText"/>
      </w:pPr>
      <w:r>
        <w:t xml:space="preserve">Standard operating procedure (SOP) · ONC-SOP-007 · Version 0.1 · Draft for local review</w:t>
      </w:r>
    </w:p>
    <w:p>
      <w:pPr>
        <w:pStyle w:val="BodyText"/>
      </w:pPr>
      <w:r>
        <w:rPr>
          <w:bCs/>
          <w:b/>
        </w:rPr>
        <w:t xml:space="preserve">Supports:</w:t>
      </w:r>
      <w:r>
        <w:t xml:space="preserve"> </w:t>
      </w:r>
      <w:r>
        <w:t xml:space="preserve">51.8</w:t>
      </w:r>
    </w:p>
    <w:p>
      <w:pPr>
        <w:pStyle w:val="BodyText"/>
      </w:pPr>
      <w:r>
        <w:t xml:space="preserve">At a glance</w:t>
      </w:r>
    </w:p>
    <w:p>
      <w:pPr>
        <w:numPr>
          <w:ilvl w:val="0"/>
          <w:numId w:val="1001"/>
        </w:numPr>
        <w:pStyle w:val="Compact"/>
      </w:pPr>
      <w:r>
        <w:t xml:space="preserve">Every patient who arrives for urgent or emergency care is triaged by clinical urgency within the time set by the facility, using a recognised triage tool.</w:t>
      </w:r>
    </w:p>
    <w:p>
      <w:pPr>
        <w:numPr>
          <w:ilvl w:val="0"/>
          <w:numId w:val="1001"/>
        </w:numPr>
        <w:pStyle w:val="Compact"/>
      </w:pPr>
      <w:r>
        <w:t xml:space="preserve">Oncology red flags are checked at triage: fever with low white cells, spinal cord compression, superior vena cava obstruction, severe bleeding, acute confusion and severe pain.</w:t>
      </w:r>
    </w:p>
    <w:p>
      <w:pPr>
        <w:numPr>
          <w:ilvl w:val="0"/>
          <w:numId w:val="1001"/>
        </w:numPr>
        <w:pStyle w:val="Compact"/>
      </w:pPr>
      <w:r>
        <w:t xml:space="preserve">The most urgent patients are seen first, and the triage category and time are recorded.</w:t>
      </w:r>
    </w:p>
    <w:p>
      <w:pPr>
        <w:numPr>
          <w:ilvl w:val="0"/>
          <w:numId w:val="1001"/>
        </w:numPr>
        <w:pStyle w:val="Compact"/>
      </w:pPr>
      <w:r>
        <w:t xml:space="preserve">Patients whose triage category is not confirmed are re-triaged at set intervals while they wait.</w:t>
      </w:r>
    </w:p>
    <w:p>
      <w:pPr>
        <w:numPr>
          <w:ilvl w:val="0"/>
          <w:numId w:val="1001"/>
        </w:numPr>
        <w:pStyle w:val="Compact"/>
      </w:pPr>
      <w:r>
        <w:t xml:space="preserve">Stop and act at once if: a red flag is present, or a patient's condition changes while waiting.</w:t>
      </w:r>
    </w:p>
    <w:bookmarkStart w:id="20" w:name="purpose"/>
    <w:p>
      <w:pPr>
        <w:pStyle w:val="Heading2"/>
      </w:pPr>
      <w:r>
        <w:t xml:space="preserve">1. Purpose</w:t>
      </w:r>
    </w:p>
    <w:p>
      <w:pPr>
        <w:pStyle w:val="FirstParagraph"/>
      </w:pPr>
      <w:r>
        <w:t xml:space="preserve">To make sure that every patient with cancer who arrives for urgent or emergency care is sorted by clinical urgency, within a set time, and that the most urgent are seen first (51.8).</w:t>
      </w:r>
    </w:p>
    <w:bookmarkEnd w:id="20"/>
    <w:bookmarkStart w:id="21" w:name="scope"/>
    <w:p>
      <w:pPr>
        <w:pStyle w:val="Heading2"/>
      </w:pPr>
      <w:r>
        <w:t xml:space="preserve">2. Scope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Item</w:t>
            </w:r>
          </w:p>
        </w:tc>
        <w:tc>
          <w:tcPr/>
          <w:p>
            <w:pPr>
              <w:pStyle w:val="Compact"/>
              <w:jc w:val="left"/>
            </w:pPr>
            <w:r>
              <w:t xml:space="preserve">Coverage</w:t>
            </w:r>
          </w:p>
        </w:tc>
      </w:tr>
      <w:tr>
        <w:tc>
          <w:tcPr/>
          <w:p>
            <w:pPr>
              <w:pStyle w:val="Compact"/>
              <w:jc w:val="left"/>
            </w:pPr>
            <w:r>
              <w:t xml:space="preserve">Applies to</w:t>
            </w:r>
          </w:p>
        </w:tc>
        <w:tc>
          <w:tcPr/>
          <w:p>
            <w:pPr>
              <w:pStyle w:val="Compact"/>
              <w:jc w:val="left"/>
            </w:pPr>
            <w:r>
              <w:t xml:space="preserve">Triage nurses, emergency and oncology staff, and any staff who see patients with cancer who arrive for care</w:t>
            </w:r>
          </w:p>
        </w:tc>
      </w:tr>
      <w:tr>
        <w:tc>
          <w:tcPr/>
          <w:p>
            <w:pPr>
              <w:pStyle w:val="Compact"/>
              <w:jc w:val="left"/>
            </w:pPr>
            <w:r>
              <w:t xml:space="preserve">Patients</w:t>
            </w:r>
          </w:p>
        </w:tc>
        <w:tc>
          <w:tcPr/>
          <w:p>
            <w:pPr>
              <w:pStyle w:val="Compact"/>
              <w:jc w:val="left"/>
            </w:pPr>
            <w:r>
              <w:t xml:space="preserve">Adults with active or recent cancer, and patients with a cancer-related emergency, presenting to any part of the facility</w:t>
            </w:r>
          </w:p>
        </w:tc>
      </w:tr>
      <w:tr>
        <w:tc>
          <w:tcPr/>
          <w:p>
            <w:pPr>
              <w:pStyle w:val="Compact"/>
              <w:jc w:val="left"/>
            </w:pPr>
            <w:r>
              <w:t xml:space="preserve">Locations</w:t>
            </w:r>
          </w:p>
        </w:tc>
        <w:tc>
          <w:tcPr/>
          <w:p>
            <w:pPr>
              <w:pStyle w:val="Compact"/>
              <w:jc w:val="left"/>
            </w:pPr>
            <w:r>
              <w:t xml:space="preserve">Emergency department, oncology day unit, ward areas, outpatient reception and the on-call service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1"/>
    <w:bookmarkStart w:id="22" w:name="definitions"/>
    <w:p>
      <w:pPr>
        <w:pStyle w:val="Heading2"/>
      </w:pPr>
      <w:r>
        <w:t xml:space="preserve">3. Definitions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Term</w:t>
            </w:r>
          </w:p>
        </w:tc>
        <w:tc>
          <w:tcPr/>
          <w:p>
            <w:pPr>
              <w:pStyle w:val="Compact"/>
              <w:jc w:val="left"/>
            </w:pPr>
            <w:r>
              <w:t xml:space="preserve">Meaning in this SOP</w:t>
            </w:r>
          </w:p>
        </w:tc>
      </w:tr>
      <w:tr>
        <w:tc>
          <w:tcPr/>
          <w:p>
            <w:pPr>
              <w:pStyle w:val="Compact"/>
              <w:jc w:val="left"/>
            </w:pPr>
            <w:r>
              <w:t xml:space="preserve">Triage</w:t>
            </w:r>
          </w:p>
        </w:tc>
        <w:tc>
          <w:tcPr/>
          <w:p>
            <w:pPr>
              <w:pStyle w:val="Compact"/>
              <w:jc w:val="left"/>
            </w:pPr>
            <w:r>
              <w:t xml:space="preserve">The process of sorting patients by clinical urgency so that the most urgent are treated first</w:t>
            </w:r>
          </w:p>
        </w:tc>
      </w:tr>
      <w:tr>
        <w:tc>
          <w:tcPr/>
          <w:p>
            <w:pPr>
              <w:pStyle w:val="Compact"/>
              <w:jc w:val="left"/>
            </w:pPr>
            <w:r>
              <w:t xml:space="preserve">Recognised triage tool</w:t>
            </w:r>
          </w:p>
        </w:tc>
        <w:tc>
          <w:tcPr/>
          <w:p>
            <w:pPr>
              <w:pStyle w:val="Compact"/>
              <w:jc w:val="left"/>
            </w:pPr>
            <w:r>
              <w:t xml:space="preserve">A triage system with validated categories, such as the Manchester Triage System or the Emergency Severity Index, used as set by the facility</w:t>
            </w:r>
          </w:p>
        </w:tc>
      </w:tr>
      <w:tr>
        <w:tc>
          <w:tcPr/>
          <w:p>
            <w:pPr>
              <w:pStyle w:val="Compact"/>
              <w:jc w:val="left"/>
            </w:pPr>
            <w:r>
              <w:t xml:space="preserve">Red flag</w:t>
            </w:r>
          </w:p>
        </w:tc>
        <w:tc>
          <w:tcPr/>
          <w:p>
            <w:pPr>
              <w:pStyle w:val="Compact"/>
              <w:jc w:val="left"/>
            </w:pPr>
            <w:r>
              <w:t xml:space="preserve">A sign that needs immediate action, listed in Section 6</w:t>
            </w:r>
          </w:p>
        </w:tc>
      </w:tr>
      <w:tr>
        <w:tc>
          <w:tcPr/>
          <w:p>
            <w:pPr>
              <w:pStyle w:val="Compact"/>
              <w:jc w:val="left"/>
            </w:pPr>
            <w:r>
              <w:t xml:space="preserve">Time to triage</w:t>
            </w:r>
          </w:p>
        </w:tc>
        <w:tc>
          <w:tcPr/>
          <w:p>
            <w:pPr>
              <w:pStyle w:val="Compact"/>
              <w:jc w:val="left"/>
            </w:pPr>
            <w:r>
              <w:t xml:space="preserve">The time from arrival to a documented triage category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2"/>
    <w:bookmarkStart w:id="23" w:name="background"/>
    <w:p>
      <w:pPr>
        <w:pStyle w:val="Heading2"/>
      </w:pPr>
      <w:r>
        <w:t xml:space="preserve">4. Background</w:t>
      </w:r>
    </w:p>
    <w:p>
      <w:pPr>
        <w:pStyle w:val="FirstParagraph"/>
      </w:pPr>
      <w:r>
        <w:t xml:space="preserve">Patients with cancer can deteriorate quickly from complications of their disease or treatment, and some complications are time-critical. Recognising them at triage, and not treating them as routine, changes outcomes. Patients on chemotherapy with fever can be deeply unwell within hours, even when they look well.</w:t>
      </w:r>
    </w:p>
    <w:bookmarkEnd w:id="23"/>
    <w:bookmarkStart w:id="24" w:name="responsibilities"/>
    <w:p>
      <w:pPr>
        <w:pStyle w:val="Heading2"/>
      </w:pPr>
      <w:r>
        <w:t xml:space="preserve">5. Responsibilities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Triage nurse</w:t>
            </w:r>
          </w:p>
        </w:tc>
        <w:tc>
          <w:tcPr/>
          <w:p>
            <w:pPr>
              <w:pStyle w:val="Compact"/>
              <w:jc w:val="left"/>
            </w:pPr>
            <w:r>
              <w:t xml:space="preserve">Carries out triage within the set time, uses the tool, checks red flags, and re-triages waiting patients</w:t>
            </w:r>
          </w:p>
        </w:tc>
      </w:tr>
      <w:tr>
        <w:tc>
          <w:tcPr/>
          <w:p>
            <w:pPr>
              <w:pStyle w:val="Compact"/>
              <w:jc w:val="left"/>
            </w:pPr>
            <w:r>
              <w:t xml:space="preserve">Triage doctor or senior clinician</w:t>
            </w:r>
          </w:p>
        </w:tc>
        <w:tc>
          <w:tcPr/>
          <w:p>
            <w:pPr>
              <w:pStyle w:val="Compact"/>
              <w:jc w:val="left"/>
            </w:pPr>
            <w:r>
              <w:t xml:space="preserve">Reviews patients in the highest categories and any patient with a red flag</w:t>
            </w:r>
          </w:p>
        </w:tc>
      </w:tr>
      <w:tr>
        <w:tc>
          <w:tcPr/>
          <w:p>
            <w:pPr>
              <w:pStyle w:val="Compact"/>
              <w:jc w:val="left"/>
            </w:pPr>
            <w:r>
              <w:t xml:space="preserve">Oncology on-call clinician</w:t>
            </w:r>
          </w:p>
        </w:tc>
        <w:tc>
          <w:tcPr/>
          <w:p>
            <w:pPr>
              <w:pStyle w:val="Compact"/>
              <w:jc w:val="left"/>
            </w:pPr>
            <w:r>
              <w:t xml:space="preserve">Advises on cancer-specific emergencies and agrees the immediate plan</w:t>
            </w:r>
          </w:p>
        </w:tc>
      </w:tr>
      <w:tr>
        <w:tc>
          <w:tcPr/>
          <w:p>
            <w:pPr>
              <w:pStyle w:val="Compact"/>
              <w:jc w:val="left"/>
            </w:pPr>
            <w:r>
              <w:t xml:space="preserve">Service manager</w:t>
            </w:r>
          </w:p>
        </w:tc>
        <w:tc>
          <w:tcPr/>
          <w:p>
            <w:pPr>
              <w:pStyle w:val="Compact"/>
              <w:jc w:val="left"/>
            </w:pPr>
            <w:r>
              <w:t xml:space="preserve">Keeps the triage tool, the training and the audit in place</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24"/>
    <w:bookmarkStart w:id="25" w:name="red-flags-at-triage"/>
    <w:p>
      <w:pPr>
        <w:pStyle w:val="Heading2"/>
      </w:pPr>
      <w:r>
        <w:t xml:space="preserve">6. Red flags at triage</w:t>
      </w:r>
    </w:p>
    <w:p>
      <w:pPr>
        <w:pStyle w:val="FirstParagraph"/>
      </w:pPr>
      <w:r>
        <w:t xml:space="preserve">A patient with any of these signs is placed in the highest urgency category and the senior clinician is informed immediately:</w:t>
      </w:r>
    </w:p>
    <w:p>
      <w:pPr>
        <w:numPr>
          <w:ilvl w:val="0"/>
          <w:numId w:val="1002"/>
        </w:numPr>
        <w:pStyle w:val="Compact"/>
      </w:pPr>
      <w:r>
        <w:t xml:space="preserve">Fever of 38.0 degrees Celsius or above, or signs of infection, in a patient on chemotherapy or with a low white cell count (follow ONC-SOP-003).</w:t>
      </w:r>
    </w:p>
    <w:p>
      <w:pPr>
        <w:numPr>
          <w:ilvl w:val="0"/>
          <w:numId w:val="1002"/>
        </w:numPr>
        <w:pStyle w:val="Compact"/>
      </w:pPr>
      <w:r>
        <w:t xml:space="preserve">Signs of sepsis: fast breathing, low blood pressure, confusion, mottled skin or low urine output (follow ONC-SOP-008).</w:t>
      </w:r>
    </w:p>
    <w:p>
      <w:pPr>
        <w:numPr>
          <w:ilvl w:val="0"/>
          <w:numId w:val="1002"/>
        </w:numPr>
        <w:pStyle w:val="Compact"/>
      </w:pPr>
      <w:r>
        <w:t xml:space="preserve">Weakness or numbness in the legs, new back pain with bladder or bowel change, which may mean spinal cord compression.</w:t>
      </w:r>
    </w:p>
    <w:p>
      <w:pPr>
        <w:numPr>
          <w:ilvl w:val="0"/>
          <w:numId w:val="1002"/>
        </w:numPr>
        <w:pStyle w:val="Compact"/>
      </w:pPr>
      <w:r>
        <w:t xml:space="preserve">Swelling of the face and neck or arms, with breathlessness, which may mean superior vena cava obstruction.</w:t>
      </w:r>
    </w:p>
    <w:p>
      <w:pPr>
        <w:numPr>
          <w:ilvl w:val="0"/>
          <w:numId w:val="1002"/>
        </w:numPr>
        <w:pStyle w:val="Compact"/>
      </w:pPr>
      <w:r>
        <w:t xml:space="preserve">Severe or uncontrolled bleeding, or vomiting blood.</w:t>
      </w:r>
    </w:p>
    <w:p>
      <w:pPr>
        <w:numPr>
          <w:ilvl w:val="0"/>
          <w:numId w:val="1002"/>
        </w:numPr>
        <w:pStyle w:val="Compact"/>
      </w:pPr>
      <w:r>
        <w:t xml:space="preserve">Acute confusion, drowsiness or seizure.</w:t>
      </w:r>
    </w:p>
    <w:p>
      <w:pPr>
        <w:numPr>
          <w:ilvl w:val="0"/>
          <w:numId w:val="1002"/>
        </w:numPr>
        <w:pStyle w:val="Compact"/>
      </w:pPr>
      <w:r>
        <w:t xml:space="preserve">Severe pain that is not controlled, or pain with a new neurological sign.</w:t>
      </w:r>
    </w:p>
    <w:p>
      <w:pPr>
        <w:numPr>
          <w:ilvl w:val="0"/>
          <w:numId w:val="1002"/>
        </w:numPr>
        <w:pStyle w:val="Compact"/>
      </w:pPr>
      <w:r>
        <w:t xml:space="preserve">Breathlessness at rest or chest pain.</w:t>
      </w:r>
    </w:p>
    <w:p>
      <w:pPr>
        <w:numPr>
          <w:ilvl w:val="0"/>
          <w:numId w:val="1002"/>
        </w:numPr>
        <w:pStyle w:val="Compact"/>
      </w:pPr>
      <w:r>
        <w:t xml:space="preserve">Vomiting or inability to take fluids, with signs of dehydration or high calcium.</w:t>
      </w:r>
    </w:p>
    <w:bookmarkEnd w:id="25"/>
    <w:bookmarkStart w:id="29" w:name="procedure"/>
    <w:p>
      <w:pPr>
        <w:pStyle w:val="Heading2"/>
      </w:pPr>
      <w:r>
        <w:t xml:space="preserve">7. Procedure</w:t>
      </w:r>
    </w:p>
    <w:bookmarkStart w:id="26" w:name="at-arrival"/>
    <w:p>
      <w:pPr>
        <w:pStyle w:val="Heading3"/>
      </w:pPr>
      <w:r>
        <w:t xml:space="preserve">7.1 At arrival</w:t>
      </w:r>
    </w:p>
    <w:p>
      <w:pPr>
        <w:numPr>
          <w:ilvl w:val="0"/>
          <w:numId w:val="1003"/>
        </w:numPr>
        <w:pStyle w:val="Compact"/>
      </w:pPr>
      <w:r>
        <w:t xml:space="preserve">Record the arrival time and the reason for attendance.</w:t>
      </w:r>
    </w:p>
    <w:p>
      <w:pPr>
        <w:numPr>
          <w:ilvl w:val="0"/>
          <w:numId w:val="1003"/>
        </w:numPr>
        <w:pStyle w:val="Compact"/>
      </w:pPr>
      <w:r>
        <w:t xml:space="preserve">Check the red flags in Section 6 at the first contact, before any queue.</w:t>
      </w:r>
    </w:p>
    <w:p>
      <w:pPr>
        <w:numPr>
          <w:ilvl w:val="0"/>
          <w:numId w:val="1003"/>
        </w:numPr>
        <w:pStyle w:val="Compact"/>
      </w:pPr>
      <w:r>
        <w:t xml:space="preserve">Triage the patient using the recognised tool within the facility's set time. Record the category and the time of triage.</w:t>
      </w:r>
    </w:p>
    <w:p>
      <w:pPr>
        <w:numPr>
          <w:ilvl w:val="0"/>
          <w:numId w:val="1003"/>
        </w:numPr>
        <w:pStyle w:val="Compact"/>
      </w:pPr>
      <w:r>
        <w:t xml:space="preserve">Inform the triage doctor or senior clinician of any patient in the highest categories immediately.</w:t>
      </w:r>
    </w:p>
    <w:bookmarkEnd w:id="26"/>
    <w:bookmarkStart w:id="27" w:name="while-waiting"/>
    <w:p>
      <w:pPr>
        <w:pStyle w:val="Heading3"/>
      </w:pPr>
      <w:r>
        <w:t xml:space="preserve">7.2 While waiting</w:t>
      </w:r>
    </w:p>
    <w:p>
      <w:pPr>
        <w:numPr>
          <w:ilvl w:val="0"/>
          <w:numId w:val="1004"/>
        </w:numPr>
        <w:pStyle w:val="Compact"/>
      </w:pPr>
      <w:r>
        <w:t xml:space="preserve">Re-triage every patient who is waiting at the set interval for their category, and at any change.</w:t>
      </w:r>
    </w:p>
    <w:p>
      <w:pPr>
        <w:numPr>
          <w:ilvl w:val="0"/>
          <w:numId w:val="1004"/>
        </w:numPr>
        <w:pStyle w:val="Compact"/>
      </w:pPr>
      <w:r>
        <w:t xml:space="preserve">Give the patient and family clear information about the wait, the reasons for it and what to do if the condition changes.</w:t>
      </w:r>
    </w:p>
    <w:p>
      <w:pPr>
        <w:numPr>
          <w:ilvl w:val="0"/>
          <w:numId w:val="1004"/>
        </w:numPr>
        <w:pStyle w:val="Compact"/>
      </w:pPr>
      <w:r>
        <w:t xml:space="preserve">Record each re-triage with the time and the result.</w:t>
      </w:r>
    </w:p>
    <w:bookmarkEnd w:id="27"/>
    <w:bookmarkStart w:id="28" w:name="patients-who-leave-before-being-seen"/>
    <w:p>
      <w:pPr>
        <w:pStyle w:val="Heading3"/>
      </w:pPr>
      <w:r>
        <w:t xml:space="preserve">7.3 Patients who leave before being seen</w:t>
      </w:r>
    </w:p>
    <w:p>
      <w:pPr>
        <w:numPr>
          <w:ilvl w:val="0"/>
          <w:numId w:val="1005"/>
        </w:numPr>
        <w:pStyle w:val="Compact"/>
      </w:pPr>
      <w:r>
        <w:t xml:space="preserve">Record the time the patient left, and whether they were advised to stay.</w:t>
      </w:r>
    </w:p>
    <w:p>
      <w:pPr>
        <w:numPr>
          <w:ilvl w:val="0"/>
          <w:numId w:val="1005"/>
        </w:numPr>
        <w:pStyle w:val="Compact"/>
      </w:pPr>
      <w:r>
        <w:t xml:space="preserve">Telephone the patient, where contact details exist, within the same working day to check on them and offer a follow-up.</w:t>
      </w:r>
    </w:p>
    <w:bookmarkEnd w:id="28"/>
    <w:bookmarkEnd w:id="29"/>
    <w:bookmarkStart w:id="30" w:name="decision-points"/>
    <w:p>
      <w:pPr>
        <w:pStyle w:val="Heading2"/>
      </w:pPr>
      <w:r>
        <w:t xml:space="preserve">8. Decision points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Situation</w:t>
            </w:r>
          </w:p>
        </w:tc>
        <w:tc>
          <w:tcPr/>
          <w:p>
            <w:pPr>
              <w:pStyle w:val="Compact"/>
              <w:jc w:val="left"/>
            </w:pPr>
            <w:r>
              <w:t xml:space="preserve">Action</w:t>
            </w:r>
          </w:p>
        </w:tc>
      </w:tr>
      <w:tr>
        <w:tc>
          <w:tcPr/>
          <w:p>
            <w:pPr>
              <w:pStyle w:val="Compact"/>
              <w:jc w:val="left"/>
            </w:pPr>
            <w:r>
              <w:t xml:space="preserve">Patient with a red flag is in a low category</w:t>
            </w:r>
          </w:p>
        </w:tc>
        <w:tc>
          <w:tcPr/>
          <w:p>
            <w:pPr>
              <w:pStyle w:val="Compact"/>
              <w:jc w:val="left"/>
            </w:pPr>
            <w:r>
              <w:t xml:space="preserve">Upgrade the category at once and inform the senior clinician</w:t>
            </w:r>
          </w:p>
        </w:tc>
      </w:tr>
      <w:tr>
        <w:tc>
          <w:tcPr/>
          <w:p>
            <w:pPr>
              <w:pStyle w:val="Compact"/>
              <w:jc w:val="left"/>
            </w:pPr>
            <w:r>
              <w:t xml:space="preserve">Patient does not speak the language</w:t>
            </w:r>
          </w:p>
        </w:tc>
        <w:tc>
          <w:tcPr/>
          <w:p>
            <w:pPr>
              <w:pStyle w:val="Compact"/>
              <w:jc w:val="left"/>
            </w:pPr>
            <w:r>
              <w:t xml:space="preserve">Use a professional interpreter during triage. Do not rely on a family member for triage questions</w:t>
            </w:r>
          </w:p>
        </w:tc>
      </w:tr>
      <w:tr>
        <w:tc>
          <w:tcPr/>
          <w:p>
            <w:pPr>
              <w:pStyle w:val="Compact"/>
              <w:jc w:val="left"/>
            </w:pPr>
            <w:r>
              <w:t xml:space="preserve">Patient deteriorates while waiting</w:t>
            </w:r>
          </w:p>
        </w:tc>
        <w:tc>
          <w:tcPr/>
          <w:p>
            <w:pPr>
              <w:pStyle w:val="Compact"/>
              <w:jc w:val="left"/>
            </w:pPr>
            <w:r>
              <w:t xml:space="preserve">Bring the patient to the resuscitation or acute area immediately and inform the senior clinician</w:t>
            </w:r>
          </w:p>
        </w:tc>
      </w:tr>
      <w:tr>
        <w:tc>
          <w:tcPr/>
          <w:p>
            <w:pPr>
              <w:pStyle w:val="Compact"/>
              <w:jc w:val="left"/>
            </w:pPr>
            <w:r>
              <w:t xml:space="preserve">Triage tool cannot be used, for example during a major incident</w:t>
            </w:r>
          </w:p>
        </w:tc>
        <w:tc>
          <w:tcPr/>
          <w:p>
            <w:pPr>
              <w:pStyle w:val="Compact"/>
              <w:jc w:val="left"/>
            </w:pPr>
            <w:r>
              <w:t xml:space="preserve">Use the facility's major incident triage system and record the patient's category</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0"/>
    <w:bookmarkStart w:id="31" w:name="escalation"/>
    <w:p>
      <w:pPr>
        <w:pStyle w:val="Heading2"/>
      </w:pPr>
      <w:r>
        <w:t xml:space="preserve">9. Escalation</w:t>
      </w:r>
    </w:p>
    <w:p>
      <w:pPr>
        <w:numPr>
          <w:ilvl w:val="0"/>
          <w:numId w:val="1006"/>
        </w:numPr>
        <w:pStyle w:val="Compact"/>
      </w:pPr>
      <w:r>
        <w:t xml:space="preserve">Red flag without a senior review within the set time: escalate to the consultant on call.</w:t>
      </w:r>
    </w:p>
    <w:p>
      <w:pPr>
        <w:numPr>
          <w:ilvl w:val="0"/>
          <w:numId w:val="1006"/>
        </w:numPr>
        <w:pStyle w:val="Compact"/>
      </w:pPr>
      <w:r>
        <w:t xml:space="preserve">Delay in triage beyond the set time for a high category: the service manager reviews the cause the same day.</w:t>
      </w:r>
    </w:p>
    <w:p>
      <w:pPr>
        <w:numPr>
          <w:ilvl w:val="0"/>
          <w:numId w:val="1006"/>
        </w:numPr>
        <w:pStyle w:val="Compact"/>
      </w:pPr>
      <w:r>
        <w:t xml:space="preserve">Adverse outcome after a delay: report under INC-SOP-001 within 24 hours.</w:t>
      </w:r>
    </w:p>
    <w:bookmarkEnd w:id="31"/>
    <w:bookmarkStart w:id="32" w:name="monitoring"/>
    <w:p>
      <w:pPr>
        <w:pStyle w:val="Heading2"/>
      </w:pPr>
      <w:r>
        <w:t xml:space="preserve">10. Monitoring</w:t>
      </w:r>
    </w:p>
    <w:p>
      <w:pPr>
        <w:pStyle w:val="FirstParagraph"/>
      </w:pPr>
      <w:r>
        <w:t xml:space="preserve">The service manager audits 30 triage records each month for patients with cancer, and reports results to the emergency and oncology governance meeting each quarter.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Measure</w:t>
            </w:r>
          </w:p>
        </w:tc>
        <w:tc>
          <w:tcPr/>
          <w:p>
            <w:pPr>
              <w:pStyle w:val="Compact"/>
              <w:jc w:val="left"/>
            </w:pPr>
            <w:r>
              <w:t xml:space="preserve">Target</w:t>
            </w:r>
          </w:p>
        </w:tc>
      </w:tr>
      <w:tr>
        <w:tc>
          <w:tcPr/>
          <w:p>
            <w:pPr>
              <w:pStyle w:val="Compact"/>
              <w:jc w:val="left"/>
            </w:pPr>
            <w:r>
              <w:t xml:space="preserve">Patients triaged within the set time</w:t>
            </w:r>
          </w:p>
        </w:tc>
        <w:tc>
          <w:tcPr/>
          <w:p>
            <w:pPr>
              <w:pStyle w:val="Compact"/>
              <w:jc w:val="left"/>
            </w:pPr>
            <w:r>
              <w:t xml:space="preserve">At least 95 percent</w:t>
            </w:r>
          </w:p>
        </w:tc>
      </w:tr>
      <w:tr>
        <w:tc>
          <w:tcPr/>
          <w:p>
            <w:pPr>
              <w:pStyle w:val="Compact"/>
              <w:jc w:val="left"/>
            </w:pPr>
            <w:r>
              <w:t xml:space="preserve">Highest-category patients seen by a senior clinician within the set time</w:t>
            </w:r>
          </w:p>
        </w:tc>
        <w:tc>
          <w:tcPr/>
          <w:p>
            <w:pPr>
              <w:pStyle w:val="Compact"/>
              <w:jc w:val="left"/>
            </w:pPr>
            <w:r>
              <w:t xml:space="preserve">100 percent</w:t>
            </w:r>
          </w:p>
        </w:tc>
      </w:tr>
      <w:tr>
        <w:tc>
          <w:tcPr/>
          <w:p>
            <w:pPr>
              <w:pStyle w:val="Compact"/>
              <w:jc w:val="left"/>
            </w:pPr>
            <w:r>
              <w:t xml:space="preserve">Red flags recorded at first contact</w:t>
            </w:r>
          </w:p>
        </w:tc>
        <w:tc>
          <w:tcPr/>
          <w:p>
            <w:pPr>
              <w:pStyle w:val="Compact"/>
              <w:jc w:val="left"/>
            </w:pPr>
            <w:r>
              <w:t xml:space="preserve">100 percent</w:t>
            </w:r>
          </w:p>
        </w:tc>
      </w:tr>
      <w:tr>
        <w:tc>
          <w:tcPr/>
          <w:p>
            <w:pPr>
              <w:pStyle w:val="Compact"/>
              <w:jc w:val="left"/>
            </w:pPr>
            <w:r>
              <w:t xml:space="preserve">Waiting patients re-triaged at the set interval</w:t>
            </w:r>
          </w:p>
        </w:tc>
        <w:tc>
          <w:tcPr/>
          <w:p>
            <w:pPr>
              <w:pStyle w:val="Compact"/>
              <w:jc w:val="left"/>
            </w:pPr>
            <w:r>
              <w:t xml:space="preserve">100 percent</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2"/>
    <w:bookmarkStart w:id="33" w:name="records"/>
    <w:p>
      <w:pPr>
        <w:pStyle w:val="Heading2"/>
      </w:pPr>
      <w:r>
        <w:t xml:space="preserve">11. Records</w:t>
      </w:r>
    </w:p>
    <w:p>
      <w:pPr>
        <w:numPr>
          <w:ilvl w:val="0"/>
          <w:numId w:val="1007"/>
        </w:numPr>
        <w:pStyle w:val="Compact"/>
      </w:pPr>
      <w:r>
        <w:t xml:space="preserve">Triage record with category and times.</w:t>
      </w:r>
    </w:p>
    <w:p>
      <w:pPr>
        <w:numPr>
          <w:ilvl w:val="0"/>
          <w:numId w:val="1007"/>
        </w:numPr>
        <w:pStyle w:val="Compact"/>
      </w:pPr>
      <w:r>
        <w:t xml:space="preserve">Re-triage record.</w:t>
      </w:r>
    </w:p>
    <w:p>
      <w:pPr>
        <w:numPr>
          <w:ilvl w:val="0"/>
          <w:numId w:val="1007"/>
        </w:numPr>
        <w:pStyle w:val="Compact"/>
      </w:pPr>
      <w:r>
        <w:t xml:space="preserve">Red flag checklist.</w:t>
      </w:r>
    </w:p>
    <w:p>
      <w:pPr>
        <w:numPr>
          <w:ilvl w:val="0"/>
          <w:numId w:val="1007"/>
        </w:numPr>
        <w:pStyle w:val="Compact"/>
      </w:pPr>
      <w:r>
        <w:t xml:space="preserve">Record of patients who left before being seen.</w:t>
      </w:r>
    </w:p>
    <w:bookmarkEnd w:id="33"/>
    <w:bookmarkStart w:id="34" w:name="training"/>
    <w:p>
      <w:pPr>
        <w:pStyle w:val="Heading2"/>
      </w:pPr>
      <w:r>
        <w:t xml:space="preserve">12. Training</w:t>
      </w:r>
    </w:p>
    <w:p>
      <w:pPr>
        <w:pStyle w:val="FirstParagraph"/>
      </w:pPr>
      <w:r>
        <w:t xml:space="preserve">All triage staff complete training on the recognised tool and on cancer red flags at induction, with a practical assessment, and refresh the training every year.</w:t>
      </w:r>
    </w:p>
    <w:bookmarkEnd w:id="34"/>
    <w:bookmarkStart w:id="35" w:name="related-documents"/>
    <w:p>
      <w:pPr>
        <w:pStyle w:val="Heading2"/>
      </w:pPr>
      <w:r>
        <w:t xml:space="preserve">13. Related documents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Code</w:t>
            </w:r>
          </w:p>
        </w:tc>
        <w:tc>
          <w:tcPr/>
          <w:p>
            <w:pPr>
              <w:pStyle w:val="Compact"/>
              <w:jc w:val="left"/>
            </w:pPr>
            <w:r>
              <w:t xml:space="preserve">Document</w:t>
            </w:r>
          </w:p>
        </w:tc>
      </w:tr>
      <w:tr>
        <w:tc>
          <w:tcPr/>
          <w:p>
            <w:pPr>
              <w:pStyle w:val="Compact"/>
              <w:jc w:val="left"/>
            </w:pPr>
            <w:r>
              <w:t xml:space="preserve">ONC-SOP-003</w:t>
            </w:r>
          </w:p>
        </w:tc>
        <w:tc>
          <w:tcPr/>
          <w:p>
            <w:pPr>
              <w:pStyle w:val="Compact"/>
              <w:jc w:val="left"/>
            </w:pPr>
            <w:r>
              <w:t xml:space="preserve">Neutropenic fever response</w:t>
            </w:r>
          </w:p>
        </w:tc>
      </w:tr>
      <w:tr>
        <w:tc>
          <w:tcPr/>
          <w:p>
            <w:pPr>
              <w:pStyle w:val="Compact"/>
              <w:jc w:val="left"/>
            </w:pPr>
            <w:r>
              <w:t xml:space="preserve">ONC-SOP-008</w:t>
            </w:r>
          </w:p>
        </w:tc>
        <w:tc>
          <w:tcPr/>
          <w:p>
            <w:pPr>
              <w:pStyle w:val="Compact"/>
              <w:jc w:val="left"/>
            </w:pPr>
            <w:r>
              <w:t xml:space="preserve">Sepsis recognition in patients with cancer</w:t>
            </w:r>
          </w:p>
        </w:tc>
      </w:tr>
      <w:tr>
        <w:tc>
          <w:tcPr/>
          <w:p>
            <w:pPr>
              <w:pStyle w:val="Compact"/>
              <w:jc w:val="left"/>
            </w:pPr>
            <w:r>
              <w:t xml:space="preserve">ONC-SOP-005</w:t>
            </w:r>
          </w:p>
        </w:tc>
        <w:tc>
          <w:tcPr/>
          <w:p>
            <w:pPr>
              <w:pStyle w:val="Compact"/>
              <w:jc w:val="left"/>
            </w:pPr>
            <w:r>
              <w:t xml:space="preserve">Palliative care integrated with active cancer treatment</w:t>
            </w:r>
          </w:p>
        </w:tc>
      </w:tr>
      <w:tr>
        <w:tc>
          <w:tcPr/>
          <w:p>
            <w:pPr>
              <w:pStyle w:val="Compact"/>
              <w:jc w:val="left"/>
            </w:pPr>
            <w:r>
              <w:t xml:space="preserve">ED-SOP-001</w:t>
            </w:r>
          </w:p>
        </w:tc>
        <w:tc>
          <w:tcPr/>
          <w:p>
            <w:pPr>
              <w:pStyle w:val="Compact"/>
              <w:jc w:val="left"/>
            </w:pPr>
            <w:r>
              <w:t xml:space="preserve">Triage on arrival and waiting rules</w:t>
            </w:r>
          </w:p>
        </w:tc>
      </w:tr>
      <w:tr>
        <w:tc>
          <w:tcPr/>
          <w:p>
            <w:pPr>
              <w:pStyle w:val="Compact"/>
              <w:jc w:val="left"/>
            </w:pPr>
            <w:r>
              <w:t xml:space="preserve">INC-SOP-001</w:t>
            </w:r>
          </w:p>
        </w:tc>
        <w:tc>
          <w:tcPr/>
          <w:p>
            <w:pPr>
              <w:pStyle w:val="Compact"/>
              <w:jc w:val="left"/>
            </w:pPr>
            <w:r>
              <w:t xml:space="preserve">Root cause analysis of serious incidents</w:t>
            </w:r>
          </w:p>
        </w:tc>
      </w:tr>
      <w:tr>
        <w:tc>
          <w:tcPr/>
          <w:p>
            <w:pPr>
              <w:pStyle w:val="Compact"/>
            </w:pPr>
          </w:p>
        </w:tc>
        <w:tc>
          <w:tcPr/>
          <w:p>
            <w:pPr>
              <w:pStyle w:val="Compact"/>
            </w:pPr>
          </w:p>
        </w:tc>
      </w:tr>
      <w:tr>
        <w:tc>
          <w:tcPr/>
          <w:p>
            <w:pPr>
              <w:pStyle w:val="Compact"/>
            </w:pPr>
          </w:p>
        </w:tc>
        <w:tc>
          <w:tcPr/>
          <w:p>
            <w:pPr>
              <w:pStyle w:val="Compact"/>
            </w:pPr>
          </w:p>
        </w:tc>
      </w:tr>
      <w:tr>
        <w:tc>
          <w:tcPr/>
          <w:p>
            <w:pPr>
              <w:pStyle w:val="Compact"/>
            </w:pPr>
          </w:p>
        </w:tc>
        <w:tc>
          <w:tcPr/>
          <w:p>
            <w:pPr>
              <w:pStyle w:val="Compact"/>
            </w:pPr>
          </w:p>
        </w:tc>
      </w:tr>
    </w:tbl>
    <w:bookmarkEnd w:id="35"/>
    <w:bookmarkStart w:id="36" w:name="evidence"/>
    <w:p>
      <w:pPr>
        <w:pStyle w:val="Heading2"/>
      </w:pPr>
      <w:r>
        <w:t xml:space="preserve">14. Evidence</w:t>
      </w:r>
    </w:p>
    <w:p>
      <w:pPr>
        <w:pStyle w:val="FirstParagraph"/>
      </w:pPr>
      <w:r>
        <w:t xml:space="preserve">This SOP is based on the reference sources listed below and on the requirement of criterion 51.8 of the ASF standards. The triage tool and the set times must be confirmed against the facility's chosen tool at each review.</w:t>
      </w:r>
    </w:p>
    <w:bookmarkEnd w:id="36"/>
    <w:bookmarkStart w:id="37" w:name="references"/>
    <w:p>
      <w:pPr>
        <w:pStyle w:val="Heading2"/>
      </w:pPr>
      <w:r>
        <w:t xml:space="preserve">References</w:t>
      </w:r>
    </w:p>
    <w:p>
      <w:pPr>
        <w:numPr>
          <w:ilvl w:val="0"/>
          <w:numId w:val="1008"/>
        </w:numPr>
        <w:pStyle w:val="Compact"/>
      </w:pPr>
      <w:r>
        <w:t xml:space="preserve">Mackway-Jones K, Marsden J, Windle J, editors. Emergency Triage: Manchester Triage System. Current edition.</w:t>
      </w:r>
    </w:p>
    <w:p>
      <w:pPr>
        <w:numPr>
          <w:ilvl w:val="0"/>
          <w:numId w:val="1008"/>
        </w:numPr>
        <w:pStyle w:val="Compact"/>
      </w:pPr>
      <w:r>
        <w:t xml:space="preserve">Emergency Severity Index (ESI) Implementation Handbook. Agency for Healthcare Research and Quality (AHRQ). Current edition.</w:t>
      </w:r>
    </w:p>
    <w:p>
      <w:pPr>
        <w:numPr>
          <w:ilvl w:val="0"/>
          <w:numId w:val="1008"/>
        </w:numPr>
        <w:pStyle w:val="Compact"/>
      </w:pPr>
      <w:r>
        <w:t xml:space="preserve">NICE. NG12: Suspected cancer: recognition and referral. Current edition.</w:t>
      </w:r>
    </w:p>
    <w:p>
      <w:pPr>
        <w:numPr>
          <w:ilvl w:val="0"/>
          <w:numId w:val="1008"/>
        </w:numPr>
        <w:pStyle w:val="Compact"/>
      </w:pPr>
      <w:r>
        <w:t xml:space="preserve">Facility triage policy and set triage times (to be inserted by the unit at adoption).</w:t>
      </w:r>
    </w:p>
    <w:bookmarkEnd w:id="37"/>
    <w:bookmarkStart w:id="41" w:name="change-history"/>
    <w:p>
      <w:pPr>
        <w:pStyle w:val="Heading2"/>
      </w:pPr>
      <w:r>
        <w:t xml:space="preserve">Change history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Change</w:t>
            </w:r>
          </w:p>
        </w:tc>
      </w:tr>
      <w:tr>
        <w:tc>
          <w:tcPr/>
          <w:p>
            <w:pPr>
              <w:pStyle w:val="Compact"/>
              <w:jc w:val="left"/>
            </w:pPr>
            <w:r>
              <w:t xml:space="preserve">0.1</w:t>
            </w:r>
          </w:p>
        </w:tc>
        <w:tc>
          <w:tcPr/>
          <w:p>
            <w:pPr>
              <w:pStyle w:val="Compact"/>
              <w:jc w:val="left"/>
            </w:pPr>
            <w:r>
              <w:t xml:space="preserve">2026-10-26</w:t>
            </w:r>
          </w:p>
        </w:tc>
        <w:tc>
          <w:tcPr/>
          <w:p>
            <w:pPr>
              <w:pStyle w:val="Compact"/>
              <w:jc w:val="left"/>
            </w:pPr>
            <w:r>
              <w:t xml:space="preserve">First draft for review. Not yet approved by the ASF Expert Committee.</w:t>
            </w: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r>
    </w:tbl>
    <w:p>
      <w:pPr>
        <w:pStyle w:val="BodyText"/>
      </w:pPr>
      <w:hyperlink r:id="rId38">
        <w:r>
          <w:rPr>
            <w:rStyle w:val="Hyperlink"/>
          </w:rPr>
          <w:t xml:space="preserve">Download this document as PDF</w:t>
        </w:r>
      </w:hyperlink>
    </w:p>
    <w:p>
      <w:pPr>
        <w:pStyle w:val="BodyText"/>
      </w:pPr>
      <w:hyperlink r:id="rId39">
        <w:r>
          <w:rPr>
            <w:rStyle w:val="Hyperlink"/>
          </w:rPr>
          <w:t xml:space="preserve">Download this document as an editable Word file</w:t>
        </w:r>
      </w:hyperlink>
    </w:p>
    <w:p>
      <w:pPr>
        <w:pStyle w:val="BodyText"/>
      </w:pPr>
      <w:r>
        <w:t xml:space="preserve">Related standard</w:t>
      </w:r>
    </w:p>
    <w:p>
      <w:pPr>
        <w:numPr>
          <w:ilvl w:val="0"/>
          <w:numId w:val="1009"/>
        </w:numPr>
        <w:pStyle w:val="Compact"/>
      </w:pPr>
      <w:hyperlink r:id="rId40">
        <w:r>
          <w:rPr>
            <w:rStyle w:val="Hyperlink"/>
          </w:rPr>
          <w:t xml:space="preserve">Standard 51: Oncology and Cancer Care</w:t>
        </w:r>
      </w:hyperlink>
    </w:p>
    <w:bookmarkEnd w:id="41"/>
    <w:sectPr>
      <w:pgSz w:w="11906" w:h="16838"/>
      <w:pgMar w:left="794" w:right="794" w:top="794" w:bottom="90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0" Type="http://schemas.openxmlformats.org/officeDocument/2006/relationships/hyperlink" Target="https://france-asf.fr/standards/standard-51/" TargetMode="External"/><Relationship Id="rId39" Type="http://schemas.openxmlformats.org/officeDocument/2006/relationships/hyperlink" Target="https://france-asf.fr/wp-content/uploads/2026/10/onc-sop-007.docx" TargetMode="External"/><Relationship Id="rId38" Type="http://schemas.openxmlformats.org/officeDocument/2006/relationships/hyperlink" Target="https://france-asf.fr/wp-content/uploads/2026/10/onc-sop-007.pdf" TargetMode="External"/></Relationships>
</file>

<file path=word/_rels/footnotes.xml.rels><?xml version='1.0' encoding='UTF-8' standalone='yes'?>
<Relationships xmlns="http://schemas.openxmlformats.org/package/2006/relationships"><Relationship Id="rId40" Type="http://schemas.openxmlformats.org/officeDocument/2006/relationships/hyperlink" Target="https://france-asf.fr/standards/standard-51/" TargetMode="External"/><Relationship Id="rId39" Type="http://schemas.openxmlformats.org/officeDocument/2006/relationships/hyperlink" Target="https://france-asf.fr/wp-content/uploads/2026/10/onc-sop-007.docx" TargetMode="External"/><Relationship Id="rId38" Type="http://schemas.openxmlformats.org/officeDocument/2006/relationships/hyperlink" Target="https://france-asf.fr/wp-content/uploads/2026/10/onc-sop-0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ONC-SOP-007: Urgent triage of patients with cancer</dc:title>
  <dc:creator/>
  <cp:keywords/>
  <dcterms:created xsi:type="dcterms:W3CDTF">2026-10-28T21:34:22Z</dcterms:created>
  <dcterms:modified xsi:type="dcterms:W3CDTF">2026-10-28T21:34:22Z</dcterms:modified>
</cp:coreProperties>
</file>

<file path=docProps/custom.xml><?xml version="1.0" encoding="utf-8"?>
<Properties xmlns="http://schemas.openxmlformats.org/officeDocument/2006/custom-properties" xmlns:vt="http://schemas.openxmlformats.org/officeDocument/2006/docPropsVTypes"/>
</file>