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ONC-SOP-008:</w:t>
      </w:r>
      <w:r>
        <w:t xml:space="preserve"> </w:t>
      </w:r>
      <w:r>
        <w:t xml:space="preserve">Sepsis</w:t>
      </w:r>
      <w:r>
        <w:t xml:space="preserve"> </w:t>
      </w:r>
      <w:r>
        <w:t xml:space="preserve">recognition</w:t>
      </w:r>
      <w:r>
        <w:t xml:space="preserve"> </w:t>
      </w:r>
      <w:r>
        <w:t xml:space="preserve">and</w:t>
      </w:r>
      <w:r>
        <w:t xml:space="preserve"> </w:t>
      </w:r>
      <w:r>
        <w:t xml:space="preserve">treatment</w:t>
      </w:r>
      <w:r>
        <w:t xml:space="preserve"> </w:t>
      </w:r>
      <w:r>
        <w:t xml:space="preserve">in</w:t>
      </w:r>
      <w:r>
        <w:t xml:space="preserve"> </w:t>
      </w:r>
      <w:r>
        <w:t xml:space="preserve">patients</w:t>
      </w:r>
      <w:r>
        <w:t xml:space="preserve"> </w:t>
      </w:r>
      <w:r>
        <w:t xml:space="preserve">with</w:t>
      </w:r>
      <w:r>
        <w:t xml:space="preserve"> </w:t>
      </w:r>
      <w:r>
        <w:t xml:space="preserve">cancer</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Sepsis recognition and treatment in patients with cancer</w:t>
            </w:r>
          </w:p>
        </w:tc>
        <w:tc>
          <w:tcPr/>
          <w:p>
            <w:pPr>
              <w:pStyle w:val="Compact"/>
            </w:pPr>
          </w:p>
        </w:tc>
      </w:tr>
      <w:tr>
        <w:tc>
          <w:tcPr/>
          <w:p>
            <w:pPr>
              <w:pStyle w:val="Compact"/>
              <w:jc w:val="left"/>
            </w:pPr>
            <w:r>
              <w:t xml:space="preserve">Document ID</w:t>
            </w:r>
          </w:p>
        </w:tc>
        <w:tc>
          <w:tcPr/>
          <w:p>
            <w:pPr>
              <w:pStyle w:val="Compact"/>
              <w:jc w:val="left"/>
            </w:pPr>
            <w:r>
              <w:t xml:space="preserve">ONC-SOP-008</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ONC-SOP-008 · Version 0.1 · Draft for local review</w:t>
      </w:r>
    </w:p>
    <w:p>
      <w:pPr>
        <w:pStyle w:val="BodyText"/>
      </w:pPr>
      <w:r>
        <w:rPr>
          <w:bCs/>
          <w:b/>
        </w:rPr>
        <w:t xml:space="preserve">Supports:</w:t>
      </w:r>
      <w:r>
        <w:t xml:space="preserve"> </w:t>
      </w:r>
      <w:r>
        <w:t xml:space="preserve">51.9</w:t>
      </w:r>
    </w:p>
    <w:p>
      <w:pPr>
        <w:pStyle w:val="BodyText"/>
      </w:pPr>
      <w:r>
        <w:t xml:space="preserve">At a glance</w:t>
      </w:r>
    </w:p>
    <w:p>
      <w:pPr>
        <w:numPr>
          <w:ilvl w:val="0"/>
          <w:numId w:val="1001"/>
        </w:numPr>
        <w:pStyle w:val="Compact"/>
      </w:pPr>
      <w:r>
        <w:t xml:space="preserve">Every patient with cancer is screened for sepsis at each set observation, using a defined screening tool.</w:t>
      </w:r>
    </w:p>
    <w:p>
      <w:pPr>
        <w:numPr>
          <w:ilvl w:val="0"/>
          <w:numId w:val="1001"/>
        </w:numPr>
        <w:pStyle w:val="Compact"/>
      </w:pPr>
      <w:r>
        <w:t xml:space="preserve">Antibiotics are given within the time set by current sepsis guidance for the level of risk, and the time is recorded.</w:t>
      </w:r>
    </w:p>
    <w:p>
      <w:pPr>
        <w:numPr>
          <w:ilvl w:val="0"/>
          <w:numId w:val="1001"/>
        </w:numPr>
        <w:pStyle w:val="Compact"/>
      </w:pPr>
      <w:r>
        <w:t xml:space="preserve">Patients with fever and low white cell counts follow ONC-SOP-003 in addition to this SOP.</w:t>
      </w:r>
    </w:p>
    <w:p>
      <w:pPr>
        <w:numPr>
          <w:ilvl w:val="0"/>
          <w:numId w:val="1001"/>
        </w:numPr>
        <w:pStyle w:val="Compact"/>
      </w:pPr>
      <w:r>
        <w:t xml:space="preserve">Cultures are taken before antibiotics where this does not delay them.</w:t>
      </w:r>
    </w:p>
    <w:p>
      <w:pPr>
        <w:numPr>
          <w:ilvl w:val="0"/>
          <w:numId w:val="1001"/>
        </w:numPr>
        <w:pStyle w:val="Compact"/>
      </w:pPr>
      <w:r>
        <w:t xml:space="preserve">Stop and treat at once if: a patient has suspected sepsis with low blood pressure, a low level of consciousness, or signs of organ failure.</w:t>
      </w:r>
    </w:p>
    <w:bookmarkStart w:id="20" w:name="purpose"/>
    <w:p>
      <w:pPr>
        <w:pStyle w:val="Heading2"/>
      </w:pPr>
      <w:r>
        <w:t xml:space="preserve">1. Purpose</w:t>
      </w:r>
    </w:p>
    <w:p>
      <w:pPr>
        <w:pStyle w:val="FirstParagraph"/>
      </w:pPr>
      <w:r>
        <w:t xml:space="preserve">To make sure that sepsis is recognised early in patients with cancer, and that treatment, including antibiotics, starts within the time that current guidance sets for the level of risk (51.9).</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All clinical staff who observe, assess or treat patients with cancer, and the on-call team</w:t>
            </w:r>
          </w:p>
        </w:tc>
      </w:tr>
      <w:tr>
        <w:tc>
          <w:tcPr/>
          <w:p>
            <w:pPr>
              <w:pStyle w:val="Compact"/>
              <w:jc w:val="left"/>
            </w:pPr>
            <w:r>
              <w:t xml:space="preserve">Patients</w:t>
            </w:r>
          </w:p>
        </w:tc>
        <w:tc>
          <w:tcPr/>
          <w:p>
            <w:pPr>
              <w:pStyle w:val="Compact"/>
              <w:jc w:val="left"/>
            </w:pPr>
            <w:r>
              <w:t xml:space="preserve">Adults and children with cancer, on or off active treatment, in any part of the facility</w:t>
            </w:r>
          </w:p>
        </w:tc>
      </w:tr>
      <w:tr>
        <w:tc>
          <w:tcPr/>
          <w:p>
            <w:pPr>
              <w:pStyle w:val="Compact"/>
              <w:jc w:val="left"/>
            </w:pPr>
            <w:r>
              <w:t xml:space="preserve">Locations</w:t>
            </w:r>
          </w:p>
        </w:tc>
        <w:tc>
          <w:tcPr/>
          <w:p>
            <w:pPr>
              <w:pStyle w:val="Compact"/>
              <w:jc w:val="left"/>
            </w:pPr>
            <w:r>
              <w:t xml:space="preserve">Oncology day units and wards, medical and surgical wards, emergency department and outpatient clinics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Sepsis</w:t>
            </w:r>
          </w:p>
        </w:tc>
        <w:tc>
          <w:tcPr/>
          <w:p>
            <w:pPr>
              <w:pStyle w:val="Compact"/>
              <w:jc w:val="left"/>
            </w:pPr>
            <w:r>
              <w:t xml:space="preserve">Life-threatening organ dysfunction caused by a dysregulated response to infection, as defined by current international guidance</w:t>
            </w:r>
          </w:p>
        </w:tc>
      </w:tr>
      <w:tr>
        <w:tc>
          <w:tcPr/>
          <w:p>
            <w:pPr>
              <w:pStyle w:val="Compact"/>
              <w:jc w:val="left"/>
            </w:pPr>
            <w:r>
              <w:t xml:space="preserve">Screening tool</w:t>
            </w:r>
          </w:p>
        </w:tc>
        <w:tc>
          <w:tcPr/>
          <w:p>
            <w:pPr>
              <w:pStyle w:val="Compact"/>
              <w:jc w:val="left"/>
            </w:pPr>
            <w:r>
              <w:t xml:space="preserve">A structured score based on observations, used at each set check, such as NEWS2, with a defined threshold that triggers assessment</w:t>
            </w:r>
          </w:p>
        </w:tc>
      </w:tr>
      <w:tr>
        <w:tc>
          <w:tcPr/>
          <w:p>
            <w:pPr>
              <w:pStyle w:val="Compact"/>
              <w:jc w:val="left"/>
            </w:pPr>
            <w:r>
              <w:t xml:space="preserve">Septic shock</w:t>
            </w:r>
          </w:p>
        </w:tc>
        <w:tc>
          <w:tcPr/>
          <w:p>
            <w:pPr>
              <w:pStyle w:val="Compact"/>
              <w:jc w:val="left"/>
            </w:pPr>
            <w:r>
              <w:t xml:space="preserve">Sepsis with persistent low blood pressure needing treatment to maintain it, and a high risk of death</w:t>
            </w:r>
          </w:p>
        </w:tc>
      </w:tr>
      <w:tr>
        <w:tc>
          <w:tcPr/>
          <w:p>
            <w:pPr>
              <w:pStyle w:val="Compact"/>
              <w:jc w:val="left"/>
            </w:pPr>
            <w:r>
              <w:t xml:space="preserve">Neutropenia</w:t>
            </w:r>
          </w:p>
        </w:tc>
        <w:tc>
          <w:tcPr/>
          <w:p>
            <w:pPr>
              <w:pStyle w:val="Compact"/>
              <w:jc w:val="left"/>
            </w:pPr>
            <w:r>
              <w:t xml:space="preserve">A low count of neutrophils, a type of white blood cell, which reduces the body's ability to fight infection</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Patients with cancer are at higher risk of sepsis, and may have fewer typical signs, because of treatment, steroids or low white cell counts. Delay in antibiotics is one of the most common causes of harm in sepsis. Recognition relies on a screening tool used at every set observation, not only when staff are worried.</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Nurse</w:t>
            </w:r>
          </w:p>
        </w:tc>
        <w:tc>
          <w:tcPr/>
          <w:p>
            <w:pPr>
              <w:pStyle w:val="Compact"/>
              <w:jc w:val="left"/>
            </w:pPr>
            <w:r>
              <w:t xml:space="preserve">Carries out observations and the screening tool at each set interval, escalates any positive score, and starts the sepsis care bundle</w:t>
            </w:r>
          </w:p>
        </w:tc>
      </w:tr>
      <w:tr>
        <w:tc>
          <w:tcPr/>
          <w:p>
            <w:pPr>
              <w:pStyle w:val="Compact"/>
              <w:jc w:val="left"/>
            </w:pPr>
            <w:r>
              <w:t xml:space="preserve">Doctor</w:t>
            </w:r>
          </w:p>
        </w:tc>
        <w:tc>
          <w:tcPr/>
          <w:p>
            <w:pPr>
              <w:pStyle w:val="Compact"/>
              <w:jc w:val="left"/>
            </w:pPr>
            <w:r>
              <w:t xml:space="preserve">Reviews any positive screen, confirms the diagnosis, prescribes antibiotics and decides on escalation</w:t>
            </w:r>
          </w:p>
        </w:tc>
      </w:tr>
      <w:tr>
        <w:tc>
          <w:tcPr/>
          <w:p>
            <w:pPr>
              <w:pStyle w:val="Compact"/>
              <w:jc w:val="left"/>
            </w:pPr>
            <w:r>
              <w:t xml:space="preserve">Oncology on-call clinician</w:t>
            </w:r>
          </w:p>
        </w:tc>
        <w:tc>
          <w:tcPr/>
          <w:p>
            <w:pPr>
              <w:pStyle w:val="Compact"/>
              <w:jc w:val="left"/>
            </w:pPr>
            <w:r>
              <w:t xml:space="preserve">Advises on the antibiotic choice for patients with cancer, and on neutropenic patients</w:t>
            </w:r>
          </w:p>
        </w:tc>
      </w:tr>
      <w:tr>
        <w:tc>
          <w:tcPr/>
          <w:p>
            <w:pPr>
              <w:pStyle w:val="Compact"/>
              <w:jc w:val="left"/>
            </w:pPr>
            <w:r>
              <w:t xml:space="preserve">Pharmacist</w:t>
            </w:r>
          </w:p>
        </w:tc>
        <w:tc>
          <w:tcPr/>
          <w:p>
            <w:pPr>
              <w:pStyle w:val="Compact"/>
              <w:jc w:val="left"/>
            </w:pPr>
            <w:r>
              <w:t xml:space="preserve">Advises on antibiotic choice and timing and checks the prescription</w:t>
            </w:r>
          </w:p>
        </w:tc>
      </w:tr>
      <w:tr>
        <w:tc>
          <w:tcPr/>
          <w:p>
            <w:pPr>
              <w:pStyle w:val="Compact"/>
              <w:jc w:val="left"/>
            </w:pPr>
            <w:r>
              <w:t xml:space="preserve">Service manager</w:t>
            </w:r>
          </w:p>
        </w:tc>
        <w:tc>
          <w:tcPr/>
          <w:p>
            <w:pPr>
              <w:pStyle w:val="Compact"/>
              <w:jc w:val="left"/>
            </w:pPr>
            <w:r>
              <w:t xml:space="preserve">Keeps the screening tool and bundle in place, and audits timing</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9" w:name="procedure"/>
    <w:p>
      <w:pPr>
        <w:pStyle w:val="Heading2"/>
      </w:pPr>
      <w:r>
        <w:t xml:space="preserve">6. Procedure</w:t>
      </w:r>
    </w:p>
    <w:bookmarkStart w:id="25" w:name="screening"/>
    <w:p>
      <w:pPr>
        <w:pStyle w:val="Heading3"/>
      </w:pPr>
      <w:r>
        <w:t xml:space="preserve">6.1 Screening</w:t>
      </w:r>
    </w:p>
    <w:p>
      <w:pPr>
        <w:numPr>
          <w:ilvl w:val="0"/>
          <w:numId w:val="1002"/>
        </w:numPr>
        <w:pStyle w:val="Compact"/>
      </w:pPr>
      <w:r>
        <w:t xml:space="preserve">Record the observations and the screening score at each set check, for every patient, using the facility's tool.</w:t>
      </w:r>
    </w:p>
    <w:p>
      <w:pPr>
        <w:numPr>
          <w:ilvl w:val="0"/>
          <w:numId w:val="1002"/>
        </w:numPr>
        <w:pStyle w:val="Compact"/>
      </w:pPr>
      <w:r>
        <w:t xml:space="preserve">Escalate any score at or above the threshold to the doctor immediately, and inform the senior nurse.</w:t>
      </w:r>
    </w:p>
    <w:p>
      <w:pPr>
        <w:numPr>
          <w:ilvl w:val="0"/>
          <w:numId w:val="1002"/>
        </w:numPr>
        <w:pStyle w:val="Compact"/>
      </w:pPr>
      <w:r>
        <w:t xml:space="preserve">Repeat the screen at the interval set for the score, and at any change in the patient's condition.</w:t>
      </w:r>
    </w:p>
    <w:bookmarkEnd w:id="25"/>
    <w:bookmarkStart w:id="26" w:name="sepsis-care-bundle"/>
    <w:p>
      <w:pPr>
        <w:pStyle w:val="Heading3"/>
      </w:pPr>
      <w:r>
        <w:t xml:space="preserve">6.2 Sepsis care bundle</w:t>
      </w:r>
    </w:p>
    <w:p>
      <w:pPr>
        <w:numPr>
          <w:ilvl w:val="0"/>
          <w:numId w:val="1003"/>
        </w:numPr>
        <w:pStyle w:val="Compact"/>
      </w:pPr>
      <w:r>
        <w:t xml:space="preserve">Take blood cultures and any other samples needed before the first antibiotic, if this does not delay the antibiotic.</w:t>
      </w:r>
    </w:p>
    <w:p>
      <w:pPr>
        <w:numPr>
          <w:ilvl w:val="0"/>
          <w:numId w:val="1003"/>
        </w:numPr>
        <w:pStyle w:val="Compact"/>
      </w:pPr>
      <w:r>
        <w:t xml:space="preserve">Give the first dose of broad-spectrum antibiotic within the time set in Section 6.3, using the local antibiotic guideline, adjusted for cancer and neutropenia.</w:t>
      </w:r>
    </w:p>
    <w:p>
      <w:pPr>
        <w:numPr>
          <w:ilvl w:val="0"/>
          <w:numId w:val="1003"/>
        </w:numPr>
        <w:pStyle w:val="Compact"/>
      </w:pPr>
      <w:r>
        <w:t xml:space="preserve">Measure blood lactate where the tool or local policy requires it.</w:t>
      </w:r>
    </w:p>
    <w:p>
      <w:pPr>
        <w:numPr>
          <w:ilvl w:val="0"/>
          <w:numId w:val="1003"/>
        </w:numPr>
        <w:pStyle w:val="Compact"/>
      </w:pPr>
      <w:r>
        <w:t xml:space="preserve">Give intravenous fluids in line with the facility's sepsis guideline, and reassess the patient after each bolus.</w:t>
      </w:r>
    </w:p>
    <w:p>
      <w:pPr>
        <w:numPr>
          <w:ilvl w:val="0"/>
          <w:numId w:val="1003"/>
        </w:numPr>
        <w:pStyle w:val="Compact"/>
      </w:pPr>
      <w:r>
        <w:t xml:space="preserve">Record the time of recognition, the time of antibiotic, and the time of each step of the bundle.</w:t>
      </w:r>
    </w:p>
    <w:bookmarkEnd w:id="26"/>
    <w:bookmarkStart w:id="27" w:name="time-targets"/>
    <w:p>
      <w:pPr>
        <w:pStyle w:val="Heading3"/>
      </w:pPr>
      <w:r>
        <w:t xml:space="preserve">6.3 Time targets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Risk</w:t>
            </w:r>
          </w:p>
        </w:tc>
        <w:tc>
          <w:tcPr/>
          <w:p>
            <w:pPr>
              <w:pStyle w:val="Compact"/>
              <w:jc w:val="left"/>
            </w:pPr>
            <w:r>
              <w:t xml:space="preserve">Target for the first antibiotic dose</w:t>
            </w:r>
          </w:p>
        </w:tc>
      </w:tr>
      <w:tr>
        <w:tc>
          <w:tcPr/>
          <w:p>
            <w:pPr>
              <w:pStyle w:val="Compact"/>
              <w:jc w:val="left"/>
            </w:pPr>
            <w:r>
              <w:t xml:space="preserve">Suspected septic shock, or high likelihood of sepsis</w:t>
            </w:r>
          </w:p>
        </w:tc>
        <w:tc>
          <w:tcPr/>
          <w:p>
            <w:pPr>
              <w:pStyle w:val="Compact"/>
              <w:jc w:val="left"/>
            </w:pPr>
            <w:r>
              <w:t xml:space="preserve">Within one hour of recognition</w:t>
            </w:r>
          </w:p>
        </w:tc>
      </w:tr>
      <w:tr>
        <w:tc>
          <w:tcPr/>
          <w:p>
            <w:pPr>
              <w:pStyle w:val="Compact"/>
              <w:jc w:val="left"/>
            </w:pPr>
            <w:r>
              <w:t xml:space="preserve">Possible sepsis without shock</w:t>
            </w:r>
          </w:p>
        </w:tc>
        <w:tc>
          <w:tcPr/>
          <w:p>
            <w:pPr>
              <w:pStyle w:val="Compact"/>
              <w:jc w:val="left"/>
            </w:pPr>
            <w:r>
              <w:t xml:space="preserve">Within three hours, or sooner if the patient's condition is worsening</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p>
      <w:pPr>
        <w:pStyle w:val="BodyText"/>
      </w:pPr>
      <w:r>
        <w:t xml:space="preserve">These targets follow the Surviving Sepsis Campaign and NICE guidance. The facility must confirm them against the current edition at each review.</w:t>
      </w:r>
    </w:p>
    <w:bookmarkEnd w:id="27"/>
    <w:bookmarkStart w:id="28" w:name="reassessment"/>
    <w:p>
      <w:pPr>
        <w:pStyle w:val="Heading3"/>
      </w:pPr>
      <w:r>
        <w:t xml:space="preserve">6.4 Reassessment</w:t>
      </w:r>
    </w:p>
    <w:p>
      <w:pPr>
        <w:numPr>
          <w:ilvl w:val="0"/>
          <w:numId w:val="1004"/>
        </w:numPr>
        <w:pStyle w:val="Compact"/>
      </w:pPr>
      <w:r>
        <w:t xml:space="preserve">Reassess the patient at the set interval after the first dose, and record the response.</w:t>
      </w:r>
    </w:p>
    <w:p>
      <w:pPr>
        <w:numPr>
          <w:ilvl w:val="0"/>
          <w:numId w:val="1004"/>
        </w:numPr>
        <w:pStyle w:val="Compact"/>
      </w:pPr>
      <w:r>
        <w:t xml:space="preserve">If there is no response in the expected time, escalate to the senior clinician and consider further treatment or intensive care review.</w:t>
      </w:r>
    </w:p>
    <w:bookmarkEnd w:id="28"/>
    <w:bookmarkEnd w:id="29"/>
    <w:bookmarkStart w:id="30" w:name="decision-points"/>
    <w:p>
      <w:pPr>
        <w:pStyle w:val="Heading2"/>
      </w:pPr>
      <w:r>
        <w:t xml:space="preserve">7.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Neutropenic fever</w:t>
            </w:r>
          </w:p>
        </w:tc>
        <w:tc>
          <w:tcPr/>
          <w:p>
            <w:pPr>
              <w:pStyle w:val="Compact"/>
              <w:jc w:val="left"/>
            </w:pPr>
            <w:r>
              <w:t xml:space="preserve">Follow ONC-SOP-003 as well as this SOP. Give antibiotics within the neutropenic fever time target</w:t>
            </w:r>
          </w:p>
        </w:tc>
      </w:tr>
      <w:tr>
        <w:tc>
          <w:tcPr/>
          <w:p>
            <w:pPr>
              <w:pStyle w:val="Compact"/>
              <w:jc w:val="left"/>
            </w:pPr>
            <w:r>
              <w:t xml:space="preserve">Patient with cancer on steroids with no fever but low blood pressure</w:t>
            </w:r>
          </w:p>
        </w:tc>
        <w:tc>
          <w:tcPr/>
          <w:p>
            <w:pPr>
              <w:pStyle w:val="Compact"/>
              <w:jc w:val="left"/>
            </w:pPr>
            <w:r>
              <w:t xml:space="preserve">Treat as possible sepsis until excluded, and escalate</w:t>
            </w:r>
          </w:p>
        </w:tc>
      </w:tr>
      <w:tr>
        <w:tc>
          <w:tcPr/>
          <w:p>
            <w:pPr>
              <w:pStyle w:val="Compact"/>
              <w:jc w:val="left"/>
            </w:pPr>
            <w:r>
              <w:t xml:space="preserve">Allergy to first-line antibiotic</w:t>
            </w:r>
          </w:p>
        </w:tc>
        <w:tc>
          <w:tcPr/>
          <w:p>
            <w:pPr>
              <w:pStyle w:val="Compact"/>
              <w:jc w:val="left"/>
            </w:pPr>
            <w:r>
              <w:t xml:space="preserve">Discuss with the pharmacist and the on-call clinician, and record the allergy and the alternative chosen</w:t>
            </w:r>
          </w:p>
        </w:tc>
      </w:tr>
      <w:tr>
        <w:tc>
          <w:tcPr/>
          <w:p>
            <w:pPr>
              <w:pStyle w:val="Compact"/>
              <w:jc w:val="left"/>
            </w:pPr>
            <w:r>
              <w:t xml:space="preserve">Patient declines treatment</w:t>
            </w:r>
          </w:p>
        </w:tc>
        <w:tc>
          <w:tcPr/>
          <w:p>
            <w:pPr>
              <w:pStyle w:val="Compact"/>
              <w:jc w:val="left"/>
            </w:pPr>
            <w:r>
              <w:t xml:space="preserve">Explain the risks, record the decision and capacity assessment, and inform the senior clinician</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0"/>
    <w:bookmarkStart w:id="31" w:name="escalation"/>
    <w:p>
      <w:pPr>
        <w:pStyle w:val="Heading2"/>
      </w:pPr>
      <w:r>
        <w:t xml:space="preserve">8. Escalation</w:t>
      </w:r>
    </w:p>
    <w:p>
      <w:pPr>
        <w:numPr>
          <w:ilvl w:val="0"/>
          <w:numId w:val="1005"/>
        </w:numPr>
        <w:pStyle w:val="Compact"/>
      </w:pPr>
      <w:r>
        <w:t xml:space="preserve">Septic shock or organ failure: call the critical care outreach or intensive care team at once.</w:t>
      </w:r>
    </w:p>
    <w:p>
      <w:pPr>
        <w:numPr>
          <w:ilvl w:val="0"/>
          <w:numId w:val="1005"/>
        </w:numPr>
        <w:pStyle w:val="Compact"/>
      </w:pPr>
      <w:r>
        <w:t xml:space="preserve">Antibiotic not given within the target: inform the senior clinician, and report under INC-SOP-001 within 24 hours.</w:t>
      </w:r>
    </w:p>
    <w:p>
      <w:pPr>
        <w:numPr>
          <w:ilvl w:val="0"/>
          <w:numId w:val="1005"/>
        </w:numPr>
        <w:pStyle w:val="Compact"/>
      </w:pPr>
      <w:r>
        <w:t xml:space="preserve">Delay caused by lack of staff or equipment: inform the service manager the same shift.</w:t>
      </w:r>
    </w:p>
    <w:bookmarkEnd w:id="31"/>
    <w:bookmarkStart w:id="32" w:name="monitoring"/>
    <w:p>
      <w:pPr>
        <w:pStyle w:val="Heading2"/>
      </w:pPr>
      <w:r>
        <w:t xml:space="preserve">9. Monitoring</w:t>
      </w:r>
    </w:p>
    <w:p>
      <w:pPr>
        <w:pStyle w:val="FirstParagraph"/>
      </w:pPr>
      <w:r>
        <w:t xml:space="preserve">The service manager audits 20 sepsis episodes each quarter for screening, time to antibiotic and bundle completion, and reports results to the oncology governance meeting.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Patients screened at each set interval</w:t>
            </w:r>
          </w:p>
        </w:tc>
        <w:tc>
          <w:tcPr/>
          <w:p>
            <w:pPr>
              <w:pStyle w:val="Compact"/>
              <w:jc w:val="left"/>
            </w:pPr>
            <w:r>
              <w:t xml:space="preserve">At least 95 percent</w:t>
            </w:r>
          </w:p>
        </w:tc>
      </w:tr>
      <w:tr>
        <w:tc>
          <w:tcPr/>
          <w:p>
            <w:pPr>
              <w:pStyle w:val="Compact"/>
              <w:jc w:val="left"/>
            </w:pPr>
            <w:r>
              <w:t xml:space="preserve">Antibiotic given within the target time for the risk category</w:t>
            </w:r>
          </w:p>
        </w:tc>
        <w:tc>
          <w:tcPr/>
          <w:p>
            <w:pPr>
              <w:pStyle w:val="Compact"/>
              <w:jc w:val="left"/>
            </w:pPr>
            <w:r>
              <w:t xml:space="preserve">At least 90 percent</w:t>
            </w:r>
          </w:p>
        </w:tc>
      </w:tr>
      <w:tr>
        <w:tc>
          <w:tcPr/>
          <w:p>
            <w:pPr>
              <w:pStyle w:val="Compact"/>
              <w:jc w:val="left"/>
            </w:pPr>
            <w:r>
              <w:t xml:space="preserve">Bundle completed and recorded</w:t>
            </w:r>
          </w:p>
        </w:tc>
        <w:tc>
          <w:tcPr/>
          <w:p>
            <w:pPr>
              <w:pStyle w:val="Compact"/>
              <w:jc w:val="left"/>
            </w:pPr>
            <w:r>
              <w:t xml:space="preserve">At least 90 percent</w:t>
            </w:r>
          </w:p>
        </w:tc>
      </w:tr>
      <w:tr>
        <w:tc>
          <w:tcPr/>
          <w:p>
            <w:pPr>
              <w:pStyle w:val="Compact"/>
              <w:jc w:val="left"/>
            </w:pPr>
            <w:r>
              <w:t xml:space="preserve">Time of recognition and antibiotic recorded</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2"/>
    <w:bookmarkStart w:id="33" w:name="records"/>
    <w:p>
      <w:pPr>
        <w:pStyle w:val="Heading2"/>
      </w:pPr>
      <w:r>
        <w:t xml:space="preserve">10. Records</w:t>
      </w:r>
    </w:p>
    <w:p>
      <w:pPr>
        <w:numPr>
          <w:ilvl w:val="0"/>
          <w:numId w:val="1006"/>
        </w:numPr>
        <w:pStyle w:val="Compact"/>
      </w:pPr>
      <w:r>
        <w:t xml:space="preserve">Observation and screening record, with each score.</w:t>
      </w:r>
    </w:p>
    <w:p>
      <w:pPr>
        <w:numPr>
          <w:ilvl w:val="0"/>
          <w:numId w:val="1006"/>
        </w:numPr>
        <w:pStyle w:val="Compact"/>
      </w:pPr>
      <w:r>
        <w:t xml:space="preserve">Sepsis bundle record, with times.</w:t>
      </w:r>
    </w:p>
    <w:p>
      <w:pPr>
        <w:numPr>
          <w:ilvl w:val="0"/>
          <w:numId w:val="1006"/>
        </w:numPr>
        <w:pStyle w:val="Compact"/>
      </w:pPr>
      <w:r>
        <w:t xml:space="preserve">Antibiotic prescription and administration record.</w:t>
      </w:r>
    </w:p>
    <w:p>
      <w:pPr>
        <w:numPr>
          <w:ilvl w:val="0"/>
          <w:numId w:val="1006"/>
        </w:numPr>
        <w:pStyle w:val="Compact"/>
      </w:pPr>
      <w:r>
        <w:t xml:space="preserve">Culture results and follow-up.</w:t>
      </w:r>
    </w:p>
    <w:bookmarkEnd w:id="33"/>
    <w:bookmarkStart w:id="34" w:name="training"/>
    <w:p>
      <w:pPr>
        <w:pStyle w:val="Heading2"/>
      </w:pPr>
      <w:r>
        <w:t xml:space="preserve">11. Training</w:t>
      </w:r>
    </w:p>
    <w:p>
      <w:pPr>
        <w:pStyle w:val="FirstParagraph"/>
      </w:pPr>
      <w:r>
        <w:t xml:space="preserve">All nurses and doctors who observe patients with cancer complete sepsis training at induction, and every year, with a practical assessment of the screening tool and bundle.</w:t>
      </w:r>
    </w:p>
    <w:bookmarkEnd w:id="34"/>
    <w:bookmarkStart w:id="35" w:name="related-documents"/>
    <w:p>
      <w:pPr>
        <w:pStyle w:val="Heading2"/>
      </w:pPr>
      <w:r>
        <w:t xml:space="preserve">12.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ONC-SOP-003</w:t>
            </w:r>
          </w:p>
        </w:tc>
        <w:tc>
          <w:tcPr/>
          <w:p>
            <w:pPr>
              <w:pStyle w:val="Compact"/>
              <w:jc w:val="left"/>
            </w:pPr>
            <w:r>
              <w:t xml:space="preserve">Neutropenic fever response</w:t>
            </w:r>
          </w:p>
        </w:tc>
      </w:tr>
      <w:tr>
        <w:tc>
          <w:tcPr/>
          <w:p>
            <w:pPr>
              <w:pStyle w:val="Compact"/>
              <w:jc w:val="left"/>
            </w:pPr>
            <w:r>
              <w:t xml:space="preserve">ONC-SOP-007</w:t>
            </w:r>
          </w:p>
        </w:tc>
        <w:tc>
          <w:tcPr/>
          <w:p>
            <w:pPr>
              <w:pStyle w:val="Compact"/>
              <w:jc w:val="left"/>
            </w:pPr>
            <w:r>
              <w:t xml:space="preserve">Urgent triage of patients with cancer</w:t>
            </w:r>
          </w:p>
        </w:tc>
      </w:tr>
      <w:tr>
        <w:tc>
          <w:tcPr/>
          <w:p>
            <w:pPr>
              <w:pStyle w:val="Compact"/>
              <w:jc w:val="left"/>
            </w:pPr>
            <w:r>
              <w:t xml:space="preserve">ONC-SOP-006</w:t>
            </w:r>
          </w:p>
        </w:tc>
        <w:tc>
          <w:tcPr/>
          <w:p>
            <w:pPr>
              <w:pStyle w:val="Compact"/>
              <w:jc w:val="left"/>
            </w:pPr>
            <w:r>
              <w:t xml:space="preserve">High-alert medicines on every ward</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5"/>
    <w:bookmarkStart w:id="36" w:name="evidence"/>
    <w:p>
      <w:pPr>
        <w:pStyle w:val="Heading2"/>
      </w:pPr>
      <w:r>
        <w:t xml:space="preserve">13. Evidence</w:t>
      </w:r>
    </w:p>
    <w:p>
      <w:pPr>
        <w:pStyle w:val="FirstParagraph"/>
      </w:pPr>
      <w:r>
        <w:t xml:space="preserve">This SOP is based on the reference sources listed below and on the requirement of criterion 51.9 of the ASF standards. The screening tool, time targets and bundle must be confirmed against the current sepsis guideline at each review.</w:t>
      </w:r>
    </w:p>
    <w:bookmarkEnd w:id="36"/>
    <w:bookmarkStart w:id="37" w:name="references"/>
    <w:p>
      <w:pPr>
        <w:pStyle w:val="Heading2"/>
      </w:pPr>
      <w:r>
        <w:t xml:space="preserve">References</w:t>
      </w:r>
    </w:p>
    <w:p>
      <w:pPr>
        <w:numPr>
          <w:ilvl w:val="0"/>
          <w:numId w:val="1007"/>
        </w:numPr>
        <w:pStyle w:val="Compact"/>
      </w:pPr>
      <w:r>
        <w:t xml:space="preserve">Evans L, Rhodes A, Alhazzani W, et al. Surviving Sepsis Campaign: International Guidelines for Management of Sepsis and Septic Shock 2021. Critical Care Medicine. 2021.</w:t>
      </w:r>
    </w:p>
    <w:p>
      <w:pPr>
        <w:numPr>
          <w:ilvl w:val="0"/>
          <w:numId w:val="1007"/>
        </w:numPr>
        <w:pStyle w:val="Compact"/>
      </w:pPr>
      <w:r>
        <w:t xml:space="preserve">NICE. NG51: Sepsis: recognition, diagnosis and early management. Current edition.</w:t>
      </w:r>
    </w:p>
    <w:p>
      <w:pPr>
        <w:numPr>
          <w:ilvl w:val="0"/>
          <w:numId w:val="1007"/>
        </w:numPr>
        <w:pStyle w:val="Compact"/>
      </w:pPr>
      <w:r>
        <w:t xml:space="preserve">Facility sepsis screening tool and antibiotic guideline (to be inserted by the unit at adoption).</w:t>
      </w:r>
    </w:p>
    <w:bookmarkEnd w:id="37"/>
    <w:bookmarkStart w:id="41"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8">
        <w:r>
          <w:rPr>
            <w:rStyle w:val="Hyperlink"/>
          </w:rPr>
          <w:t xml:space="preserve">Download this document as PDF</w:t>
        </w:r>
      </w:hyperlink>
    </w:p>
    <w:p>
      <w:pPr>
        <w:pStyle w:val="BodyText"/>
      </w:pPr>
      <w:hyperlink r:id="rId39">
        <w:r>
          <w:rPr>
            <w:rStyle w:val="Hyperlink"/>
          </w:rPr>
          <w:t xml:space="preserve">Download this document as an editable Word file</w:t>
        </w:r>
      </w:hyperlink>
    </w:p>
    <w:p>
      <w:pPr>
        <w:pStyle w:val="BodyText"/>
      </w:pPr>
      <w:r>
        <w:t xml:space="preserve">Related standard</w:t>
      </w:r>
    </w:p>
    <w:p>
      <w:pPr>
        <w:numPr>
          <w:ilvl w:val="0"/>
          <w:numId w:val="1008"/>
        </w:numPr>
        <w:pStyle w:val="Compact"/>
      </w:pPr>
      <w:hyperlink r:id="rId40">
        <w:r>
          <w:rPr>
            <w:rStyle w:val="Hyperlink"/>
          </w:rPr>
          <w:t xml:space="preserve">Standard 51: Oncology and Cancer Care</w:t>
        </w:r>
      </w:hyperlink>
    </w:p>
    <w:bookmarkEnd w:id="41"/>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https://france-asf.fr/standards/standard-51/" TargetMode="External"/><Relationship Id="rId39" Type="http://schemas.openxmlformats.org/officeDocument/2006/relationships/hyperlink" Target="https://france-asf.fr/wp-content/uploads/2026/10/onc-sop-008.docx" TargetMode="External"/><Relationship Id="rId38" Type="http://schemas.openxmlformats.org/officeDocument/2006/relationships/hyperlink" Target="https://france-asf.fr/wp-content/uploads/2026/10/onc-sop-008.pdf"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france-asf.fr/standards/standard-51/" TargetMode="External"/><Relationship Id="rId39" Type="http://schemas.openxmlformats.org/officeDocument/2006/relationships/hyperlink" Target="https://france-asf.fr/wp-content/uploads/2026/10/onc-sop-008.docx" TargetMode="External"/><Relationship Id="rId38" Type="http://schemas.openxmlformats.org/officeDocument/2006/relationships/hyperlink" Target="https://france-asf.fr/wp-content/uploads/2026/10/onc-sop-0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ONC-SOP-008: Sepsis recognition and treatment in patients with cancer</dc:title>
  <dc:creator/>
  <cp:keywords/>
  <dcterms:created xsi:type="dcterms:W3CDTF">2026-10-28T21:34:22Z</dcterms:created>
  <dcterms:modified xsi:type="dcterms:W3CDTF">2026-10-28T21:34:22Z</dcterms:modified>
</cp:coreProperties>
</file>

<file path=docProps/custom.xml><?xml version="1.0" encoding="utf-8"?>
<Properties xmlns="http://schemas.openxmlformats.org/officeDocument/2006/custom-properties" xmlns:vt="http://schemas.openxmlformats.org/officeDocument/2006/docPropsVTypes"/>
</file>