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PHC-FRM-002:</w:t>
      </w:r>
      <w:r>
        <w:t xml:space="preserve"> </w:t>
      </w:r>
      <w:r>
        <w:t xml:space="preserve">Chronic</w:t>
      </w:r>
      <w:r>
        <w:t xml:space="preserve"> </w:t>
      </w:r>
      <w:r>
        <w:t xml:space="preserve">care</w:t>
      </w:r>
      <w:r>
        <w:t xml:space="preserve"> </w:t>
      </w:r>
      <w:r>
        <w:t xml:space="preserve">plan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Chronic care plan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PHC-FRM-002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PHC-FRM-002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S3 (Primary care practice), criterion S3.5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The written plan for a patient with a chronic condition, with targets, measures and the review interval.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Complete with the patient.</w:t>
      </w:r>
    </w:p>
    <w:p>
      <w:pPr>
        <w:numPr>
          <w:ilvl w:val="0"/>
          <w:numId w:val="1001"/>
        </w:numPr>
        <w:pStyle w:val="Compact"/>
      </w:pPr>
      <w:r>
        <w:t xml:space="preserve">Set the measures and targets.</w:t>
      </w:r>
    </w:p>
    <w:p>
      <w:pPr>
        <w:numPr>
          <w:ilvl w:val="0"/>
          <w:numId w:val="1001"/>
        </w:numPr>
        <w:pStyle w:val="Compact"/>
      </w:pPr>
      <w:r>
        <w:t xml:space="preserve">Set the review interval and the next recall date.</w:t>
      </w:r>
    </w:p>
    <w:bookmarkEnd w:id="23"/>
    <w:bookmarkStart w:id="24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Condition and diagnosis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Measures and targets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interval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agrees the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59: Outpatient Medical Specialties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9/" TargetMode="External"/><Relationship Id="rId27" Type="http://schemas.openxmlformats.org/officeDocument/2006/relationships/hyperlink" Target="https://france-asf.fr/wp-content/uploads/2026/10/phc-frm-002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9/" TargetMode="External"/><Relationship Id="rId27" Type="http://schemas.openxmlformats.org/officeDocument/2006/relationships/hyperlink" Target="https://france-asf.fr/wp-content/uploads/2026/10/phc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PHC-FRM-002: Chronic care plan</dc:title>
  <dc:creator/>
  <cp:keywords/>
  <dcterms:created xsi:type="dcterms:W3CDTF">2026-10-28T21:34:31Z</dcterms:created>
  <dcterms:modified xsi:type="dcterms:W3CDTF">2026-10-28T21:34:31Z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