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PTR-SOP-009:</w:t>
      </w:r>
      <w:r>
        <w:t xml:space="preserve"> </w:t>
      </w:r>
      <w:r>
        <w:t xml:space="preserve">Crew</w:t>
      </w:r>
      <w:r>
        <w:t xml:space="preserve"> </w:t>
      </w:r>
      <w:r>
        <w:t xml:space="preserve">exposure</w:t>
      </w:r>
      <w:r>
        <w:t xml:space="preserve"> </w:t>
      </w:r>
      <w:r>
        <w:t xml:space="preserve">to</w:t>
      </w:r>
      <w:r>
        <w:t xml:space="preserve"> </w:t>
      </w:r>
      <w:r>
        <w:t xml:space="preserve">blood,</w:t>
      </w:r>
      <w:r>
        <w:t xml:space="preserve"> </w:t>
      </w:r>
      <w:r>
        <w:t xml:space="preserve">needle</w:t>
      </w:r>
      <w:r>
        <w:t xml:space="preserve"> </w:t>
      </w:r>
      <w:r>
        <w:t xml:space="preserve">injury</w:t>
      </w:r>
      <w:r>
        <w:t xml:space="preserve"> </w:t>
      </w:r>
      <w:r>
        <w:t xml:space="preserve">or</w:t>
      </w:r>
      <w:r>
        <w:t xml:space="preserve"> </w:t>
      </w:r>
      <w:r>
        <w:t xml:space="preserve">infection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Organisation name</w:t>
            </w:r>
          </w:p>
          <w:p>
            <w:pPr>
              <w:pStyle w:val="Compact"/>
              <w:jc w:val="left"/>
            </w:pPr>
            <w:r>
              <w:t xml:space="preserve">Site or unit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Standard operating procedure</w:t>
            </w:r>
          </w:p>
          <w:p>
            <w:pPr>
              <w:pStyle w:val="Compact"/>
              <w:jc w:val="left"/>
            </w:pPr>
            <w:r>
              <w:t xml:space="preserve">Crew exposure to blood, needle injury or infection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Document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PTR-SOP-009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Status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Blank form, to adapt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Issue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Review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Replaces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Owner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Approved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Signature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</w:t>
      </w:r>
      <w:r>
        <w:t xml:space="preserve">›</w:t>
      </w:r>
      <w:r>
        <w:t xml:space="preserve"> </w:t>
      </w:r>
      <w:r>
        <w:t xml:space="preserve">Standard S6</w:t>
      </w:r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Standard operating procedures (SOPs)</w:t>
        </w:r>
      </w:hyperlink>
    </w:p>
    <w:p>
      <w:pPr>
        <w:pStyle w:val="BodyText"/>
      </w:pPr>
      <w:r>
        <w:t xml:space="preserve">Standard operating procedure (SOP) · PTR-SOP-009 · Version 1.0 · Approved by the ASF Expert Committee</w:t>
      </w:r>
    </w:p>
    <w:p>
      <w:pPr>
        <w:pStyle w:val="BodyText"/>
      </w:pPr>
      <w:r>
        <w:rPr>
          <w:bCs/>
          <w:b/>
        </w:rPr>
        <w:t xml:space="preserve">Supports:</w:t>
      </w:r>
      <w:r>
        <w:t xml:space="preserve"> </w:t>
      </w:r>
      <w:r>
        <w:t xml:space="preserve">System S6 (Patient transfers and referrals), criterion S6.40</w:t>
      </w:r>
    </w:p>
    <w:p>
      <w:pPr>
        <w:pStyle w:val="BodyText"/>
      </w:pPr>
      <w:r>
        <w:t xml:space="preserve">At a glance</w:t>
      </w:r>
    </w:p>
    <w:p>
      <w:pPr>
        <w:numPr>
          <w:ilvl w:val="0"/>
          <w:numId w:val="1001"/>
        </w:numPr>
        <w:pStyle w:val="Compact"/>
      </w:pPr>
      <w:r>
        <w:t xml:space="preserve">A crew member exposed to blood, a needle injury or infection follows the set response at once.</w:t>
      </w:r>
    </w:p>
    <w:p>
      <w:pPr>
        <w:numPr>
          <w:ilvl w:val="0"/>
          <w:numId w:val="1001"/>
        </w:numPr>
        <w:pStyle w:val="Compact"/>
      </w:pPr>
      <w:r>
        <w:t xml:space="preserve">Wash or flush the site and report to the crew lead the same hour.</w:t>
      </w:r>
    </w:p>
    <w:p>
      <w:pPr>
        <w:numPr>
          <w:ilvl w:val="0"/>
          <w:numId w:val="1001"/>
        </w:numPr>
        <w:pStyle w:val="Compact"/>
      </w:pPr>
      <w:r>
        <w:t xml:space="preserve">Arrange a clinical review and any post-exposure treatment within the set time.</w:t>
      </w:r>
    </w:p>
    <w:p>
      <w:pPr>
        <w:numPr>
          <w:ilvl w:val="0"/>
          <w:numId w:val="1001"/>
        </w:numPr>
        <w:pStyle w:val="Compact"/>
      </w:pPr>
      <w:r>
        <w:t xml:space="preserve">Record the exposure.</w:t>
      </w:r>
    </w:p>
    <w:p>
      <w:pPr>
        <w:numPr>
          <w:ilvl w:val="0"/>
          <w:numId w:val="1001"/>
        </w:numPr>
        <w:pStyle w:val="Compact"/>
      </w:pPr>
      <w:r>
        <w:t xml:space="preserve">Stop and get help straight away if: an exposed crew member has no review and no record of the exposure.</w:t>
      </w:r>
    </w:p>
    <w:bookmarkStart w:id="22" w:name="purpose"/>
    <w:p>
      <w:pPr>
        <w:pStyle w:val="Heading2"/>
      </w:pPr>
      <w:r>
        <w:t xml:space="preserve">1. Purpose</w:t>
      </w:r>
    </w:p>
    <w:p>
      <w:pPr>
        <w:pStyle w:val="FirstParagraph"/>
      </w:pPr>
      <w:r>
        <w:t xml:space="preserve">To protect the crew after an exposure, and to record it so that follow-up is not lost (S6.40).</w:t>
      </w:r>
    </w:p>
    <w:bookmarkEnd w:id="22"/>
    <w:bookmarkStart w:id="23" w:name="scope"/>
    <w:p>
      <w:pPr>
        <w:pStyle w:val="Heading2"/>
      </w:pPr>
      <w:r>
        <w:t xml:space="preserve">2. Scope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Applies 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Clinical and support staff in the hospital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Locations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 wards, clinics and departments of the facility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When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Whenever the activity described is carried out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Does not apply 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Activities covered by another document listed in section 15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3"/>
    <w:bookmarkStart w:id="24" w:name="definitions"/>
    <w:p>
      <w:pPr>
        <w:pStyle w:val="Heading2"/>
      </w:pPr>
      <w:r>
        <w:t xml:space="preserve">3. Definitions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Term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Clinical lead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doctor or nurse in charge of the area at the time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4"/>
    <w:bookmarkStart w:id="25" w:name="background"/>
    <w:p>
      <w:pPr>
        <w:pStyle w:val="Heading2"/>
      </w:pPr>
      <w:r>
        <w:t xml:space="preserve">4. Background</w:t>
      </w:r>
    </w:p>
    <w:p>
      <w:pPr>
        <w:pStyle w:val="FirstParagraph"/>
      </w:pPr>
      <w:r>
        <w:t xml:space="preserve">A crew member exposed to blood, a needle injury or a patient's infection needs immediate care and a record. Without a set response, the exposure is missed and the crew member is not protected.</w:t>
      </w:r>
    </w:p>
    <w:bookmarkEnd w:id="25"/>
    <w:bookmarkStart w:id="26" w:name="responsibilities"/>
    <w:p>
      <w:pPr>
        <w:pStyle w:val="Heading2"/>
      </w:pPr>
      <w:r>
        <w:t xml:space="preserve">5. Responsibilities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Role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Responsibility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Competence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Crew lead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Starts the response and reports the exposure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Trained crew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Occupational health lead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Arranges review and follow-up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Clinician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materials-and-equipment"/>
    <w:p>
      <w:pPr>
        <w:pStyle w:val="Heading2"/>
      </w:pPr>
      <w:r>
        <w:t xml:space="preserve">6. Materials and equipment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Requirement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Condition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Records and forms named in this document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Current 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Checked before use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7"/>
    <w:bookmarkStart w:id="28" w:name="safety"/>
    <w:p>
      <w:pPr>
        <w:pStyle w:val="Heading2"/>
      </w:pPr>
      <w:r>
        <w:t xml:space="preserve">7. Safety</w:t>
      </w:r>
    </w:p>
    <w:p>
      <w:pPr>
        <w:numPr>
          <w:ilvl w:val="0"/>
          <w:numId w:val="1002"/>
        </w:numPr>
        <w:pStyle w:val="Compact"/>
      </w:pPr>
      <w:r>
        <w:t xml:space="preserve">Stop and call for help if a patient is at immediate risk. Do not delay urgent care to complete paperwork.</w:t>
      </w:r>
    </w:p>
    <w:bookmarkEnd w:id="28"/>
    <w:bookmarkStart w:id="29" w:name="before-you-start"/>
    <w:p>
      <w:pPr>
        <w:pStyle w:val="Heading2"/>
      </w:pPr>
      <w:r>
        <w:t xml:space="preserve">8. Before you start</w:t>
      </w:r>
    </w:p>
    <w:p>
      <w:pPr>
        <w:numPr>
          <w:ilvl w:val="0"/>
          <w:numId w:val="1003"/>
        </w:numPr>
        <w:pStyle w:val="Compact"/>
      </w:pPr>
      <w:r>
        <w:t xml:space="preserve">Confirm the forms and equipment named in this document are available and current.</w:t>
      </w:r>
    </w:p>
    <w:bookmarkEnd w:id="29"/>
    <w:bookmarkStart w:id="30" w:name="procedure"/>
    <w:p>
      <w:pPr>
        <w:pStyle w:val="Heading2"/>
      </w:pPr>
      <w:r>
        <w:t xml:space="preserve">9. Procedure</w:t>
      </w:r>
    </w:p>
    <w:p>
      <w:pPr>
        <w:pStyle w:val="FirstParagraph"/>
      </w:pPr>
      <w:r>
        <w:t xml:space="preserve">Step 1. First aid.</w:t>
      </w:r>
    </w:p>
    <w:p>
      <w:pPr>
        <w:numPr>
          <w:ilvl w:val="0"/>
          <w:numId w:val="1004"/>
        </w:numPr>
        <w:pStyle w:val="Compact"/>
      </w:pPr>
      <w:r>
        <w:t xml:space="preserve">Wash the skin or flush the eye at once.</w:t>
      </w:r>
    </w:p>
    <w:p>
      <w:pPr>
        <w:numPr>
          <w:ilvl w:val="0"/>
          <w:numId w:val="1004"/>
        </w:numPr>
        <w:pStyle w:val="Compact"/>
      </w:pPr>
      <w:r>
        <w:t xml:space="preserve">Do not squeeze the wound.</w:t>
      </w:r>
    </w:p>
    <w:p>
      <w:pPr>
        <w:pStyle w:val="FirstParagraph"/>
      </w:pPr>
      <w:r>
        <w:rPr>
          <w:bCs/>
          <w:b/>
        </w:rPr>
        <w:t xml:space="preserve">Key point:</w:t>
      </w:r>
      <w:r>
        <w:t xml:space="preserve"> </w:t>
      </w:r>
      <w:r>
        <w:t xml:space="preserve">Immediate care first.</w:t>
      </w:r>
    </w:p>
    <w:p>
      <w:pPr>
        <w:pStyle w:val="BodyText"/>
      </w:pPr>
      <w:r>
        <w:t xml:space="preserve">Step 2. Report.</w:t>
      </w:r>
    </w:p>
    <w:p>
      <w:pPr>
        <w:numPr>
          <w:ilvl w:val="0"/>
          <w:numId w:val="1005"/>
        </w:numPr>
        <w:pStyle w:val="Compact"/>
      </w:pPr>
      <w:r>
        <w:t xml:space="preserve">Tell the crew lead the same hour.</w:t>
      </w:r>
    </w:p>
    <w:p>
      <w:pPr>
        <w:numPr>
          <w:ilvl w:val="0"/>
          <w:numId w:val="1005"/>
        </w:numPr>
        <w:pStyle w:val="Compact"/>
      </w:pPr>
      <w:r>
        <w:t xml:space="preserve">Complete the exposure record.</w:t>
      </w:r>
    </w:p>
    <w:p>
      <w:pPr>
        <w:pStyle w:val="FirstParagraph"/>
      </w:pPr>
      <w:r>
        <w:rPr>
          <w:bCs/>
          <w:b/>
        </w:rPr>
        <w:t xml:space="preserve">Key point:</w:t>
      </w:r>
      <w:r>
        <w:t xml:space="preserve"> </w:t>
      </w:r>
      <w:r>
        <w:t xml:space="preserve">Same hour.</w:t>
      </w:r>
    </w:p>
    <w:p>
      <w:pPr>
        <w:pStyle w:val="BodyText"/>
      </w:pPr>
      <w:r>
        <w:t xml:space="preserve">Step 3. Review.</w:t>
      </w:r>
    </w:p>
    <w:p>
      <w:pPr>
        <w:numPr>
          <w:ilvl w:val="0"/>
          <w:numId w:val="1006"/>
        </w:numPr>
        <w:pStyle w:val="Compact"/>
      </w:pPr>
      <w:r>
        <w:t xml:space="preserve">Arrange clinical review and any post-exposure treatment within the time set in the protocol.</w:t>
      </w:r>
    </w:p>
    <w:p>
      <w:pPr>
        <w:pStyle w:val="FirstParagraph"/>
      </w:pPr>
      <w:r>
        <w:rPr>
          <w:bCs/>
          <w:b/>
        </w:rPr>
        <w:t xml:space="preserve">Key point:</w:t>
      </w:r>
      <w:r>
        <w:t xml:space="preserve"> </w:t>
      </w:r>
      <w:r>
        <w:t xml:space="preserve">Time matters.</w:t>
      </w:r>
    </w:p>
    <w:bookmarkEnd w:id="30"/>
    <w:bookmarkStart w:id="31" w:name="decision-points"/>
    <w:p>
      <w:pPr>
        <w:pStyle w:val="Heading2"/>
      </w:pPr>
      <w:r>
        <w:t xml:space="preserve">10. Decision points</w:t>
      </w:r>
    </w:p>
    <w:p>
      <w:pPr>
        <w:numPr>
          <w:ilvl w:val="0"/>
          <w:numId w:val="1007"/>
        </w:numPr>
        <w:pStyle w:val="Compact"/>
      </w:pPr>
      <w:r>
        <w:t xml:space="preserve">No decision points in this procedure.</w:t>
      </w:r>
    </w:p>
    <w:bookmarkEnd w:id="31"/>
    <w:bookmarkStart w:id="32" w:name="special-situations"/>
    <w:p>
      <w:pPr>
        <w:pStyle w:val="Heading2"/>
      </w:pPr>
      <w:r>
        <w:t xml:space="preserve">11. Special situations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Situation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Out of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 the same steps. Use the on-call contact on the wall of the area.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2"/>
    <w:bookmarkStart w:id="33" w:name="escalation"/>
    <w:p>
      <w:pPr>
        <w:pStyle w:val="Heading2"/>
      </w:pPr>
      <w:r>
        <w:t xml:space="preserve">12. Escalation</w:t>
      </w:r>
    </w:p>
    <w:p>
      <w:pPr>
        <w:numPr>
          <w:ilvl w:val="0"/>
          <w:numId w:val="1008"/>
        </w:numPr>
        <w:pStyle w:val="Compact"/>
      </w:pPr>
      <w:r>
        <w:t xml:space="preserve">Any serious problem goes to the duty clinical lead at once and to the clinical director the same day.</w:t>
      </w:r>
    </w:p>
    <w:bookmarkEnd w:id="33"/>
    <w:bookmarkStart w:id="34" w:name="monitoring"/>
    <w:p>
      <w:pPr>
        <w:pStyle w:val="Heading2"/>
      </w:pPr>
      <w:r>
        <w:t xml:space="preserve">13. Monitoring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Measure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Target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Owner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If not met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Exposures reported the same hour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Crew lead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Escalate to chief executive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Exposures with clinical review in 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Occupational health lead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Escalate to chief executive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4"/>
    <w:bookmarkStart w:id="35" w:name="records"/>
    <w:p>
      <w:pPr>
        <w:pStyle w:val="Heading2"/>
      </w:pPr>
      <w:r>
        <w:t xml:space="preserve">14. Records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Record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Kept 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Retention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Record named in this document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Patient record or the area file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period set by the facility's records policy years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5"/>
    <w:bookmarkStart w:id="36" w:name="training"/>
    <w:p>
      <w:pPr>
        <w:pStyle w:val="Heading2"/>
      </w:pPr>
      <w:r>
        <w:t xml:space="preserve">15. Training</w:t>
      </w:r>
    </w:p>
    <w:p>
      <w:pPr>
        <w:numPr>
          <w:ilvl w:val="0"/>
          <w:numId w:val="1009"/>
        </w:numPr>
        <w:pStyle w:val="Compact"/>
      </w:pPr>
      <w:r>
        <w:t xml:space="preserve">Staff are trained in this document at induction and refreshed each year, with a recorded competency check.</w:t>
      </w:r>
    </w:p>
    <w:bookmarkEnd w:id="36"/>
    <w:bookmarkStart w:id="37" w:name="related-documents"/>
    <w:p>
      <w:pPr>
        <w:pStyle w:val="Heading2"/>
      </w:pPr>
      <w:r>
        <w:t xml:space="preserve">16. Related documents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Title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T-09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Incident reporting (course)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Learning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7"/>
    <w:bookmarkStart w:id="38" w:name="evidence"/>
    <w:p>
      <w:pPr>
        <w:pStyle w:val="Heading2"/>
      </w:pPr>
      <w:r>
        <w:t xml:space="preserve">17. Evidence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Reference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8"/>
    <w:bookmarkStart w:id="39" w:name="change-history"/>
    <w:p>
      <w:pPr>
        <w:pStyle w:val="Heading2"/>
      </w:pPr>
      <w:r>
        <w:t xml:space="preserve">18. Change history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What changed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Approval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date of approval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First 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 Expert Committee approval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No e-learning course is linked to this document yet.</w:t>
      </w:r>
    </w:p>
    <w:bookmarkEnd w:id="39"/>
    <w:bookmarkStart w:id="42" w:name="references"/>
    <w:p>
      <w:pPr>
        <w:pStyle w:val="Heading2"/>
      </w:pPr>
      <w:r>
        <w:t xml:space="preserve">References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40">
        <w:r>
          <w:rPr>
            <w:rStyle w:val="Hyperlink"/>
          </w:rPr>
          <w:t xml:space="preserve">Download this document as PDF</w:t>
        </w:r>
      </w:hyperlink>
    </w:p>
    <w:p>
      <w:pPr>
        <w:pStyle w:val="BodyText"/>
      </w:pPr>
      <w:r>
        <w:t xml:space="preserve">Related standard</w:t>
      </w:r>
    </w:p>
    <w:p>
      <w:pPr>
        <w:numPr>
          <w:ilvl w:val="0"/>
          <w:numId w:val="1011"/>
        </w:numPr>
        <w:pStyle w:val="Compact"/>
      </w:pPr>
      <w:hyperlink r:id="rId41">
        <w:r>
          <w:rPr>
            <w:rStyle w:val="Hyperlink"/>
          </w:rPr>
          <w:t xml:space="preserve">Standard 7: Emergency Dispatch</w:t>
        </w:r>
      </w:hyperlink>
    </w:p>
    <w:bookmarkEnd w:id="42"/>
    <w:sectPr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1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41" Type="http://schemas.openxmlformats.org/officeDocument/2006/relationships/hyperlink" Target="https://france-asf.fr/standards/standard-7/" TargetMode="External"/><Relationship Id="rId40" Type="http://schemas.openxmlformats.org/officeDocument/2006/relationships/hyperlink" Target="https://france-asf.fr/wp-content/uploads/2026/10/ptr-sop-009-1.pdf" TargetMode="External"/></Relationships>
</file>

<file path=word/_rels/footnotes.xml.rels><?xml version='1.0' encoding='UTF-8' standalone='yes'?>
<Relationships xmlns="http://schemas.openxmlformats.org/package/2006/relationships"><Relationship Id="rId21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41" Type="http://schemas.openxmlformats.org/officeDocument/2006/relationships/hyperlink" Target="https://france-asf.fr/standards/standard-7/" TargetMode="External"/><Relationship Id="rId40" Type="http://schemas.openxmlformats.org/officeDocument/2006/relationships/hyperlink" Target="https://france-asf.fr/wp-content/uploads/2026/10/ptr-sop-009-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PTR-SOP-009: Crew exposure to blood, needle injury or infection</dc:title>
  <dc:creator/>
  <cp:keywords/>
  <dcterms:created xsi:type="dcterms:W3CDTF">2026-10-28T21:34:27Z</dcterms:created>
  <dcterms:modified xsi:type="dcterms:W3CDTF">2026-10-28T21:34:27Z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