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PTR-SOP-010:</w:t>
      </w:r>
      <w:r>
        <w:t xml:space="preserve"> </w:t>
      </w:r>
      <w:r>
        <w:t xml:space="preserve">Communication,</w:t>
      </w:r>
      <w:r>
        <w:t xml:space="preserve"> </w:t>
      </w:r>
      <w:r>
        <w:t xml:space="preserve">interpreters</w:t>
      </w:r>
      <w:r>
        <w:t xml:space="preserve"> </w:t>
      </w:r>
      <w:r>
        <w:t xml:space="preserve">and</w:t>
      </w:r>
      <w:r>
        <w:t xml:space="preserve"> </w:t>
      </w:r>
      <w:r>
        <w:t xml:space="preserve">records</w:t>
      </w:r>
      <w:r>
        <w:t xml:space="preserve"> </w:t>
      </w:r>
      <w:r>
        <w:t xml:space="preserve">in</w:t>
      </w:r>
      <w:r>
        <w:t xml:space="preserve"> </w:t>
      </w:r>
      <w:r>
        <w:t xml:space="preserve">another</w:t>
      </w:r>
      <w:r>
        <w:t xml:space="preserve"> </w:t>
      </w:r>
      <w:r>
        <w:t xml:space="preserve">language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Organisation name</w:t>
            </w:r>
          </w:p>
          <w:p>
            <w:pPr>
              <w:pStyle w:val="Compact"/>
              <w:jc w:val="left"/>
            </w:pPr>
            <w:r>
              <w:t xml:space="preserve">Site or unit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Standard operating procedure</w:t>
            </w:r>
          </w:p>
          <w:p>
            <w:pPr>
              <w:pStyle w:val="Compact"/>
              <w:jc w:val="left"/>
            </w:pPr>
            <w:r>
              <w:t xml:space="preserve">Communication, interpreters and records in another language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PTR-SOP-010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Blank form, to adapt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Issue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Review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Standard S6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 xml:space="preserve">Standard operating procedure (SOP) · PTR-SOP-010 · Version 1.0 · Approved by the ASF Expert Committee</w:t>
      </w:r>
    </w:p>
    <w:p>
      <w:pPr>
        <w:pStyle w:val="BodyText"/>
      </w:pPr>
      <w:r>
        <w:rPr>
          <w:bCs/>
          <w:b/>
        </w:rPr>
        <w:t xml:space="preserve">Supports:</w:t>
      </w:r>
      <w:r>
        <w:t xml:space="preserve"> </w:t>
      </w:r>
      <w:r>
        <w:t xml:space="preserve">System S6 (Patient transfers and referrals), criterion S6.41</w:t>
      </w:r>
    </w:p>
    <w:p>
      <w:pPr>
        <w:pStyle w:val="BodyText"/>
      </w:pPr>
      <w:r>
        <w:t xml:space="preserve">At a glance</w:t>
      </w:r>
    </w:p>
    <w:p>
      <w:pPr>
        <w:numPr>
          <w:ilvl w:val="0"/>
          <w:numId w:val="1001"/>
        </w:numPr>
        <w:pStyle w:val="Compact"/>
      </w:pPr>
      <w:r>
        <w:t xml:space="preserve">Speak to each patient in a language they understand.</w:t>
      </w:r>
    </w:p>
    <w:p>
      <w:pPr>
        <w:numPr>
          <w:ilvl w:val="0"/>
          <w:numId w:val="1001"/>
        </w:numPr>
        <w:pStyle w:val="Compact"/>
      </w:pPr>
      <w:r>
        <w:t xml:space="preserve">Use a qualified interpreter when the patient or family needs one.</w:t>
      </w:r>
    </w:p>
    <w:p>
      <w:pPr>
        <w:numPr>
          <w:ilvl w:val="0"/>
          <w:numId w:val="1001"/>
        </w:numPr>
        <w:pStyle w:val="Compact"/>
      </w:pPr>
      <w:r>
        <w:t xml:space="preserve">Record the language and the interpreter used.</w:t>
      </w:r>
    </w:p>
    <w:p>
      <w:pPr>
        <w:numPr>
          <w:ilvl w:val="0"/>
          <w:numId w:val="1001"/>
        </w:numPr>
        <w:pStyle w:val="Compact"/>
      </w:pPr>
      <w:r>
        <w:t xml:space="preserve">Records that travel to another country are in a language the receiver can read.</w:t>
      </w:r>
    </w:p>
    <w:p>
      <w:pPr>
        <w:numPr>
          <w:ilvl w:val="0"/>
          <w:numId w:val="1001"/>
        </w:numPr>
        <w:pStyle w:val="Compact"/>
      </w:pPr>
      <w:r>
        <w:t xml:space="preserve">Stop and get help straight away if: a patient cannot understand the crew about the transfer and no interpreter is used.</w:t>
      </w:r>
    </w:p>
    <w:bookmarkStart w:id="22" w:name="purpose"/>
    <w:p>
      <w:pPr>
        <w:pStyle w:val="Heading2"/>
      </w:pPr>
      <w:r>
        <w:t xml:space="preserve">1. Purpose</w:t>
      </w:r>
    </w:p>
    <w:p>
      <w:pPr>
        <w:pStyle w:val="FirstParagraph"/>
      </w:pPr>
      <w:r>
        <w:t xml:space="preserve">To make sure patients understand their transfer and that the receiving team can read the record (S6.41, S6.35).</w:t>
      </w:r>
    </w:p>
    <w:bookmarkEnd w:id="22"/>
    <w:bookmarkStart w:id="23" w:name="scope"/>
    <w:p>
      <w:pPr>
        <w:pStyle w:val="Heading2"/>
      </w:pPr>
      <w:r>
        <w:t xml:space="preserve">2. Scope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Applies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and support staff in the hospital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wards, clinics and departments of the facility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When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Whenever the activity described is carried out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Does not apply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Activities covered by another document listed in section 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definitions"/>
    <w:p>
      <w:pPr>
        <w:pStyle w:val="Heading2"/>
      </w:pPr>
      <w:r>
        <w:t xml:space="preserve">3. Definitions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Term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Clinical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doctor or nurse in charge of the area at the time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background"/>
    <w:p>
      <w:pPr>
        <w:pStyle w:val="Heading2"/>
      </w:pPr>
      <w:r>
        <w:t xml:space="preserve">4. Background</w:t>
      </w:r>
    </w:p>
    <w:p>
      <w:pPr>
        <w:pStyle w:val="FirstParagraph"/>
      </w:pPr>
      <w:r>
        <w:t xml:space="preserve">A patient who cannot understand the crew cannot give consent, report pain or follow instructions. A way to communicate in the patient's language is part of safe transfer.</w:t>
      </w:r>
    </w:p>
    <w:bookmarkEnd w:id="25"/>
    <w:bookmarkStart w:id="26" w:name="responsibilities"/>
    <w:p>
      <w:pPr>
        <w:pStyle w:val="Heading2"/>
      </w:pPr>
      <w:r>
        <w:t xml:space="preserve">5. Responsibilities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Responsibility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Competence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Crew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Arranges the interpreter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Trained crew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Dispatch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Books the interpreter and records the language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Trained dispatcher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materials-and-equipment"/>
    <w:p>
      <w:pPr>
        <w:pStyle w:val="Heading2"/>
      </w:pPr>
      <w:r>
        <w:t xml:space="preserve">6. Materials and equipment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Requirement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Condition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Records and forms named in this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Checked before use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safety"/>
    <w:p>
      <w:pPr>
        <w:pStyle w:val="Heading2"/>
      </w:pPr>
      <w:r>
        <w:t xml:space="preserve">7. Safety</w:t>
      </w:r>
    </w:p>
    <w:p>
      <w:pPr>
        <w:numPr>
          <w:ilvl w:val="0"/>
          <w:numId w:val="1002"/>
        </w:numPr>
        <w:pStyle w:val="Compact"/>
      </w:pPr>
      <w:r>
        <w:t xml:space="preserve">Stop and call for help if a patient is at immediate risk. Do not delay urgent care to complete paperwork.</w:t>
      </w:r>
    </w:p>
    <w:bookmarkEnd w:id="28"/>
    <w:bookmarkStart w:id="29" w:name="before-you-start"/>
    <w:p>
      <w:pPr>
        <w:pStyle w:val="Heading2"/>
      </w:pPr>
      <w:r>
        <w:t xml:space="preserve">8. Before you start</w:t>
      </w:r>
    </w:p>
    <w:p>
      <w:pPr>
        <w:numPr>
          <w:ilvl w:val="0"/>
          <w:numId w:val="1003"/>
        </w:numPr>
        <w:pStyle w:val="Compact"/>
      </w:pPr>
      <w:r>
        <w:t xml:space="preserve">Confirm the forms and equipment named in this document are available and current.</w:t>
      </w:r>
    </w:p>
    <w:bookmarkEnd w:id="29"/>
    <w:bookmarkStart w:id="30" w:name="procedure"/>
    <w:p>
      <w:pPr>
        <w:pStyle w:val="Heading2"/>
      </w:pPr>
      <w:r>
        <w:t xml:space="preserve">9. Procedure</w:t>
      </w:r>
    </w:p>
    <w:p>
      <w:pPr>
        <w:pStyle w:val="FirstParagraph"/>
      </w:pPr>
      <w:r>
        <w:t xml:space="preserve">Step 1. Identify language.</w:t>
      </w:r>
    </w:p>
    <w:p>
      <w:pPr>
        <w:numPr>
          <w:ilvl w:val="0"/>
          <w:numId w:val="1004"/>
        </w:numPr>
        <w:pStyle w:val="Compact"/>
      </w:pPr>
      <w:r>
        <w:t xml:space="preserve">Ask the patient and family which language they understand best.</w:t>
      </w:r>
    </w:p>
    <w:p>
      <w:pPr>
        <w:numPr>
          <w:ilvl w:val="0"/>
          <w:numId w:val="1004"/>
        </w:numPr>
        <w:pStyle w:val="Compact"/>
      </w:pPr>
      <w:r>
        <w:t xml:space="preserve">Record it on the transfer log.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Ask first.</w:t>
      </w:r>
    </w:p>
    <w:p>
      <w:pPr>
        <w:pStyle w:val="BodyText"/>
      </w:pPr>
      <w:r>
        <w:t xml:space="preserve">Step 2. Use an interpreter.</w:t>
      </w:r>
    </w:p>
    <w:p>
      <w:pPr>
        <w:numPr>
          <w:ilvl w:val="0"/>
          <w:numId w:val="1005"/>
        </w:numPr>
        <w:pStyle w:val="Compact"/>
      </w:pPr>
      <w:r>
        <w:t xml:space="preserve">Book a qualified interpreter when needed, by phone if necessary.</w:t>
      </w:r>
    </w:p>
    <w:p>
      <w:pPr>
        <w:numPr>
          <w:ilvl w:val="0"/>
          <w:numId w:val="1005"/>
        </w:numPr>
        <w:pStyle w:val="Compact"/>
      </w:pPr>
      <w:r>
        <w:t xml:space="preserve">Record the interpreter's name or reference.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No family as interpreter for clinical information.</w:t>
      </w:r>
    </w:p>
    <w:p>
      <w:pPr>
        <w:pStyle w:val="BodyText"/>
      </w:pPr>
      <w:r>
        <w:t xml:space="preserve">Step 3. Translate the record.</w:t>
      </w:r>
    </w:p>
    <w:p>
      <w:pPr>
        <w:numPr>
          <w:ilvl w:val="0"/>
          <w:numId w:val="1006"/>
        </w:numPr>
        <w:pStyle w:val="Compact"/>
      </w:pPr>
      <w:r>
        <w:t xml:space="preserve">Provide the key handover information in the receiver's language.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The receiver can read it.</w:t>
      </w:r>
    </w:p>
    <w:bookmarkEnd w:id="30"/>
    <w:bookmarkStart w:id="31" w:name="decision-points"/>
    <w:p>
      <w:pPr>
        <w:pStyle w:val="Heading2"/>
      </w:pPr>
      <w:r>
        <w:t xml:space="preserve">10. Decision points</w:t>
      </w:r>
    </w:p>
    <w:p>
      <w:pPr>
        <w:numPr>
          <w:ilvl w:val="0"/>
          <w:numId w:val="1007"/>
        </w:numPr>
        <w:pStyle w:val="Compact"/>
      </w:pPr>
      <w:r>
        <w:t xml:space="preserve">No decision points in this procedure.</w:t>
      </w:r>
    </w:p>
    <w:bookmarkEnd w:id="31"/>
    <w:bookmarkStart w:id="32" w:name="special-situations"/>
    <w:p>
      <w:pPr>
        <w:pStyle w:val="Heading2"/>
      </w:pPr>
      <w:r>
        <w:t xml:space="preserve">11. Special situations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Situation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Out of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 the same steps. Use the on-call contact on the wall of the area.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escalation"/>
    <w:p>
      <w:pPr>
        <w:pStyle w:val="Heading2"/>
      </w:pPr>
      <w:r>
        <w:t xml:space="preserve">12. Escalation</w:t>
      </w:r>
    </w:p>
    <w:p>
      <w:pPr>
        <w:numPr>
          <w:ilvl w:val="0"/>
          <w:numId w:val="1008"/>
        </w:numPr>
        <w:pStyle w:val="Compact"/>
      </w:pPr>
      <w:r>
        <w:t xml:space="preserve">Any serious problem goes to the duty clinical lead at once and to the clinical director the same day.</w:t>
      </w:r>
    </w:p>
    <w:bookmarkEnd w:id="33"/>
    <w:bookmarkStart w:id="34" w:name="monitoring"/>
    <w:p>
      <w:pPr>
        <w:pStyle w:val="Heading2"/>
      </w:pPr>
      <w:r>
        <w:t xml:space="preserve">13. Monitoring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Measure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If not met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Transfers with language recorded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Dispatch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clinical lead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Patients needing an interpreter with one used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Crew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clinical lead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records"/>
    <w:p>
      <w:pPr>
        <w:pStyle w:val="Heading2"/>
      </w:pPr>
      <w:r>
        <w:t xml:space="preserve">14. Records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Record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Kept 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Retention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Record named in this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 record or the area file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period set by the facility's records policy years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5"/>
    <w:bookmarkStart w:id="36" w:name="training"/>
    <w:p>
      <w:pPr>
        <w:pStyle w:val="Heading2"/>
      </w:pPr>
      <w:r>
        <w:t xml:space="preserve">15. Training</w:t>
      </w:r>
    </w:p>
    <w:p>
      <w:pPr>
        <w:numPr>
          <w:ilvl w:val="0"/>
          <w:numId w:val="1009"/>
        </w:numPr>
        <w:pStyle w:val="Compact"/>
      </w:pPr>
      <w:r>
        <w:t xml:space="preserve">Staff are trained in this document at induction and refreshed each year, with a recorded competency check.</w:t>
      </w:r>
    </w:p>
    <w:bookmarkEnd w:id="36"/>
    <w:bookmarkStart w:id="38" w:name="related-documents"/>
    <w:p>
      <w:pPr>
        <w:pStyle w:val="Heading2"/>
      </w:pPr>
      <w:r>
        <w:t xml:space="preserve">16. Related documents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Title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HOS-SOP-013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Vulnerable patients and safeguarding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Vulnerability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8"/>
    <w:bookmarkStart w:id="39" w:name="evidence"/>
    <w:p>
      <w:pPr>
        <w:pStyle w:val="Heading2"/>
      </w:pPr>
      <w:r>
        <w:t xml:space="preserve">17. Evidence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9"/>
    <w:bookmarkStart w:id="40" w:name="change-history"/>
    <w:p>
      <w:pPr>
        <w:pStyle w:val="Heading2"/>
      </w:pPr>
      <w:r>
        <w:t xml:space="preserve">18. Change history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changed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date of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 Expert Committee approval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No e-learning course is linked to this document yet.</w:t>
      </w:r>
    </w:p>
    <w:bookmarkEnd w:id="40"/>
    <w:bookmarkStart w:id="43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1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 xml:space="preserve">Related standard</w:t>
      </w:r>
    </w:p>
    <w:p>
      <w:pPr>
        <w:numPr>
          <w:ilvl w:val="0"/>
          <w:numId w:val="1011"/>
        </w:numPr>
        <w:pStyle w:val="Compact"/>
      </w:pPr>
      <w:hyperlink r:id="rId42">
        <w:r>
          <w:rPr>
            <w:rStyle w:val="Hyperlink"/>
          </w:rPr>
          <w:t xml:space="preserve">Standard 7: Emergency Dispatch</w:t>
        </w:r>
      </w:hyperlink>
    </w:p>
    <w:bookmarkEnd w:id="43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7" Type="http://schemas.openxmlformats.org/officeDocument/2006/relationships/hyperlink" Target="/documents/hos-sop-013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2" Type="http://schemas.openxmlformats.org/officeDocument/2006/relationships/hyperlink" Target="https://france-asf.fr/standards/standard-7/" TargetMode="External"/><Relationship Id="rId41" Type="http://schemas.openxmlformats.org/officeDocument/2006/relationships/hyperlink" Target="https://france-asf.fr/wp-content/uploads/2026/10/ptr-sop-010-1.pdf" TargetMode="External"/></Relationships>
</file>

<file path=word/_rels/footnotes.xml.rels><?xml version='1.0' encoding='UTF-8' standalone='yes'?>
<Relationships xmlns="http://schemas.openxmlformats.org/package/2006/relationships"><Relationship Id="rId37" Type="http://schemas.openxmlformats.org/officeDocument/2006/relationships/hyperlink" Target="/documents/hos-sop-013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2" Type="http://schemas.openxmlformats.org/officeDocument/2006/relationships/hyperlink" Target="https://france-asf.fr/standards/standard-7/" TargetMode="External"/><Relationship Id="rId41" Type="http://schemas.openxmlformats.org/officeDocument/2006/relationships/hyperlink" Target="https://france-asf.fr/wp-content/uploads/2026/10/ptr-sop-010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PTR-SOP-010: Communication, interpreters and records in another language</dc:title>
  <dc:creator/>
  <cp:keywords/>
  <dcterms:created xsi:type="dcterms:W3CDTF">2026-10-28T21:34:27Z</dcterms:created>
  <dcterms:modified xsi:type="dcterms:W3CDTF">2026-10-28T21:34:27Z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