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PTR-SOP-013:</w:t>
      </w:r>
      <w:r>
        <w:t xml:space="preserve"> </w:t>
      </w:r>
      <w:r>
        <w:t xml:space="preserve">Consent</w:t>
      </w:r>
      <w:r>
        <w:t xml:space="preserve"> </w:t>
      </w:r>
      <w:r>
        <w:t xml:space="preserve">and</w:t>
      </w:r>
      <w:r>
        <w:t xml:space="preserve"> </w:t>
      </w:r>
      <w:r>
        <w:t xml:space="preserve">the</w:t>
      </w:r>
      <w:r>
        <w:t xml:space="preserve"> </w:t>
      </w:r>
      <w:r>
        <w:t xml:space="preserve">right</w:t>
      </w:r>
      <w:r>
        <w:t xml:space="preserve"> </w:t>
      </w:r>
      <w:r>
        <w:t xml:space="preserve">to</w:t>
      </w:r>
      <w:r>
        <w:t xml:space="preserve"> </w:t>
      </w:r>
      <w:r>
        <w:t xml:space="preserve">decline</w:t>
      </w:r>
      <w:r>
        <w:t xml:space="preserve"> </w:t>
      </w:r>
      <w:r>
        <w:t xml:space="preserve">transport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Consent and the right to decline transport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PTR-SOP-013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PTR-SOP-013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S6 (Patient transfers and referrals), criterion S6.10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The patient is told about the transfer and can decline it.</w:t>
      </w:r>
    </w:p>
    <w:p>
      <w:pPr>
        <w:numPr>
          <w:ilvl w:val="0"/>
          <w:numId w:val="1001"/>
        </w:numPr>
        <w:pStyle w:val="Compact"/>
      </w:pPr>
      <w:r>
        <w:t xml:space="preserve">The reason for the transfer and the risks of declining are explained.</w:t>
      </w:r>
    </w:p>
    <w:p>
      <w:pPr>
        <w:numPr>
          <w:ilvl w:val="0"/>
          <w:numId w:val="1001"/>
        </w:numPr>
        <w:pStyle w:val="Compact"/>
      </w:pPr>
      <w:r>
        <w:t xml:space="preserve">For a patient who cannot consent, the route in the consent policy applies.</w:t>
      </w:r>
    </w:p>
    <w:p>
      <w:pPr>
        <w:numPr>
          <w:ilvl w:val="0"/>
          <w:numId w:val="1001"/>
        </w:numPr>
        <w:pStyle w:val="Compact"/>
      </w:pPr>
      <w:r>
        <w:t xml:space="preserve">The decision is recorded.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competent patient is transferred against their decision without the route in the consent policy being followed.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respect the patient's right to decline transport and to set the route when the patient cannot consent (S6.10).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Patients have the right to refuse transport. The transfer detail adds the right to decline and the route to a decision for a patient who cannot give consent themselves.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Explains the transfer and the risks of declining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Doctor or nurse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Crew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Records the decision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crew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Explain.</w:t>
      </w:r>
    </w:p>
    <w:p>
      <w:pPr>
        <w:numPr>
          <w:ilvl w:val="0"/>
          <w:numId w:val="1004"/>
        </w:numPr>
        <w:pStyle w:val="Compact"/>
      </w:pPr>
      <w:r>
        <w:t xml:space="preserve">Explain the transfer, why it is needed, the risks and the alternatives, in a language the patient understands.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Informed before agreed.</w:t>
      </w:r>
    </w:p>
    <w:p>
      <w:pPr>
        <w:pStyle w:val="BodyText"/>
      </w:pPr>
      <w:r>
        <w:t xml:space="preserve">Step 2. Decide.</w:t>
      </w:r>
    </w:p>
    <w:p>
      <w:pPr>
        <w:numPr>
          <w:ilvl w:val="0"/>
          <w:numId w:val="1005"/>
        </w:numPr>
        <w:pStyle w:val="Compact"/>
      </w:pPr>
      <w:r>
        <w:t xml:space="preserve">The patient agrees or declines.</w:t>
      </w:r>
    </w:p>
    <w:p>
      <w:pPr>
        <w:numPr>
          <w:ilvl w:val="0"/>
          <w:numId w:val="1005"/>
        </w:numPr>
        <w:pStyle w:val="Compact"/>
      </w:pPr>
      <w:r>
        <w:t xml:space="preserve">If declined, record it and inform the referring clinician.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patient decides.</w:t>
      </w:r>
    </w:p>
    <w:p>
      <w:pPr>
        <w:pStyle w:val="BodyText"/>
      </w:pPr>
      <w:r>
        <w:t xml:space="preserve">Step 3. Cannot consent.</w:t>
      </w:r>
    </w:p>
    <w:p>
      <w:pPr>
        <w:numPr>
          <w:ilvl w:val="0"/>
          <w:numId w:val="1006"/>
        </w:numPr>
        <w:pStyle w:val="Compact"/>
      </w:pPr>
      <w:r>
        <w:t xml:space="preserve">Follow the consent policy for a patient who cannot consent (T-07 applies).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 legal route exists.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Transfers with consent or decline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7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identification, informed consent and patient rights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Course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39"/>
    <w:bookmarkStart w:id="42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0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1">
        <w:r>
          <w:rPr>
            <w:rStyle w:val="Hyperlink"/>
          </w:rPr>
          <w:t xml:space="preserve">Standard 7: Emergency Dispatch</w:t>
        </w:r>
      </w:hyperlink>
    </w:p>
    <w:bookmarkEnd w:id="42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1" Type="http://schemas.openxmlformats.org/officeDocument/2006/relationships/hyperlink" Target="https://france-asf.fr/standards/standard-7/" TargetMode="External"/><Relationship Id="rId40" Type="http://schemas.openxmlformats.org/officeDocument/2006/relationships/hyperlink" Target="https://france-asf.fr/wp-content/uploads/2026/10/ptr-sop-013-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1" Type="http://schemas.openxmlformats.org/officeDocument/2006/relationships/hyperlink" Target="https://france-asf.fr/standards/standard-7/" TargetMode="External"/><Relationship Id="rId40" Type="http://schemas.openxmlformats.org/officeDocument/2006/relationships/hyperlink" Target="https://france-asf.fr/wp-content/uploads/2026/10/ptr-sop-013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PTR-SOP-013: Consent and the right to decline transport</dc:title>
  <dc:creator/>
  <cp:keywords/>
  <dcterms:created xsi:type="dcterms:W3CDTF">2026-10-28T21:34:26Z</dcterms:created>
  <dcterms:modified xsi:type="dcterms:W3CDTF">2026-10-28T21:34:26Z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