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SRG-SOP-002:</w:t>
      </w:r>
      <w:r>
        <w:t xml:space="preserve"> </w:t>
      </w:r>
      <w:r>
        <w:t xml:space="preserve">Surgical</w:t>
      </w:r>
      <w:r>
        <w:t xml:space="preserve"> </w:t>
      </w:r>
      <w:r>
        <w:t xml:space="preserve">site</w:t>
      </w:r>
      <w:r>
        <w:t xml:space="preserve"> </w:t>
      </w:r>
      <w:r>
        <w:t xml:space="preserve">marking</w:t>
      </w:r>
      <w:r>
        <w:t xml:space="preserve"> </w:t>
      </w:r>
      <w:r>
        <w:t xml:space="preserve">and</w:t>
      </w:r>
      <w:r>
        <w:t xml:space="preserve"> </w:t>
      </w:r>
      <w:r>
        <w:t xml:space="preserve">patient</w:t>
      </w:r>
      <w:r>
        <w:t xml:space="preserve"> </w:t>
      </w:r>
      <w:r>
        <w:t xml:space="preserve">identification</w:t>
      </w:r>
      <w:r>
        <w:t xml:space="preserve"> </w:t>
      </w:r>
      <w:r>
        <w:t xml:space="preserve">before</w:t>
      </w:r>
      <w:r>
        <w:t xml:space="preserve"> </w:t>
      </w:r>
      <w:r>
        <w:t xml:space="preserve">every</w:t>
      </w:r>
      <w:r>
        <w:t xml:space="preserve"> </w:t>
      </w:r>
      <w:r>
        <w:t xml:space="preserve">operation</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Surgical site marking and patient identification before every operation</w:t>
            </w:r>
          </w:p>
        </w:tc>
        <w:tc>
          <w:tcPr/>
          <w:p>
            <w:pPr>
              <w:pStyle w:val="Compact"/>
            </w:pPr>
          </w:p>
        </w:tc>
      </w:tr>
      <w:tr>
        <w:tc>
          <w:tcPr/>
          <w:p>
            <w:pPr>
              <w:pStyle w:val="Compact"/>
              <w:jc w:val="left"/>
            </w:pPr>
            <w:r>
              <w:t xml:space="preserve">Document ID</w:t>
            </w:r>
          </w:p>
        </w:tc>
        <w:tc>
          <w:tcPr/>
          <w:p>
            <w:pPr>
              <w:pStyle w:val="Compact"/>
              <w:jc w:val="left"/>
            </w:pPr>
            <w:r>
              <w:t xml:space="preserve">SRG-SOP-002</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SRG-SOP-002 · Version 0.1 · Draft for local review</w:t>
      </w:r>
    </w:p>
    <w:p>
      <w:pPr>
        <w:pStyle w:val="BodyText"/>
      </w:pPr>
      <w:r>
        <w:rPr>
          <w:bCs/>
          <w:b/>
        </w:rPr>
        <w:t xml:space="preserve">Supports:</w:t>
      </w:r>
      <w:r>
        <w:t xml:space="preserve"> </w:t>
      </w:r>
      <w:r>
        <w:t xml:space="preserve">60.2</w:t>
      </w:r>
    </w:p>
    <w:p>
      <w:pPr>
        <w:pStyle w:val="BodyText"/>
      </w:pPr>
      <w:r>
        <w:t xml:space="preserve">At a glance</w:t>
      </w:r>
    </w:p>
    <w:p>
      <w:pPr>
        <w:numPr>
          <w:ilvl w:val="0"/>
          <w:numId w:val="1001"/>
        </w:numPr>
        <w:pStyle w:val="Compact"/>
      </w:pPr>
      <w:r>
        <w:t xml:space="preserve">Every operation that involves a side, digit, level or site is marked by the operating surgeon, on the patient, while the patient is awake and able to confirm.</w:t>
      </w:r>
    </w:p>
    <w:p>
      <w:pPr>
        <w:numPr>
          <w:ilvl w:val="0"/>
          <w:numId w:val="1001"/>
        </w:numPr>
        <w:pStyle w:val="Compact"/>
      </w:pPr>
      <w:r>
        <w:t xml:space="preserve">The mark is checked against the consent form, the booking and the imaging at the sign-in pause of the WHO checklist.</w:t>
      </w:r>
    </w:p>
    <w:p>
      <w:pPr>
        <w:numPr>
          <w:ilvl w:val="0"/>
          <w:numId w:val="1001"/>
        </w:numPr>
        <w:pStyle w:val="Compact"/>
      </w:pPr>
      <w:r>
        <w:t xml:space="preserve">Patient identity is confirmed with two identifiers at sign-in, and again at the time-out.</w:t>
      </w:r>
    </w:p>
    <w:p>
      <w:pPr>
        <w:numPr>
          <w:ilvl w:val="0"/>
          <w:numId w:val="1001"/>
        </w:numPr>
        <w:pStyle w:val="Compact"/>
      </w:pPr>
      <w:r>
        <w:t xml:space="preserve">Marks that cannot be placed, or are disputed, stop the procedure until the site is confirmed.</w:t>
      </w:r>
    </w:p>
    <w:p>
      <w:pPr>
        <w:numPr>
          <w:ilvl w:val="0"/>
          <w:numId w:val="1001"/>
        </w:numPr>
        <w:pStyle w:val="Compact"/>
      </w:pPr>
      <w:r>
        <w:t xml:space="preserve">Stop and act if: the site mark is missing, unclear or differs from the consent or the imaging.</w:t>
      </w:r>
    </w:p>
    <w:bookmarkStart w:id="20" w:name="purpose"/>
    <w:p>
      <w:pPr>
        <w:pStyle w:val="Heading2"/>
      </w:pPr>
      <w:r>
        <w:t xml:space="preserve">1. Purpose</w:t>
      </w:r>
    </w:p>
    <w:p>
      <w:pPr>
        <w:pStyle w:val="FirstParagraph"/>
      </w:pPr>
      <w:r>
        <w:t xml:space="preserve">To make sure the correct patient has the correct procedure on the correct site, by marking the site before the patient goes to theatre and by checking the mark and the identity at the sign-in and time-out pauses (60.2).</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Surgeons, anaesthetists, operating department practitioners, nurses and any team member who takes part in the sign-in or time-out</w:t>
            </w:r>
          </w:p>
        </w:tc>
      </w:tr>
      <w:tr>
        <w:tc>
          <w:tcPr/>
          <w:p>
            <w:pPr>
              <w:pStyle w:val="Compact"/>
              <w:jc w:val="left"/>
            </w:pPr>
            <w:r>
              <w:t xml:space="preserve">Procedures</w:t>
            </w:r>
          </w:p>
        </w:tc>
        <w:tc>
          <w:tcPr/>
          <w:p>
            <w:pPr>
              <w:pStyle w:val="Compact"/>
              <w:jc w:val="left"/>
            </w:pPr>
            <w:r>
              <w:t xml:space="preserve">All operations and invasive procedures in theatre, endoscopy suites and procedure rooms, including day surgery</w:t>
            </w:r>
          </w:p>
        </w:tc>
      </w:tr>
      <w:tr>
        <w:tc>
          <w:tcPr/>
          <w:p>
            <w:pPr>
              <w:pStyle w:val="Compact"/>
              <w:jc w:val="left"/>
            </w:pPr>
            <w:r>
              <w:t xml:space="preserve">Sites that need marking</w:t>
            </w:r>
          </w:p>
        </w:tc>
        <w:tc>
          <w:tcPr/>
          <w:p>
            <w:pPr>
              <w:pStyle w:val="Compact"/>
              <w:jc w:val="left"/>
            </w:pPr>
            <w:r>
              <w:t xml:space="preserve">Any procedure with a left or right side, a digit, a finger or toe, a spinal level or any other site where a wrong-site error is possible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Site mark</w:t>
            </w:r>
          </w:p>
        </w:tc>
        <w:tc>
          <w:tcPr/>
          <w:p>
            <w:pPr>
              <w:pStyle w:val="Compact"/>
              <w:jc w:val="left"/>
            </w:pPr>
            <w:r>
              <w:t xml:space="preserve">A clear, permanent, non-erasable mark placed on the skin at the operative site by the operating surgeon, using a pen approved for the purpose</w:t>
            </w:r>
          </w:p>
        </w:tc>
      </w:tr>
      <w:tr>
        <w:tc>
          <w:tcPr/>
          <w:p>
            <w:pPr>
              <w:pStyle w:val="Compact"/>
              <w:jc w:val="left"/>
            </w:pPr>
            <w:r>
              <w:t xml:space="preserve">Sign-in</w:t>
            </w:r>
          </w:p>
        </w:tc>
        <w:tc>
          <w:tcPr/>
          <w:p>
            <w:pPr>
              <w:pStyle w:val="Compact"/>
              <w:jc w:val="left"/>
            </w:pPr>
            <w:r>
              <w:t xml:space="preserve">The first pause of the WHO Surgical Safety Checklist, before anaesthesia</w:t>
            </w:r>
          </w:p>
        </w:tc>
      </w:tr>
      <w:tr>
        <w:tc>
          <w:tcPr/>
          <w:p>
            <w:pPr>
              <w:pStyle w:val="Compact"/>
              <w:jc w:val="left"/>
            </w:pPr>
            <w:r>
              <w:t xml:space="preserve">Time-out</w:t>
            </w:r>
          </w:p>
        </w:tc>
        <w:tc>
          <w:tcPr/>
          <w:p>
            <w:pPr>
              <w:pStyle w:val="Compact"/>
              <w:jc w:val="left"/>
            </w:pPr>
            <w:r>
              <w:t xml:space="preserve">The second pause, before the first incision, where the team confirms identity, procedure and site</w:t>
            </w:r>
          </w:p>
        </w:tc>
      </w:tr>
      <w:tr>
        <w:tc>
          <w:tcPr/>
          <w:p>
            <w:pPr>
              <w:pStyle w:val="Compact"/>
              <w:jc w:val="left"/>
            </w:pPr>
            <w:r>
              <w:t xml:space="preserve">Site confirmation</w:t>
            </w:r>
          </w:p>
        </w:tc>
        <w:tc>
          <w:tcPr/>
          <w:p>
            <w:pPr>
              <w:pStyle w:val="Compact"/>
              <w:jc w:val="left"/>
            </w:pPr>
            <w:r>
              <w:t xml:space="preserve">The check that the site mark matches the consent, the booking and the imaging</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Wrong-site surgery is rare but preventable, and most cases happen when the site is not confirmed independently by the team. Marking the site before the patient is sedated, and checking the mark at two pauses, reduces the risk of error. The marking and the checks are not a replacement for the surgeon's own confirmation of the site.</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Operating surgeon</w:t>
            </w:r>
          </w:p>
        </w:tc>
        <w:tc>
          <w:tcPr/>
          <w:p>
            <w:pPr>
              <w:pStyle w:val="Compact"/>
              <w:jc w:val="left"/>
            </w:pPr>
            <w:r>
              <w:t xml:space="preserve">Marks the site, confirms the site with the patient, and states the procedure and site at time-out</w:t>
            </w:r>
          </w:p>
        </w:tc>
      </w:tr>
      <w:tr>
        <w:tc>
          <w:tcPr/>
          <w:p>
            <w:pPr>
              <w:pStyle w:val="Compact"/>
              <w:jc w:val="left"/>
            </w:pPr>
            <w:r>
              <w:t xml:space="preserve">Anaesthetist</w:t>
            </w:r>
          </w:p>
        </w:tc>
        <w:tc>
          <w:tcPr/>
          <w:p>
            <w:pPr>
              <w:pStyle w:val="Compact"/>
              <w:jc w:val="left"/>
            </w:pPr>
            <w:r>
              <w:t xml:space="preserve">Confirms identity and consent at sign-in, and checks the mark is visible before anaesthesia</w:t>
            </w:r>
          </w:p>
        </w:tc>
      </w:tr>
      <w:tr>
        <w:tc>
          <w:tcPr/>
          <w:p>
            <w:pPr>
              <w:pStyle w:val="Compact"/>
              <w:jc w:val="left"/>
            </w:pPr>
            <w:r>
              <w:t xml:space="preserve">Operating department practitioner or nurse</w:t>
            </w:r>
          </w:p>
        </w:tc>
        <w:tc>
          <w:tcPr/>
          <w:p>
            <w:pPr>
              <w:pStyle w:val="Compact"/>
              <w:jc w:val="left"/>
            </w:pPr>
            <w:r>
              <w:t xml:space="preserve">Checks the mark, the consent and the booking, and leads the checklist</w:t>
            </w:r>
          </w:p>
        </w:tc>
      </w:tr>
      <w:tr>
        <w:tc>
          <w:tcPr/>
          <w:p>
            <w:pPr>
              <w:pStyle w:val="Compact"/>
              <w:jc w:val="left"/>
            </w:pPr>
            <w:r>
              <w:t xml:space="preserve">Service manager</w:t>
            </w:r>
          </w:p>
        </w:tc>
        <w:tc>
          <w:tcPr/>
          <w:p>
            <w:pPr>
              <w:pStyle w:val="Compact"/>
              <w:jc w:val="left"/>
            </w:pPr>
            <w:r>
              <w:t xml:space="preserve">Keeps the procedure, the pen stock and the audit in place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8" w:name="procedure"/>
    <w:p>
      <w:pPr>
        <w:pStyle w:val="Heading2"/>
      </w:pPr>
      <w:r>
        <w:t xml:space="preserve">6. Procedure</w:t>
      </w:r>
    </w:p>
    <w:bookmarkStart w:id="25" w:name="before-the-patient-goes-to-theatre"/>
    <w:p>
      <w:pPr>
        <w:pStyle w:val="Heading3"/>
      </w:pPr>
      <w:r>
        <w:t xml:space="preserve">6.1 Before the patient goes to theatre</w:t>
      </w:r>
    </w:p>
    <w:p>
      <w:pPr>
        <w:numPr>
          <w:ilvl w:val="0"/>
          <w:numId w:val="1002"/>
        </w:numPr>
        <w:pStyle w:val="Compact"/>
      </w:pPr>
      <w:r>
        <w:t xml:space="preserve">Confirm the procedure and the site with the patient, using the consent form and the booking.</w:t>
      </w:r>
    </w:p>
    <w:p>
      <w:pPr>
        <w:numPr>
          <w:ilvl w:val="0"/>
          <w:numId w:val="1002"/>
        </w:numPr>
        <w:pStyle w:val="Compact"/>
      </w:pPr>
      <w:r>
        <w:t xml:space="preserve">Check the imaging, where relevant, and confirm the site on the image.</w:t>
      </w:r>
    </w:p>
    <w:p>
      <w:pPr>
        <w:numPr>
          <w:ilvl w:val="0"/>
          <w:numId w:val="1002"/>
        </w:numPr>
        <w:pStyle w:val="Compact"/>
      </w:pPr>
      <w:r>
        <w:t xml:space="preserve">The operating surgeon marks the site while the patient is awake, with the patient's participation where possible.</w:t>
      </w:r>
    </w:p>
    <w:p>
      <w:pPr>
        <w:numPr>
          <w:ilvl w:val="0"/>
          <w:numId w:val="1002"/>
        </w:numPr>
        <w:pStyle w:val="Compact"/>
      </w:pPr>
      <w:r>
        <w:t xml:space="preserve">Use a mark that does not wash off during preparation. Do not mark the site that is not to be operated on.</w:t>
      </w:r>
    </w:p>
    <w:p>
      <w:pPr>
        <w:numPr>
          <w:ilvl w:val="0"/>
          <w:numId w:val="1002"/>
        </w:numPr>
        <w:pStyle w:val="Compact"/>
      </w:pPr>
      <w:r>
        <w:t xml:space="preserve">Record on the checklist that the site has been marked, or that the site is not applicable, with the reason.</w:t>
      </w:r>
    </w:p>
    <w:bookmarkEnd w:id="25"/>
    <w:bookmarkStart w:id="26" w:name="sign-in"/>
    <w:p>
      <w:pPr>
        <w:pStyle w:val="Heading3"/>
      </w:pPr>
      <w:r>
        <w:t xml:space="preserve">6.2 Sign-in</w:t>
      </w:r>
    </w:p>
    <w:p>
      <w:pPr>
        <w:numPr>
          <w:ilvl w:val="0"/>
          <w:numId w:val="1003"/>
        </w:numPr>
        <w:pStyle w:val="Compact"/>
      </w:pPr>
      <w:r>
        <w:t xml:space="preserve">Confirm the patient's identity with two identifiers, such as name and date of birth, against the wristband and the booking.</w:t>
      </w:r>
    </w:p>
    <w:p>
      <w:pPr>
        <w:numPr>
          <w:ilvl w:val="0"/>
          <w:numId w:val="1003"/>
        </w:numPr>
        <w:pStyle w:val="Compact"/>
      </w:pPr>
      <w:r>
        <w:t xml:space="preserve">Confirm the procedure and the consent form.</w:t>
      </w:r>
    </w:p>
    <w:p>
      <w:pPr>
        <w:numPr>
          <w:ilvl w:val="0"/>
          <w:numId w:val="1003"/>
        </w:numPr>
        <w:pStyle w:val="Compact"/>
      </w:pPr>
      <w:r>
        <w:t xml:space="preserve">Confirm the site mark is present and visible, or that marking is not applicable.</w:t>
      </w:r>
    </w:p>
    <w:p>
      <w:pPr>
        <w:numPr>
          <w:ilvl w:val="0"/>
          <w:numId w:val="1003"/>
        </w:numPr>
        <w:pStyle w:val="Compact"/>
      </w:pPr>
      <w:r>
        <w:t xml:space="preserve">Stop the procedure if any of these is unclear.</w:t>
      </w:r>
    </w:p>
    <w:bookmarkEnd w:id="26"/>
    <w:bookmarkStart w:id="27" w:name="time-out"/>
    <w:p>
      <w:pPr>
        <w:pStyle w:val="Heading3"/>
      </w:pPr>
      <w:r>
        <w:t xml:space="preserve">6.3 Time-out</w:t>
      </w:r>
    </w:p>
    <w:p>
      <w:pPr>
        <w:numPr>
          <w:ilvl w:val="0"/>
          <w:numId w:val="1004"/>
        </w:numPr>
        <w:pStyle w:val="Compact"/>
      </w:pPr>
      <w:r>
        <w:t xml:space="preserve">Before the first incision, the team stops and states the patient's name, the procedure and the site.</w:t>
      </w:r>
    </w:p>
    <w:p>
      <w:pPr>
        <w:numPr>
          <w:ilvl w:val="0"/>
          <w:numId w:val="1004"/>
        </w:numPr>
        <w:pStyle w:val="Compact"/>
      </w:pPr>
      <w:r>
        <w:t xml:space="preserve">The surgeon confirms the site from the mark and the imaging, and each team member confirms in turn.</w:t>
      </w:r>
    </w:p>
    <w:p>
      <w:pPr>
        <w:numPr>
          <w:ilvl w:val="0"/>
          <w:numId w:val="1004"/>
        </w:numPr>
        <w:pStyle w:val="Compact"/>
      </w:pPr>
      <w:r>
        <w:t xml:space="preserve">Any team member may raise a concern, which must be resolved before the incision.</w:t>
      </w:r>
    </w:p>
    <w:bookmarkEnd w:id="27"/>
    <w:bookmarkEnd w:id="28"/>
    <w:bookmarkStart w:id="29" w:name="decision-points"/>
    <w:p>
      <w:pPr>
        <w:pStyle w:val="Heading2"/>
      </w:pPr>
      <w:r>
        <w:t xml:space="preserve">7.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Mark missing or unclear</w:t>
            </w:r>
          </w:p>
        </w:tc>
        <w:tc>
          <w:tcPr/>
          <w:p>
            <w:pPr>
              <w:pStyle w:val="Compact"/>
              <w:jc w:val="left"/>
            </w:pPr>
            <w:r>
              <w:t xml:space="preserve">Stop. Mark the site now with the surgeon, and repeat the sign-in and time-out</w:t>
            </w:r>
          </w:p>
        </w:tc>
      </w:tr>
      <w:tr>
        <w:tc>
          <w:tcPr/>
          <w:p>
            <w:pPr>
              <w:pStyle w:val="Compact"/>
              <w:jc w:val="left"/>
            </w:pPr>
            <w:r>
              <w:t xml:space="preserve">Patient cannot confirm the site</w:t>
            </w:r>
          </w:p>
        </w:tc>
        <w:tc>
          <w:tcPr/>
          <w:p>
            <w:pPr>
              <w:pStyle w:val="Compact"/>
              <w:jc w:val="left"/>
            </w:pPr>
            <w:r>
              <w:t xml:space="preserve">Confirm the site with the consent and imaging, with a second clinician, and record the decision</w:t>
            </w:r>
          </w:p>
        </w:tc>
      </w:tr>
      <w:tr>
        <w:tc>
          <w:tcPr/>
          <w:p>
            <w:pPr>
              <w:pStyle w:val="Compact"/>
              <w:jc w:val="left"/>
            </w:pPr>
            <w:r>
              <w:t xml:space="preserve">Site on the imaging differs from the consent</w:t>
            </w:r>
          </w:p>
        </w:tc>
        <w:tc>
          <w:tcPr/>
          <w:p>
            <w:pPr>
              <w:pStyle w:val="Compact"/>
              <w:jc w:val="left"/>
            </w:pPr>
            <w:r>
              <w:t xml:space="preserve">Stop and discuss with the surgeon and the consultant before any incision</w:t>
            </w:r>
          </w:p>
        </w:tc>
      </w:tr>
      <w:tr>
        <w:tc>
          <w:tcPr/>
          <w:p>
            <w:pPr>
              <w:pStyle w:val="Compact"/>
              <w:jc w:val="left"/>
            </w:pPr>
            <w:r>
              <w:t xml:space="preserve">Emergency procedure where marking is not possible</w:t>
            </w:r>
          </w:p>
        </w:tc>
        <w:tc>
          <w:tcPr/>
          <w:p>
            <w:pPr>
              <w:pStyle w:val="Compact"/>
              <w:jc w:val="left"/>
            </w:pPr>
            <w:r>
              <w:t xml:space="preserve">Record the reason, and confirm the site with the team and the imaging before the incision</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9"/>
    <w:bookmarkStart w:id="30" w:name="escalation"/>
    <w:p>
      <w:pPr>
        <w:pStyle w:val="Heading2"/>
      </w:pPr>
      <w:r>
        <w:t xml:space="preserve">8. Escalation</w:t>
      </w:r>
    </w:p>
    <w:p>
      <w:pPr>
        <w:numPr>
          <w:ilvl w:val="0"/>
          <w:numId w:val="1005"/>
        </w:numPr>
        <w:pStyle w:val="Compact"/>
      </w:pPr>
      <w:r>
        <w:t xml:space="preserve">Wrong-site or wrong-patient event, or a near miss: stop the procedure if it has not started, report under INC-SOP-001 within 24 hours, and inform the medical director the same day.</w:t>
      </w:r>
    </w:p>
    <w:p>
      <w:pPr>
        <w:numPr>
          <w:ilvl w:val="0"/>
          <w:numId w:val="1005"/>
        </w:numPr>
        <w:pStyle w:val="Compact"/>
      </w:pPr>
      <w:r>
        <w:t xml:space="preserve">Repeated missing marks for one surgeon or team: the service manager reviews practice the same month.</w:t>
      </w:r>
    </w:p>
    <w:bookmarkEnd w:id="30"/>
    <w:bookmarkStart w:id="31" w:name="monitoring"/>
    <w:p>
      <w:pPr>
        <w:pStyle w:val="Heading2"/>
      </w:pPr>
      <w:r>
        <w:t xml:space="preserve">9. Monitoring</w:t>
      </w:r>
    </w:p>
    <w:p>
      <w:pPr>
        <w:pStyle w:val="FirstParagraph"/>
      </w:pPr>
      <w:r>
        <w:t xml:space="preserve">The service manager audits 30 operations each month for site marking and the checks at sign-in and time-out, and reports results to the surgical governance meeting each quarter.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Procedures where marking was required and was done</w:t>
            </w:r>
          </w:p>
        </w:tc>
        <w:tc>
          <w:tcPr/>
          <w:p>
            <w:pPr>
              <w:pStyle w:val="Compact"/>
              <w:jc w:val="left"/>
            </w:pPr>
            <w:r>
              <w:t xml:space="preserve">100 percent</w:t>
            </w:r>
          </w:p>
        </w:tc>
      </w:tr>
      <w:tr>
        <w:tc>
          <w:tcPr/>
          <w:p>
            <w:pPr>
              <w:pStyle w:val="Compact"/>
              <w:jc w:val="left"/>
            </w:pPr>
            <w:r>
              <w:t xml:space="preserve">Sign-in and time-out completed and recorded</w:t>
            </w:r>
          </w:p>
        </w:tc>
        <w:tc>
          <w:tcPr/>
          <w:p>
            <w:pPr>
              <w:pStyle w:val="Compact"/>
              <w:jc w:val="left"/>
            </w:pPr>
            <w:r>
              <w:t xml:space="preserve">100 percent</w:t>
            </w:r>
          </w:p>
        </w:tc>
      </w:tr>
      <w:tr>
        <w:tc>
          <w:tcPr/>
          <w:p>
            <w:pPr>
              <w:pStyle w:val="Compact"/>
              <w:jc w:val="left"/>
            </w:pPr>
            <w:r>
              <w:t xml:space="preserve">Wrong-site or wrong-patient events</w:t>
            </w:r>
          </w:p>
        </w:tc>
        <w:tc>
          <w:tcPr/>
          <w:p>
            <w:pPr>
              <w:pStyle w:val="Compact"/>
              <w:jc w:val="left"/>
            </w:pPr>
            <w:r>
              <w:t xml:space="preserve">0</w:t>
            </w:r>
          </w:p>
        </w:tc>
      </w:tr>
      <w:tr>
        <w:tc>
          <w:tcPr/>
          <w:p>
            <w:pPr>
              <w:pStyle w:val="Compact"/>
              <w:jc w:val="left"/>
            </w:pPr>
            <w:r>
              <w:t xml:space="preserve">Near misses reported</w:t>
            </w:r>
          </w:p>
        </w:tc>
        <w:tc>
          <w:tcPr/>
          <w:p>
            <w:pPr>
              <w:pStyle w:val="Compact"/>
              <w:jc w:val="left"/>
            </w:pPr>
            <w:r>
              <w:t xml:space="preserve">Recorded, and reviewed every quarter</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1"/>
    <w:bookmarkStart w:id="32" w:name="records"/>
    <w:p>
      <w:pPr>
        <w:pStyle w:val="Heading2"/>
      </w:pPr>
      <w:r>
        <w:t xml:space="preserve">10. Records</w:t>
      </w:r>
    </w:p>
    <w:p>
      <w:pPr>
        <w:numPr>
          <w:ilvl w:val="0"/>
          <w:numId w:val="1006"/>
        </w:numPr>
        <w:pStyle w:val="Compact"/>
      </w:pPr>
      <w:r>
        <w:t xml:space="preserve">Surgical safety checklist record (SRG-FRM-001), with the sign-in and time-out.</w:t>
      </w:r>
    </w:p>
    <w:p>
      <w:pPr>
        <w:numPr>
          <w:ilvl w:val="0"/>
          <w:numId w:val="1006"/>
        </w:numPr>
        <w:pStyle w:val="Compact"/>
      </w:pPr>
      <w:r>
        <w:t xml:space="preserve">Patient identification check log (ID-FRM-001).</w:t>
      </w:r>
    </w:p>
    <w:p>
      <w:pPr>
        <w:numPr>
          <w:ilvl w:val="0"/>
          <w:numId w:val="1006"/>
        </w:numPr>
        <w:pStyle w:val="Compact"/>
      </w:pPr>
      <w:r>
        <w:t xml:space="preserve">Incident reports.</w:t>
      </w:r>
    </w:p>
    <w:bookmarkEnd w:id="32"/>
    <w:bookmarkStart w:id="33" w:name="training"/>
    <w:p>
      <w:pPr>
        <w:pStyle w:val="Heading2"/>
      </w:pPr>
      <w:r>
        <w:t xml:space="preserve">11. Training</w:t>
      </w:r>
    </w:p>
    <w:p>
      <w:pPr>
        <w:pStyle w:val="FirstParagraph"/>
      </w:pPr>
      <w:r>
        <w:t xml:space="preserve">All surgeons, anaesthetists and theatre staff complete training on site marking and the checklist at induction and every year, with a practical assessment in a simulated theatre.</w:t>
      </w:r>
    </w:p>
    <w:bookmarkEnd w:id="33"/>
    <w:bookmarkStart w:id="34" w:name="related-documents"/>
    <w:p>
      <w:pPr>
        <w:pStyle w:val="Heading2"/>
      </w:pPr>
      <w:r>
        <w:t xml:space="preserve">12.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SRG-SOP-001</w:t>
            </w:r>
          </w:p>
        </w:tc>
        <w:tc>
          <w:tcPr/>
          <w:p>
            <w:pPr>
              <w:pStyle w:val="Compact"/>
              <w:jc w:val="left"/>
            </w:pPr>
            <w:r>
              <w:t xml:space="preserve">Surgical safety checklist procedure</w:t>
            </w:r>
          </w:p>
        </w:tc>
      </w:tr>
      <w:tr>
        <w:tc>
          <w:tcPr/>
          <w:p>
            <w:pPr>
              <w:pStyle w:val="Compact"/>
              <w:jc w:val="left"/>
            </w:pPr>
            <w:r>
              <w:t xml:space="preserve">SRG-POL-001</w:t>
            </w:r>
          </w:p>
        </w:tc>
        <w:tc>
          <w:tcPr/>
          <w:p>
            <w:pPr>
              <w:pStyle w:val="Compact"/>
              <w:jc w:val="left"/>
            </w:pPr>
            <w:r>
              <w:t xml:space="preserve">Surgical safety checklist and team pause</w:t>
            </w:r>
          </w:p>
        </w:tc>
      </w:tr>
      <w:tr>
        <w:tc>
          <w:tcPr/>
          <w:p>
            <w:pPr>
              <w:pStyle w:val="Compact"/>
              <w:jc w:val="left"/>
            </w:pPr>
            <w:r>
              <w:t xml:space="preserve">SRG-FRM-001</w:t>
            </w:r>
          </w:p>
        </w:tc>
        <w:tc>
          <w:tcPr/>
          <w:p>
            <w:pPr>
              <w:pStyle w:val="Compact"/>
              <w:jc w:val="left"/>
            </w:pPr>
            <w:r>
              <w:t xml:space="preserve">Surgical safety checklist record</w:t>
            </w:r>
          </w:p>
        </w:tc>
      </w:tr>
      <w:tr>
        <w:tc>
          <w:tcPr/>
          <w:p>
            <w:pPr>
              <w:pStyle w:val="Compact"/>
              <w:jc w:val="left"/>
            </w:pPr>
            <w:r>
              <w:t xml:space="preserve">ID-FRM-001</w:t>
            </w:r>
          </w:p>
        </w:tc>
        <w:tc>
          <w:tcPr/>
          <w:p>
            <w:pPr>
              <w:pStyle w:val="Compact"/>
              <w:jc w:val="left"/>
            </w:pPr>
            <w:r>
              <w:t xml:space="preserve">Patient identification check log</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vidence"/>
    <w:p>
      <w:pPr>
        <w:pStyle w:val="Heading2"/>
      </w:pPr>
      <w:r>
        <w:t xml:space="preserve">13. Evidence</w:t>
      </w:r>
    </w:p>
    <w:p>
      <w:pPr>
        <w:pStyle w:val="FirstParagraph"/>
      </w:pPr>
      <w:r>
        <w:t xml:space="preserve">This SOP is based on the reference sources listed below and on the requirement of criterion 60.2 of the ASF standards. The marking rules must be checked against the facility's surgical policy and the WHO checklist at each review.</w:t>
      </w:r>
    </w:p>
    <w:bookmarkEnd w:id="35"/>
    <w:bookmarkStart w:id="36" w:name="references"/>
    <w:p>
      <w:pPr>
        <w:pStyle w:val="Heading2"/>
      </w:pPr>
      <w:r>
        <w:t xml:space="preserve">References</w:t>
      </w:r>
    </w:p>
    <w:p>
      <w:pPr>
        <w:numPr>
          <w:ilvl w:val="0"/>
          <w:numId w:val="1007"/>
        </w:numPr>
        <w:pStyle w:val="Compact"/>
      </w:pPr>
      <w:r>
        <w:t xml:space="preserve">World Health Organization. Surgical Safety Checklist (first edition) and its implementation guidance. Current edition.</w:t>
      </w:r>
    </w:p>
    <w:p>
      <w:pPr>
        <w:numPr>
          <w:ilvl w:val="0"/>
          <w:numId w:val="1007"/>
        </w:numPr>
        <w:pStyle w:val="Compact"/>
      </w:pPr>
      <w:r>
        <w:t xml:space="preserve">The Joint Commission. National Patient Safety Goal NPSG.01.01.01 on patient identification, and NPSG.04.01.01 on the correct site, procedure and patient. Current edition.</w:t>
      </w:r>
    </w:p>
    <w:p>
      <w:pPr>
        <w:numPr>
          <w:ilvl w:val="0"/>
          <w:numId w:val="1007"/>
        </w:numPr>
        <w:pStyle w:val="Compact"/>
      </w:pPr>
      <w:r>
        <w:t xml:space="preserve">Facility surgical policy and marking pen specification (to be inserted by the facility at adoption).</w:t>
      </w:r>
    </w:p>
    <w:bookmarkEnd w:id="36"/>
    <w:bookmarkStart w:id="40"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7">
        <w:r>
          <w:rPr>
            <w:rStyle w:val="Hyperlink"/>
          </w:rPr>
          <w:t xml:space="preserve">Download this document as PDF</w:t>
        </w:r>
      </w:hyperlink>
    </w:p>
    <w:p>
      <w:pPr>
        <w:pStyle w:val="BodyText"/>
      </w:pPr>
      <w:hyperlink r:id="rId38">
        <w:r>
          <w:rPr>
            <w:rStyle w:val="Hyperlink"/>
          </w:rPr>
          <w:t xml:space="preserve">Download this document as an editable Word file</w:t>
        </w:r>
      </w:hyperlink>
    </w:p>
    <w:p>
      <w:pPr>
        <w:pStyle w:val="BodyText"/>
      </w:pPr>
      <w:r>
        <w:t xml:space="preserve">Related standard</w:t>
      </w:r>
    </w:p>
    <w:p>
      <w:pPr>
        <w:numPr>
          <w:ilvl w:val="0"/>
          <w:numId w:val="1008"/>
        </w:numPr>
        <w:pStyle w:val="Compact"/>
      </w:pPr>
      <w:hyperlink r:id="rId39">
        <w:r>
          <w:rPr>
            <w:rStyle w:val="Hyperlink"/>
          </w:rPr>
          <w:t xml:space="preserve">Standard 11: Procedure Units, Endoscopy and Interventional Care</w:t>
        </w:r>
      </w:hyperlink>
    </w:p>
    <w:bookmarkEnd w:id="40"/>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hyperlink" Target="https://france-asf.fr/standards/standard-11/" TargetMode="External"/><Relationship Id="rId38" Type="http://schemas.openxmlformats.org/officeDocument/2006/relationships/hyperlink" Target="https://france-asf.fr/wp-content/uploads/2026/10/srg-sop-002.docx" TargetMode="External"/><Relationship Id="rId37" Type="http://schemas.openxmlformats.org/officeDocument/2006/relationships/hyperlink" Target="https://france-asf.fr/wp-content/uploads/2026/10/srg-sop-002.pdf" TargetMode="External"/></Relationships>
</file>

<file path=word/_rels/footnotes.xml.rels><?xml version='1.0' encoding='UTF-8' standalone='yes'?>
<Relationships xmlns="http://schemas.openxmlformats.org/package/2006/relationships"><Relationship Id="rId39" Type="http://schemas.openxmlformats.org/officeDocument/2006/relationships/hyperlink" Target="https://france-asf.fr/standards/standard-11/" TargetMode="External"/><Relationship Id="rId38" Type="http://schemas.openxmlformats.org/officeDocument/2006/relationships/hyperlink" Target="https://france-asf.fr/wp-content/uploads/2026/10/srg-sop-002.docx" TargetMode="External"/><Relationship Id="rId37" Type="http://schemas.openxmlformats.org/officeDocument/2006/relationships/hyperlink" Target="https://france-asf.fr/wp-content/uploads/2026/10/srg-sop-0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SRG-SOP-002: Surgical site marking and patient identification before every operation</dc:title>
  <dc:creator/>
  <cp:keywords/>
  <dcterms:created xsi:type="dcterms:W3CDTF">2026-10-28T21:34:21Z</dcterms:created>
  <dcterms:modified xsi:type="dcterms:W3CDTF">2026-10-28T21:34:21Z</dcterms:modified>
</cp:coreProperties>
</file>

<file path=docProps/custom.xml><?xml version="1.0" encoding="utf-8"?>
<Properties xmlns="http://schemas.openxmlformats.org/officeDocument/2006/custom-properties" xmlns:vt="http://schemas.openxmlformats.org/officeDocument/2006/docPropsVTypes"/>
</file>