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ACC-REG-001: ლოდინის ყოველთვიური მიმოხილვა</w:t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რეგისტრი</w:t>
            </w:r>
          </w:p>
          <w:p>
            <w:pPr>
              <w:pStyle w:val="Compact"/>
              <w:jc w:val="left"/>
            </w:pPr>
            <w:r>
              <w:t xml:space="preserve">ლოდინის ყოველთვიური მიმოხილვა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ACC-REG-001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2B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>რეგისტრი · ACC-REG-001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2B.2</w:t>
        </w:r>
      </w:hyperlink>
    </w:p>
    <w:bookmarkStart w:id="24" w:name="purpose"/>
    <w:p>
      <w:pPr>
        <w:pStyle w:val="Heading2"/>
      </w:pPr>
      <w:r>
        <w:t>დანიშნულება</w:t>
      </w:r>
    </w:p>
    <w:p>
      <w:pPr>
        <w:pStyle w:val="FirstParagraph"/>
      </w:pPr>
      <w:r>
        <w:t>ყოველთვიური შეჯამება ყოველი ეტაპის ლოდინის შესახებ, იმ ქმედებებთან ერთად, რომლებიც განხორციელდა მიზნობრივ მაჩვენებელს გადაჭარბებული ნებისმიერი სერვისისთვის.</w:t>
      </w:r>
    </w:p>
    <w:bookmarkEnd w:id="24"/>
    <w:bookmarkStart w:id="25" w:name="how-to-complete"/>
    <w:p>
      <w:pPr>
        <w:pStyle w:val="Heading2"/>
      </w:pPr>
      <w:r>
        <w:t>როგორ შევავსოთ</w:t>
      </w:r>
    </w:p>
    <w:p>
      <w:pPr>
        <w:numPr>
          <w:ilvl w:val="0"/>
          <w:numId w:val="1001"/>
        </w:numPr>
        <w:pStyle w:val="Compact"/>
      </w:pPr>
      <w:r>
        <w:t>რიგის ჟურნალიდან ყოველი ეტაპისთვის გამოთვალეთ ლოდინის მედიანა და 90-ე პროცენტილი.</w:t>
      </w:r>
    </w:p>
    <w:p>
      <w:pPr>
        <w:numPr>
          <w:ilvl w:val="0"/>
          <w:numId w:val="1001"/>
        </w:numPr>
        <w:pStyle w:val="Compact"/>
      </w:pPr>
      <w:r>
        <w:t>შეადარეთ მიზნობრივ მაჩვენებელს.</w:t>
      </w:r>
    </w:p>
    <w:p>
      <w:pPr>
        <w:numPr>
          <w:ilvl w:val="0"/>
          <w:numId w:val="1001"/>
        </w:numPr>
        <w:pStyle w:val="Compact"/>
      </w:pPr>
      <w:r>
        <w:t>დააფიქსირეთ ქმედება ნებისმიერი სერვისისთვის, რომელიც ორი თვის განმავლობაში აღემატება მიზნობრივ მაჩვენებელს.</w:t>
      </w:r>
    </w:p>
    <w:bookmarkEnd w:id="25"/>
    <w:bookmarkStart w:id="26" w:name="record-fields"/>
    <w:p>
      <w:pPr>
        <w:pStyle w:val="Heading2"/>
      </w:pPr>
      <w:r>
        <w:t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თვე</w:t>
            </w:r>
          </w:p>
        </w:tc>
        <w:tc>
          <w:tcPr/>
          <w:p>
            <w:pPr>
              <w:pStyle w:val="Compact"/>
              <w:jc w:val="left"/>
            </w:pPr>
            <w:r>
              <w:t>სერვისი</w:t>
            </w:r>
          </w:p>
        </w:tc>
        <w:tc>
          <w:tcPr/>
          <w:p>
            <w:pPr>
              <w:pStyle w:val="Compact"/>
              <w:jc w:val="left"/>
            </w:pPr>
            <w:r>
              <w:t>ეტაპი</w:t>
            </w:r>
          </w:p>
        </w:tc>
        <w:tc>
          <w:tcPr/>
          <w:p>
            <w:pPr>
              <w:pStyle w:val="Compact"/>
              <w:jc w:val="left"/>
            </w:pPr>
            <w:r>
              <w:t>ლოდინის მედიანა</w:t>
            </w:r>
          </w:p>
        </w:tc>
        <w:tc>
          <w:tcPr/>
          <w:p>
            <w:pPr>
              <w:pStyle w:val="Compact"/>
              <w:jc w:val="left"/>
            </w:pPr>
            <w:r>
              <w:t>ლოდინის 90-ე პროცენტილი</w:t>
            </w:r>
          </w:p>
        </w:tc>
        <w:tc>
          <w:tcPr/>
          <w:p>
            <w:pPr>
              <w:pStyle w:val="Compact"/>
              <w:jc w:val="left"/>
            </w:pPr>
            <w:r>
              <w:t>მიზნობრივი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განხორციელებული ქმედება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evidence"/>
    <w:p>
      <w:pPr>
        <w:pStyle w:val="Heading2"/>
      </w:pPr>
      <w:r>
        <w:t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change-history"/>
    <w:p>
      <w:pPr>
        <w:pStyle w:val="Heading2"/>
      </w:pPr>
      <w:r>
        <w:t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შიდა ხარისხის მიმოხილვა: შესწორდა ჯვარედინი მითითებები, სტატუსის ფორმულირებები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29">
        <w:r>
          <w:rPr>
            <w:rStyle w:val="Hyperlink"/>
          </w:rPr>
          <w:t xml:space="preserve">ჩამოტვირთეთ ეს დოკუმენტი PDF ფორმატში</w:t>
        </w:r>
      </w:hyperlink>
    </w:p>
    <w:bookmarkEnd w:id="30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register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b/" TargetMode="External"/><Relationship Id="rId23" Type="http://schemas.openxmlformats.org/officeDocument/2006/relationships/hyperlink" Target="/ka/standards/standard-2b/#c2b-2" TargetMode="External"/><Relationship Id="rId29" Type="http://schemas.openxmlformats.org/officeDocument/2006/relationships/hyperlink" Target="https://france-asf.fr/wp-content/uploads/2026/11/acc-reg-001-ka-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b/" TargetMode="External"/><Relationship Id="rId23" Type="http://schemas.openxmlformats.org/officeDocument/2006/relationships/hyperlink" Target="/standards/standard-2b/#c2b-2" TargetMode="External"/><Relationship Id="rId29" Type="http://schemas.openxmlformats.org/officeDocument/2006/relationships/hyperlink" Target="https://france-asf.fr/wp-content/uploads/2026/10/acc-reg-00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ACC-REG-001: ლოდინის ყოველთვიური მიმოხილვა</dc:title>
  <dc:creator/>
  <cp:keywords/>
  <dcterms:created xsi:type="dcterms:W3CDTF">2026-10-28T21:34:45Z</dcterms:created>
  <dcterms:modified xsi:type="dcterms:W3CDTF">2026-10-28T21:34:45Z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