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07238d41bada85be5d104db40a7dbf087c79ea"/>
    <w:p>
      <w:pPr>
        <w:pStyle w:val="Heading1"/>
      </w:pPr>
      <w:r>
        <w:t xml:space="preserve">AFT-REG-002: ხელახალი მიღებისა და მოვლის შემდგომი პრობლემების განხილვის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AFT-REG-002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42.5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განსაზღვრულ პერიოდში ყოველ დაუგეგმავ დაბრუნებას და მოვლის შემდგომ ყოველ პრობლემასა თუ ინციდენტს, მის განხილვასა და პრაქტიკაში შეტანილ ცვლილებებთან ერთად.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ყოველი დაბრუნება განსაზღვრულ პერიოდში.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მოვლის შემდგომი ყოველი პრობლემა ან ინციდენტი.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განხილვა და შეტანილი ცვლილებები.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პაციენტი, გაწერის თარიღი და დაბრუნების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პრობლემის ან ინციდენტის ტიპი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კანონზომიერება და ცვლილება პრაქტიკაში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გლობალურ სამოქმედო გეგმას პაციენტის უსაფრთხოებისთვის 2021–2030 წლებისთვის მოვლის გადასვლის შესახებ, WHO-ს საგანგებო მოვლის სისტემების ჩარჩოს სასწრაფო დახმარებისთვის და ASF საავადმყოფოს სტანდარტს გაწერისა და მოვლის შემდგომი მოვლის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Aftercare &amp; Follow-up: Standards for Safe Discharge</w:t>
      </w:r>
      <w:r>
        <w:t xml:space="preserve"> </w:t>
      </w:r>
      <w:r>
        <w:t xml:space="preserve">(H-06)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42/" TargetMode="External"/><Relationship Id="rId23" Type="http://schemas.openxmlformats.org/officeDocument/2006/relationships/hyperlink" Target="/ka/standards/standard-42/#c42-5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42/" TargetMode="External"/><Relationship Id="rId23" Type="http://schemas.openxmlformats.org/officeDocument/2006/relationships/hyperlink" Target="/ka/standards/standard-42/#c42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2026-11-07T01:05:36Z</dcterms:created>
  <dcterms:modified xsi:type="dcterms:W3CDTF">2026-11-07T01:05:36Z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