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AI-POL-002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გადაწყვეტილების საბოლოო მიმღები კლინიკოსი პასუხისმგებელი რჩება მასზე.</w:t>
      </w:r>
    </w:p>
    <w:p>
      <w:pPr>
        <w:numPr>
          <w:ilvl w:val="0"/>
          <w:numId w:val="1001"/>
        </w:numPr>
        <w:pStyle w:val="Compact"/>
      </w:pPr>
      <w:r>
        <w:t xml:space="preserve">დაწერეთ ანგარიშვალდებულების წესი თითოეული AI სისტემისთვის, რომელსაც მმართველი ორგანო ამტკიცებს.</w:t>
      </w:r>
    </w:p>
    <w:p>
      <w:pPr>
        <w:numPr>
          <w:ilvl w:val="0"/>
          <w:numId w:val="1001"/>
        </w:numPr>
        <w:pStyle w:val="Compact"/>
      </w:pPr>
      <w:r>
        <w:t xml:space="preserve">გადახედეთ ანგარიშვალდებულებას ნებისმიერი AI-სთან დაკავშირებული უსაფრთხოების ინციდენტის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წესი აცნობეთ ყველა კლინიკურ მომხმარებელს.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AI-ს დახმარებით მიღებული გადაწყვეტილება მიიღება მაშინ, როცა ამ სისტემისთვის ანგარიშვალდებულება წერილობით არ არის დაფიქსირებული.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წერილობით და წინასწარ განისაზღვროს, ვინ არის პასუხისმგებელი, როცა AI-ს დახმარებით მიღებული მზრუნველობის გადაწყვეტილება არასწორია, რათა კითხვა გადაწყდეს მანამ, სანამ ეს მნიშვნელოვანი გახდება [E-011, 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კლინიკოსები, კლინიკური ხელმძღვანელები, აღმასრულებელი დირექტორი, მმართველი ორგანო, იურიდიული მრჩეველი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კლინიკური მიმართულება, რომელიც იყენებს AI სისტემებს ობიექტში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თითოეული AI სისტემის დანერგვამდე; განიხილება ყოველწლიურად და ინციდენტების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გადაწყვეტილებების ანგარიშვალდებულება AI-ს გარეშე, დაფარული არსებული კლინიკური მმართველობით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ანგარიშვალდებულება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ვალდებულება, პასუხი აგოს გადაწყვეტილებაზე და გამოასწოროს მისგან მიყენებული ზიანი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საბოლოო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გადაწყვეტილება, რომელიც ეცნობება პაციენტს და აღირიცხება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AI-ს მხარდაჭერით მიღებული გადაწყვეტილება არასწორია, კითხვა „ვინ არის პასუხისმგებელი“ ხშირად ღია რჩება, რაც ზიანს აყენებს პაციენტებსა და პერსონალს. კრიტერიუმი 2D.7 მოითხოვს, რომ ეს წინასწარ იყოს განსაზღვრული და დამტკიცებული [E-011].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წესს აქტუალურს; ხელმძღვანელობს განხილვებს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კლინიკოსები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ღებულობენ ანგარიშვალდებულებას თავიანთ საბოლოო გადაწყვეტილებაზე და ესმით სისტემის ზღვრები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იურიდიული მრჩეველი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კონსულტაციას უწევს სამართლებრივ პოზიციაზე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იურიდიული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ანგარიშვალდებულების წესი თითოეული AI სისტემისთვის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წერილობითი, მმართველი ორგანოს მიერ დამტკიცებული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პერსონალის ბრიფინგი ანგარიშვალდებულებაზე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გასაგები ენით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ტარდება დასაქმებისას და სისტემის დანერგვისას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წესი არასდროს უნდა ხელს უშლიდეს კლინიკოსს AI-ს შედეგის უარყოფაში.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სისტემისთვის წესი დამტკიცებულია.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წესის შედგენა.</w:t>
      </w:r>
    </w:p>
    <w:p>
      <w:pPr>
        <w:numPr>
          <w:ilvl w:val="0"/>
          <w:numId w:val="1004"/>
        </w:numPr>
        <w:pStyle w:val="Compact"/>
      </w:pPr>
      <w:r>
        <w:t xml:space="preserve">თითოეული AI სისტემისთვის ჩამოწერეთ, ვინ იღებს საბოლოო გადაწყვეტილებას, ვინ არის მისთვის ანგარიშვალდებული და როგორ ეცნობება სისტემის ზღვრები.</w:t>
      </w:r>
    </w:p>
    <w:p>
      <w:pPr>
        <w:numPr>
          <w:ilvl w:val="0"/>
          <w:numId w:val="1004"/>
        </w:numPr>
        <w:pStyle w:val="Compact"/>
      </w:pPr>
      <w:r>
        <w:t xml:space="preserve">ჩართეთ პაციენტისთვის ზიანის და კომპენსაციის პროცესი.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დაწერეთ გამოყენებამდე, არა პირველი ინციდენტის შემდეგ.</w:t>
      </w:r>
    </w:p>
    <w:p>
      <w:pPr>
        <w:pStyle w:val="BodyText"/>
      </w:pPr>
      <w:r>
        <w:t xml:space="preserve">ნაბიჯი 2. დამტკიცება.</w:t>
      </w:r>
    </w:p>
    <w:p>
      <w:pPr>
        <w:numPr>
          <w:ilvl w:val="0"/>
          <w:numId w:val="1005"/>
        </w:numPr>
        <w:pStyle w:val="Compact"/>
      </w:pPr>
      <w:r>
        <w:t xml:space="preserve">მმართველი ორგანო წესს ამტკიცებს სისტემის გამოყენებამდე.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დამტკიცება წესს ავალდებულებს ლიდერებსაც და პერსონალსაც.</w:t>
      </w:r>
    </w:p>
    <w:p>
      <w:pPr>
        <w:pStyle w:val="BodyText"/>
      </w:pPr>
      <w:r>
        <w:t xml:space="preserve">ნაბიჯი 3. კლინიკოსების ბრიფინგი.</w:t>
      </w:r>
    </w:p>
    <w:p>
      <w:pPr>
        <w:numPr>
          <w:ilvl w:val="0"/>
          <w:numId w:val="1006"/>
        </w:numPr>
        <w:pStyle w:val="Compact"/>
      </w:pPr>
      <w:r>
        <w:t xml:space="preserve">გააცანით თითოეულ კლინიკურ მომხმარებელს მისი ანგარიშვალდებულება და სისტემის ზღვრები.</w:t>
      </w:r>
    </w:p>
    <w:p>
      <w:pPr>
        <w:numPr>
          <w:ilvl w:val="0"/>
          <w:numId w:val="1006"/>
        </w:numPr>
        <w:pStyle w:val="Compact"/>
      </w:pPr>
      <w:r>
        <w:t xml:space="preserve">ჩაწერეთ ბრიფინგი.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კლინიკოსებმა თავიანთი ვალდებულება უნდა გაიგონ მანამდე, სანამ ინსტრუმენტს გამოიყენებენ.</w:t>
      </w:r>
    </w:p>
    <w:p>
      <w:pPr>
        <w:pStyle w:val="BodyText"/>
      </w:pPr>
      <w:r>
        <w:t xml:space="preserve">ნაბიჯი 4. განხილვა ინციდენტების შემდეგ.</w:t>
      </w:r>
    </w:p>
    <w:p>
      <w:pPr>
        <w:numPr>
          <w:ilvl w:val="0"/>
          <w:numId w:val="1007"/>
        </w:numPr>
        <w:pStyle w:val="Compact"/>
      </w:pPr>
      <w:r>
        <w:t xml:space="preserve">ნებისმიერი AI-სთან დაკავშირებული ინციდენტის შემდეგ გადახედეთ, იყო თუ არა წესი ნათელი და მუშაობდა.</w:t>
      </w:r>
    </w:p>
    <w:p>
      <w:pPr>
        <w:numPr>
          <w:ilvl w:val="0"/>
          <w:numId w:val="1007"/>
        </w:numPr>
        <w:pStyle w:val="Compact"/>
      </w:pPr>
      <w:r>
        <w:t xml:space="preserve">განაახლეთ და ჩაწერეთ ცვლილება.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ყოველი ინციდენტი წესს ამოწმებს.</w:t>
      </w:r>
    </w:p>
    <w:p>
      <w:pPr>
        <w:pStyle w:val="BodyText"/>
      </w:pPr>
      <w:r>
        <w:t xml:space="preserve">ნაბიჯი 5. ყოველწლიური განხილვა.</w:t>
      </w:r>
    </w:p>
    <w:p>
      <w:pPr>
        <w:numPr>
          <w:ilvl w:val="0"/>
          <w:numId w:val="1008"/>
        </w:numPr>
        <w:pStyle w:val="Compact"/>
      </w:pPr>
      <w:r>
        <w:t xml:space="preserve">ყოველ წესს ყოველწლიურად განიხილეთ და ნებისმიერი სისტემის ან კანონის ცვლილების შემდეგ.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კანონები და სისტემები იცვლება.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ინციდენტში ანგარიშვალდებულება ნათელი არ არის, აღმასრულებელი დირექტორი წყვეტს, ჩაწერს მიზეზებს და შემდეგ განაახლებს წესს.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კლინიკოსი უარყოფს AI-ს შედეგს და ზიანი მოსდევს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გადახედეთ გადაწყვეტილებას ინციდენტის პროცესით და არა ავტომატურად, როგორც AI-ს ბრალს.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AI-სთან დაკავშირებული ინციდენტები დაუყოვნებლივ გადაეცემა აღმასრულებელ დირექტორს და INC-POL-001-ს.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 სისტემები დამტკიცებული წესით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 შეჩერდეს დამტკიცებამდე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კლინიკოსები ბრიფინგირებულია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ბრიფინგი 30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ინციდენტები განხილულია წესთან მიმართებით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 ანგარიშვალდებულების წესისა და ბრიფინგის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კლინიკოსები ბრიფინგდებიან დასაქმებისას და სისტემის დანერგვისას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AI-POL-001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AI-ს პასუხისმგებლური გამოყენება მზრუნველობაში,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მშობელი 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შეტყობინება და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მარშრუტი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სერიოზული ინციდენტების ძირეული მიზეზის ანალიზი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სერიოზული ინციდენტების განხილვა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(2021), ხელოვნური ინტელექტის ეთიკა და მმართველობა ჯანდაცვისთვის. გამოყენებულია AI მმართველობის საფუძვლად. ბმული და ფორმულირება გადასამოწმებელია გამოქვეყნებამდე.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სამართლებრივი პოზიცია დადგენილია ASF ექსპერტთა კომიტეტის მიერ.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ხელოვნური ინტელექტი ჯანდაცვაში: უსაფრთხოება</w:t>
        </w:r>
      </w:hyperlink>
      <w:r>
        <w:t xml:space="preserve"> </w:t>
      </w:r>
      <w:r>
        <w:t xml:space="preserve">(AI-001)</w:t>
      </w:r>
    </w:p>
    <w:bookmarkEnd w:id="46"/>
    <w:bookmarkStart w:id="50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3"/>
        </w:numPr>
        <w:pStyle w:val="Compact"/>
      </w:pPr>
      <w:r>
        <w:t xml:space="preserve">World Health Organization (2021). ხელოვნური ინტელექტის ეთიკა და მმართველობა ჯანდაცვისთვის: WHO-ს სახელმძღვანელო. ჟენევა: WHO.</w:t>
      </w:r>
      <w:r>
        <w:t xml:space="preserve"> </w:t>
      </w:r>
      <w:hyperlink r:id="rId47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(E-011)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8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ai-pol-001/" TargetMode="External" /><Relationship Type="http://schemas.openxmlformats.org/officeDocument/2006/relationships/hyperlink" Id="rId40" Target="/ka/documents/inc-pol-001/" TargetMode="External" /><Relationship Type="http://schemas.openxmlformats.org/officeDocument/2006/relationships/hyperlink" Id="rId41" Target="/ka/documents/inc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7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9" Target="https://france-asf.fr/wp-content/uploads/2026/10/ai-pol-002-form-1.docx" TargetMode="External" /><Relationship Type="http://schemas.openxmlformats.org/officeDocument/2006/relationships/hyperlink" Id="rId48" Target="https://france-asf.fr/wp-content/uploads/2026/10/ai-pol-002-form-a4-1.pdf" TargetMode="External" /><Relationship Type="http://schemas.openxmlformats.org/officeDocument/2006/relationships/hyperlink" Id="rId47" Target="https://who.int/publications/i/item/97892400292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ai-pol-001/" TargetMode="External" /><Relationship Type="http://schemas.openxmlformats.org/officeDocument/2006/relationships/hyperlink" Id="rId40" Target="/ka/documents/inc-pol-001/" TargetMode="External" /><Relationship Type="http://schemas.openxmlformats.org/officeDocument/2006/relationships/hyperlink" Id="rId41" Target="/ka/documents/inc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7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9" Target="https://france-asf.fr/wp-content/uploads/2026/10/ai-pol-002-form-1.docx" TargetMode="External" /><Relationship Type="http://schemas.openxmlformats.org/officeDocument/2006/relationships/hyperlink" Id="rId48" Target="https://france-asf.fr/wp-content/uploads/2026/10/ai-pol-002-form-a4-1.pdf" TargetMode="External" /><Relationship Type="http://schemas.openxmlformats.org/officeDocument/2006/relationships/hyperlink" Id="rId47" Target="https://who.int/publications/i/item/97892400292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2026-11-07T01:47:22Z</dcterms:created>
  <dcterms:modified xsi:type="dcterms:W3CDTF">2026-11-07T01:47:22Z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