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hyperlink r:id="rId20">
        <w:r>
          <w:rPr>
            <w:rStyle w:val="Hyperlink"/>
          </w:rPr>
          <w:t xml:space="preserve">სტანდარტები</w:t>
        </w:r>
      </w:hyperlink>
      <w:r>
        <w:t xml:space="preserve"> </w:t>
      </w:r>
      <w:r>
        <w:t xml:space="preserve">›</w:t>
      </w:r>
      <w:r>
        <w:t xml:space="preserve"> </w:t>
      </w:r>
      <w:hyperlink r:id="rId21">
        <w:r>
          <w:rPr>
            <w:rStyle w:val="Hyperlink"/>
          </w:rPr>
          <w:t xml:space="preserve">სტანდარტი 2D</w:t>
        </w:r>
      </w:hyperlink>
      <w:r>
        <w:t xml:space="preserve"> </w:t>
      </w:r>
      <w:r>
        <w:t xml:space="preserve">›</w:t>
      </w:r>
      <w:r>
        <w:t xml:space="preserve"> </w:t>
      </w:r>
      <w:hyperlink r:id="rId22">
        <w:r>
          <w:rPr>
            <w:rStyle w:val="Hyperlink"/>
          </w:rPr>
          <w:t xml:space="preserve">სტანდარტული საოპერაციო პროცედურები (SOP)</w:t>
        </w:r>
      </w:hyperlink>
    </w:p>
    <w:p>
      <w:pPr>
        <w:pStyle w:val="BodyText"/>
      </w:pPr>
      <w:r>
        <w:t xml:space="preserve">სტანდარტული საოპერაციო პროცედურა (SOP) · AI-SOP-001 · ვერსია 1.1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მხარს უჭერს:</w:t>
      </w:r>
      <w:r>
        <w:t xml:space="preserve"> </w:t>
      </w:r>
      <w:hyperlink r:id="rId23">
        <w:r>
          <w:rPr>
            <w:rStyle w:val="Hyperlink"/>
          </w:rPr>
          <w:t xml:space="preserve">2D.5</w:t>
        </w:r>
      </w:hyperlink>
    </w:p>
    <w:p>
      <w:pPr>
        <w:pStyle w:val="BodyText"/>
      </w:pPr>
      <w:r>
        <w:t xml:space="preserve">მოკლედ</w:t>
      </w:r>
    </w:p>
    <w:p>
      <w:pPr>
        <w:numPr>
          <w:ilvl w:val="0"/>
          <w:numId w:val="1001"/>
        </w:numPr>
        <w:pStyle w:val="Compact"/>
      </w:pPr>
      <w:r>
        <w:t xml:space="preserve">ყოველ კვარტალში აუდიტი ჩაუტარეთ AI-ის დახმარებით მიღებული გადაწყვეტილებების შერჩევას გადაჭარბებული და გამოტოვებული დიაგნოზის თვალსაზრისით.</w:t>
      </w:r>
    </w:p>
    <w:p>
      <w:pPr>
        <w:numPr>
          <w:ilvl w:val="0"/>
          <w:numId w:val="1001"/>
        </w:numPr>
        <w:pStyle w:val="Compact"/>
      </w:pPr>
      <w:r>
        <w:t xml:space="preserve">აღრიცხეთ ყოველი ჩივილი ან შეშფოთება AI-ის დახმარებით მიწოდებულ მზრუნველობასთან დაკავშირებით.</w:t>
      </w:r>
    </w:p>
    <w:p>
      <w:pPr>
        <w:numPr>
          <w:ilvl w:val="0"/>
          <w:numId w:val="1001"/>
        </w:numPr>
        <w:pStyle w:val="Compact"/>
      </w:pPr>
      <w:r>
        <w:t xml:space="preserve">იმოქმედეთ ნებისმიერ დასკვნაზე: გადაამზადეთ, შეზღუდეთ გამოყენება ან შეწყვიტეთ.</w:t>
      </w:r>
    </w:p>
    <w:p>
      <w:pPr>
        <w:numPr>
          <w:ilvl w:val="0"/>
          <w:numId w:val="1001"/>
        </w:numPr>
        <w:pStyle w:val="Compact"/>
      </w:pPr>
      <w:r>
        <w:t xml:space="preserve">ყოველი აუდიტი ჩაწერეთ AI-REG-001-ზე.</w:t>
      </w:r>
    </w:p>
    <w:p>
      <w:pPr>
        <w:numPr>
          <w:ilvl w:val="0"/>
          <w:numId w:val="1001"/>
        </w:numPr>
        <w:pStyle w:val="Compact"/>
      </w:pPr>
      <w:r>
        <w:t xml:space="preserve">შეაჩერეთ და დაუყოვნებლივ მიმართეთ დახმარებას, თუ: აუდიტი აჩვენებს ზიანს ან შეცდომის ტენდენციას და გამოყენება მიმდინარეობს განხილვის გარეშე.</w:t>
      </w:r>
    </w:p>
    <w:bookmarkStart w:id="24" w:name="მიზანი"/>
    <w:p>
      <w:pPr>
        <w:pStyle w:val="Heading2"/>
      </w:pPr>
      <w:r>
        <w:t xml:space="preserve">1. მიზანი</w:t>
      </w:r>
    </w:p>
    <w:p>
      <w:pPr>
        <w:pStyle w:val="FirstParagraph"/>
      </w:pPr>
      <w:r>
        <w:t xml:space="preserve">AI სისტემების მონიტორინგისთვის დანერგვის შემდეგ გადაჭარბებული დიაგნოზის, გამოტოვებული დიაგნოზის, ჩივილებისა და სხვა არასასურველი შედეგების თვალსაზრისით, და დასკვნებზე რეაგირებისთვის [E-011, EC].</w:t>
      </w:r>
    </w:p>
    <w:bookmarkEnd w:id="24"/>
    <w:bookmarkStart w:id="25" w:name="მოქმედების-სფერო"/>
    <w:p>
      <w:pPr>
        <w:pStyle w:val="Heading2"/>
      </w:pPr>
      <w:r>
        <w:t xml:space="preserve">2. მოქმედების სფერო</w:t>
      </w:r>
    </w:p>
    <w:tbl>
      <w:tblPr>
        <w:tblStyle w:val="Table"/>
        <w:tblW w:type="auto" w:w="0"/>
        <w:tblLook w:firstRow="0" w:lastRow="0" w:firstColumn="0" w:lastColumn="0" w:noHBand="0" w:noVBand="0" w:val="0000"/>
        <w:jc w:val="start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კლინიკური ხელმძღვანელები, ხარისხის ხელმძღვანელი, IT ხელმძღვანელი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ადგილმდებარეობა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ყველა კლინიკური მიმართულება, რომელიც იყენებს AI სისტემებს ობიექტში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დრო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კვარტალური აუდიტი; ჩივილების უწყვეტი თვალყურის დევნება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არ 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ზოგადი კლინიკური აუდიტი, დაფარულია SOP-N26-ით</w:t>
            </w:r>
          </w:p>
        </w:tc>
      </w:tr>
    </w:tbl>
    <w:bookmarkEnd w:id="25"/>
    <w:bookmarkStart w:id="26" w:name="ტერმინთა-განმარტებები"/>
    <w:p>
      <w:pPr>
        <w:pStyle w:val="Heading2"/>
      </w:pPr>
      <w:r>
        <w:t xml:space="preserve">3. ტერმინთა განმარტებები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ტერმინი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მნიშვნელობა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გადაჭარბებული დიაგნოზი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მდგომარეობა, რომელიც აღირიცხა ან ემკურნალა, მაგრამ სხვაგვარად საჭირო არ იქნებოდა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გამოტოვებული დიაგნოზი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მდგომარეობა, რომელიც AI სისტემამ ან მისმა გამოყენებამ ვერ აღმოაჩინა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აუდიტის შერჩევა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AI-ის დახმარებით მიღებული გადაწყვეტილებების ნაკრები, შერჩეული კლინიკურ შედეგთან შესადარებლად</w:t>
            </w:r>
          </w:p>
        </w:tc>
      </w:tr>
    </w:tbl>
    <w:bookmarkEnd w:id="26"/>
    <w:bookmarkStart w:id="27" w:name="ფონი"/>
    <w:p>
      <w:pPr>
        <w:pStyle w:val="Heading2"/>
      </w:pPr>
      <w:r>
        <w:t xml:space="preserve">4. ფონი</w:t>
      </w:r>
    </w:p>
    <w:p>
      <w:pPr>
        <w:pStyle w:val="FirstParagraph"/>
      </w:pPr>
      <w:r>
        <w:t xml:space="preserve">AI ინსტრუმენტმა შეიძლება კარგად იმუშაოს ტესტირებაზე და ცუდად გამოყენებისას. კრიტერიუმი 2D.5 მოითხოვს მუდმივ შემოწმებას გადაჭარბებული დიაგნოზის, გამოტოვებული დიაგნოზისა და სხვა არასასურველი შედეგების თვალსაზრისით და არა იმ დაშვებას, რომ ინსტრუმენტი მუშაობს დაგეგმილად.</w:t>
      </w:r>
    </w:p>
    <w:bookmarkEnd w:id="27"/>
    <w:bookmarkStart w:id="28" w:name="პასუხისმგებლობები"/>
    <w:p>
      <w:pPr>
        <w:pStyle w:val="Heading2"/>
      </w:pPr>
      <w:r>
        <w:t xml:space="preserve">5. პასუხისმგებლობები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როლი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პასუხისმგებლობა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კომპეტენცია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თითოეული სისტემის კლინიკური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ატარებს კვარტალურ აუდიტს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კლინიკური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ხარისხის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განიხილავს დასკვნებსა და ტენდენციებს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ხარისხი (SOP-N26)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IT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ამოწმებს შესრულების მონაცემებსა და სისტემის ცვლილებებს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ჯანდაცვის ინფორმატიკა (EC)</w:t>
            </w:r>
          </w:p>
        </w:tc>
      </w:tr>
    </w:tbl>
    <w:bookmarkEnd w:id="28"/>
    <w:bookmarkStart w:id="29" w:name="მასალები-და-აღჭურვილობა"/>
    <w:p>
      <w:pPr>
        <w:pStyle w:val="Heading2"/>
      </w:pPr>
      <w:r>
        <w:t xml:space="preserve">6. მასალები და აღჭურვილობა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ერთეული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მოთხოვნა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მდგომარეობა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აუდიტის შერჩევის სია (შემთხვევითი, კვარტალში 10, EC)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მოქმედი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 კვარტალში იქმნება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AI-REG-001 მონიტორინგის რეგისტრი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მოქმედი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ხარისხის ფაილი</w:t>
            </w:r>
          </w:p>
        </w:tc>
      </w:tr>
    </w:tbl>
    <w:bookmarkEnd w:id="29"/>
    <w:bookmarkStart w:id="30" w:name="უსაფრთხოება"/>
    <w:p>
      <w:pPr>
        <w:pStyle w:val="Heading2"/>
      </w:pPr>
      <w:r>
        <w:t xml:space="preserve">7. უსაფრთხოება</w:t>
      </w:r>
    </w:p>
    <w:p>
      <w:pPr>
        <w:numPr>
          <w:ilvl w:val="0"/>
          <w:numId w:val="1002"/>
        </w:numPr>
        <w:pStyle w:val="Compact"/>
      </w:pPr>
      <w:r>
        <w:t xml:space="preserve">პაციენტები, რომლებზეც ეჭვმიტანილი შეცდომა მოქმედებს, დაუყოვნებლივ გადაიხედება კლინიკურად და არ იწევს შემდეგ აუდიტამდე.</w:t>
      </w:r>
    </w:p>
    <w:bookmarkEnd w:id="30"/>
    <w:bookmarkStart w:id="31" w:name="დაწყებამდე"/>
    <w:p>
      <w:pPr>
        <w:pStyle w:val="Heading2"/>
      </w:pPr>
      <w:r>
        <w:t xml:space="preserve">8. დაწყებამდე</w:t>
      </w:r>
    </w:p>
    <w:p>
      <w:pPr>
        <w:numPr>
          <w:ilvl w:val="0"/>
          <w:numId w:val="1003"/>
        </w:numPr>
        <w:pStyle w:val="Compact"/>
      </w:pPr>
      <w:r>
        <w:t xml:space="preserve">დაადასტურეთ სისტემის ვერსია და აუდიტის პერიოდი.</w:t>
      </w:r>
    </w:p>
    <w:bookmarkEnd w:id="31"/>
    <w:bookmarkStart w:id="32" w:name="პროცედურა"/>
    <w:p>
      <w:pPr>
        <w:pStyle w:val="Heading2"/>
      </w:pPr>
      <w:r>
        <w:t xml:space="preserve">9. პროცედურა</w:t>
      </w:r>
    </w:p>
    <w:p>
      <w:pPr>
        <w:pStyle w:val="FirstParagraph"/>
      </w:pPr>
      <w:r>
        <w:t xml:space="preserve">ნაბიჯი 1. შერჩევა.</w:t>
      </w:r>
    </w:p>
    <w:p>
      <w:pPr>
        <w:numPr>
          <w:ilvl w:val="0"/>
          <w:numId w:val="1004"/>
        </w:numPr>
        <w:pStyle w:val="Compact"/>
      </w:pPr>
      <w:r>
        <w:t xml:space="preserve">ყოველ კვარტალში აირჩიეთ AI-ის დახმარებით მიღებული გადაწყვეტილებების შემთხვევითი შერჩევა (EC ზომა).</w:t>
      </w:r>
    </w:p>
    <w:p>
      <w:pPr>
        <w:numPr>
          <w:ilvl w:val="0"/>
          <w:numId w:val="1004"/>
        </w:numPr>
        <w:pStyle w:val="Compact"/>
      </w:pPr>
      <w:r>
        <w:t xml:space="preserve">ჩართეთ როგორც ის შემთხვევები, სადაც კლინიკოსი დაეთანხმა, ისე ის, სადაც მან AI-ის შედეგი უარყო.</w:t>
      </w:r>
    </w:p>
    <w:p>
      <w:pPr>
        <w:pStyle w:val="FirstParagraph"/>
      </w:pPr>
      <w:r>
        <w:rPr>
          <w:bCs/>
          <w:b/>
        </w:rPr>
        <w:t xml:space="preserve">ძირითადი წერტილი:</w:t>
      </w:r>
      <w:r>
        <w:t xml:space="preserve"> </w:t>
      </w:r>
      <w:r>
        <w:t xml:space="preserve">შემთხვევები, სადაც კლინიკოსებმა AI უარყვეს, შეცდომის სასარგებლო წყაროა.</w:t>
      </w:r>
    </w:p>
    <w:p>
      <w:pPr>
        <w:pStyle w:val="BodyText"/>
      </w:pPr>
      <w:r>
        <w:t xml:space="preserve">ნაბიჯი 2. შედეგთან შედარება.</w:t>
      </w:r>
    </w:p>
    <w:p>
      <w:pPr>
        <w:numPr>
          <w:ilvl w:val="0"/>
          <w:numId w:val="1005"/>
        </w:numPr>
        <w:pStyle w:val="Compact"/>
      </w:pPr>
      <w:r>
        <w:t xml:space="preserve">თითოეული შემთხვევისთვის შეადარეთ AI-ის შედეგი კლინიკურ შედეგს ან ექსპერტის მიმოხილვას.</w:t>
      </w:r>
    </w:p>
    <w:p>
      <w:pPr>
        <w:numPr>
          <w:ilvl w:val="0"/>
          <w:numId w:val="1005"/>
        </w:numPr>
        <w:pStyle w:val="Compact"/>
      </w:pPr>
      <w:r>
        <w:t xml:space="preserve">აღრიცხეთ გადაჭარბებული დიაგნოზი, გამოტოვებული დიაგნოზი და სხვა შედეგები.</w:t>
      </w:r>
    </w:p>
    <w:p>
      <w:pPr>
        <w:pStyle w:val="FirstParagraph"/>
      </w:pPr>
      <w:r>
        <w:rPr>
          <w:bCs/>
          <w:b/>
        </w:rPr>
        <w:t xml:space="preserve">ძირითადი წერტილი:</w:t>
      </w:r>
      <w:r>
        <w:t xml:space="preserve"> </w:t>
      </w:r>
      <w:r>
        <w:t xml:space="preserve">შემოწმება არის შედეგი და არა კლინიკოსის თანხმობა.</w:t>
      </w:r>
    </w:p>
    <w:p>
      <w:pPr>
        <w:pStyle w:val="BodyText"/>
      </w:pPr>
      <w:r>
        <w:t xml:space="preserve">ნაბიჯი 3. ჩივილების თვალყურის დევნება.</w:t>
      </w:r>
    </w:p>
    <w:p>
      <w:pPr>
        <w:numPr>
          <w:ilvl w:val="0"/>
          <w:numId w:val="1006"/>
        </w:numPr>
        <w:pStyle w:val="Compact"/>
      </w:pPr>
      <w:r>
        <w:t xml:space="preserve">აღრიცხეთ ყოველი ჩივილი ან შეშფოთება AI-ის დახმარებით მიწოდებულ მზრუნველობაზე INC-POL-002-ზე, მონიშნული როგორც AI-სთან დაკავშირებული.</w:t>
      </w:r>
    </w:p>
    <w:p>
      <w:pPr>
        <w:numPr>
          <w:ilvl w:val="0"/>
          <w:numId w:val="1006"/>
        </w:numPr>
        <w:pStyle w:val="Compact"/>
      </w:pPr>
      <w:r>
        <w:t xml:space="preserve">თითოეული განიხილეთ კლინიკურ ხელმძღვანელთან ერთად.</w:t>
      </w:r>
    </w:p>
    <w:p>
      <w:pPr>
        <w:pStyle w:val="FirstParagraph"/>
      </w:pPr>
      <w:r>
        <w:rPr>
          <w:bCs/>
          <w:b/>
        </w:rPr>
        <w:t xml:space="preserve">ძირითადი წერტილი:</w:t>
      </w:r>
      <w:r>
        <w:t xml:space="preserve"> </w:t>
      </w:r>
      <w:r>
        <w:t xml:space="preserve">პაციენტები ხშირად პირველები ამჩნევენ შეცდომებს.</w:t>
      </w:r>
    </w:p>
    <w:p>
      <w:pPr>
        <w:pStyle w:val="BodyText"/>
      </w:pPr>
      <w:r>
        <w:t xml:space="preserve">ნაბიჯი 4. დასკვნებზე რეაგირება.</w:t>
      </w:r>
    </w:p>
    <w:p>
      <w:pPr>
        <w:numPr>
          <w:ilvl w:val="0"/>
          <w:numId w:val="1007"/>
        </w:numPr>
        <w:pStyle w:val="Compact"/>
      </w:pPr>
      <w:r>
        <w:t xml:space="preserve">თითოეული დასკვნისთვის გადაწყვიტეთ: ქმედება არ არის საჭირო, გადამზადება, დამატებითი შემოწმება, გამოყენების შეზღუდვა ან შეწყვეტა.</w:t>
      </w:r>
    </w:p>
    <w:p>
      <w:pPr>
        <w:numPr>
          <w:ilvl w:val="0"/>
          <w:numId w:val="1007"/>
        </w:numPr>
        <w:pStyle w:val="Compact"/>
      </w:pPr>
      <w:r>
        <w:t xml:space="preserve">აღრიცხეთ გადაწყვეტილება და მისი პასუხისმგებელი AI-REG-001-ზე.</w:t>
      </w:r>
    </w:p>
    <w:p>
      <w:pPr>
        <w:pStyle w:val="FirstParagraph"/>
      </w:pPr>
      <w:r>
        <w:rPr>
          <w:bCs/>
          <w:b/>
        </w:rPr>
        <w:t xml:space="preserve">ძირითადი წერტილი:</w:t>
      </w:r>
      <w:r>
        <w:t xml:space="preserve"> </w:t>
      </w:r>
      <w:r>
        <w:t xml:space="preserve">დასკვნა ქმედების გარეშე არის დასკვნა, რომელიც მეორდება.</w:t>
      </w:r>
    </w:p>
    <w:p>
      <w:pPr>
        <w:pStyle w:val="BodyText"/>
      </w:pPr>
      <w:r>
        <w:t xml:space="preserve">ნაბიჯი 5. ანგარიში.</w:t>
      </w:r>
    </w:p>
    <w:p>
      <w:pPr>
        <w:numPr>
          <w:ilvl w:val="0"/>
          <w:numId w:val="1008"/>
        </w:numPr>
        <w:pStyle w:val="Compact"/>
      </w:pPr>
      <w:r>
        <w:t xml:space="preserve">შედეგები ყოველ კვარტალში წარუდგინეთ ხარისხის კომიტეტს, ხოლო ყოველწლიურად მმართველ ორგანოს.</w:t>
      </w:r>
    </w:p>
    <w:p>
      <w:pPr>
        <w:pStyle w:val="FirstParagraph"/>
      </w:pPr>
      <w:r>
        <w:rPr>
          <w:bCs/>
          <w:b/>
        </w:rPr>
        <w:t xml:space="preserve">ძირითადი წერტილი:</w:t>
      </w:r>
      <w:r>
        <w:t xml:space="preserve"> </w:t>
      </w:r>
      <w:r>
        <w:t xml:space="preserve">ანგარიში მონიტორინგს ხილულს ხდის.</w:t>
      </w:r>
    </w:p>
    <w:bookmarkEnd w:id="32"/>
    <w:bookmarkStart w:id="33" w:name="გადაწყვეტილების-წერტილები"/>
    <w:p>
      <w:pPr>
        <w:pStyle w:val="Heading2"/>
      </w:pPr>
      <w:r>
        <w:t xml:space="preserve">10. გადაწყვეტილების წერტილები</w:t>
      </w:r>
    </w:p>
    <w:p>
      <w:pPr>
        <w:numPr>
          <w:ilvl w:val="0"/>
          <w:numId w:val="1009"/>
        </w:numPr>
        <w:pStyle w:val="Compact"/>
      </w:pPr>
      <w:r>
        <w:t xml:space="preserve">თუ აუდიტი აჩვენებს გამოტოვებული დიაგნოზის ტენდენციას, გამოყენება დაუყოვნებლივ შეიზღუდება, სანამ მიზეზი დადგინდება.</w:t>
      </w:r>
    </w:p>
    <w:bookmarkEnd w:id="33"/>
    <w:bookmarkStart w:id="34" w:name="განსაკუთრებული-სიტუაციები"/>
    <w:p>
      <w:pPr>
        <w:pStyle w:val="Heading2"/>
      </w:pPr>
      <w:r>
        <w:t xml:space="preserve">11. განსაკუთრებული სიტუაციები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სიტუაცია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ქმედება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მომწოდებლის განახლება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განახლების შემდეგ, სრულ გამოყენებამდე, ხელახლა გაუშვით აუდიტის შერჩევა.</w:t>
            </w:r>
          </w:p>
        </w:tc>
      </w:tr>
    </w:tbl>
    <w:bookmarkEnd w:id="34"/>
    <w:bookmarkStart w:id="35" w:name="ესკალაცია"/>
    <w:p>
      <w:pPr>
        <w:pStyle w:val="Heading2"/>
      </w:pPr>
      <w:r>
        <w:t xml:space="preserve">12. ესკალაცია</w:t>
      </w:r>
    </w:p>
    <w:p>
      <w:pPr>
        <w:numPr>
          <w:ilvl w:val="0"/>
          <w:numId w:val="1010"/>
        </w:numPr>
        <w:pStyle w:val="Compact"/>
      </w:pPr>
      <w:r>
        <w:t xml:space="preserve">AI სისტემასთან დაკავშირებული პაციენტის ზიანი დაუყოვნებლივ აღინუსხება ინციდენტად (INC-POL-001).</w:t>
      </w:r>
    </w:p>
    <w:bookmarkEnd w:id="35"/>
    <w:bookmarkStart w:id="36" w:name="მონიტორინგი"/>
    <w:p>
      <w:pPr>
        <w:pStyle w:val="Heading2"/>
      </w:pPr>
      <w:r>
        <w:t xml:space="preserve">13. მონიტორინგი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საზომი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სამიზნე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სიხშირე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თუ არ შესრულდა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კვარტალური აუდიტი დასრულებულია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ყოველკვარტალური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კლინიკური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ესკალაცია ხარისხის ხელმძღვანელთან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AI-ის ჩივილები აღირიცხება და განიხილება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ყოველკვარტალური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ხარისხის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ესკალაცია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დასკვნები ჩაწერილი გადაწყვეტილებით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ყოველკვარტალური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ხარისხის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ესკალაცია აღმასრულებელ დირექტორთან</w:t>
            </w:r>
          </w:p>
        </w:tc>
      </w:tr>
    </w:tbl>
    <w:bookmarkEnd w:id="36"/>
    <w:bookmarkStart w:id="37" w:name="ჩანაწერები"/>
    <w:p>
      <w:pPr>
        <w:pStyle w:val="Heading2"/>
      </w:pPr>
      <w:r>
        <w:t xml:space="preserve">14. ჩანაწერები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ინახება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შენახვის ვადა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AI-REG-001 AI მონიტორინგის რეგისტრი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ხარისხის ფაილი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ობიექტის ჩანაწერების პოლიტიკით დადგენილი პერიოდი, წლები</w:t>
            </w:r>
          </w:p>
        </w:tc>
      </w:tr>
    </w:tbl>
    <w:bookmarkEnd w:id="37"/>
    <w:bookmarkStart w:id="38" w:name="ტრენინგი"/>
    <w:p>
      <w:pPr>
        <w:pStyle w:val="Heading2"/>
      </w:pPr>
      <w:r>
        <w:t xml:space="preserve">15. ტრენინგი</w:t>
      </w:r>
    </w:p>
    <w:p>
      <w:pPr>
        <w:numPr>
          <w:ilvl w:val="0"/>
          <w:numId w:val="1011"/>
        </w:numPr>
        <w:pStyle w:val="Compact"/>
      </w:pPr>
      <w:r>
        <w:t xml:space="preserve">კლინიკური აუდიტორები მეთოდში ტრენინგდებიან დანიშვნისას (EC).</w:t>
      </w:r>
    </w:p>
    <w:bookmarkEnd w:id="38"/>
    <w:bookmarkStart w:id="41" w:name="დაკავშირებული-დოკუმენტები"/>
    <w:p>
      <w:pPr>
        <w:pStyle w:val="Heading2"/>
      </w:pPr>
      <w:r>
        <w:t xml:space="preserve">16. დაკავშირებული დოკუმენტები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სათაური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გამოყენება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39">
              <w:r>
                <w:rPr>
                  <w:rStyle w:val="Hyperlink"/>
                </w:rPr>
                <w:t xml:space="preserve">AI-REG-001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AI მონიტორინგის რეგისტრი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გამოიყენება 2-დან 4-მდე ნაბიჯებში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SOP-N26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შიდა აუდიტის, ხარისხის ზედამხედველობისა და სწავლის პოლიტიკა (ზოგადი)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ზოგადი აუდიტი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40">
              <w:r>
                <w:rPr>
                  <w:rStyle w:val="Hyperlink"/>
                </w:rPr>
                <w:t xml:space="preserve">AI-POL-001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AI-ს პასუხისმგებლური გამოყენება მზრუნველობაში, პოლიტიკა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მშობელი პოლიტიკა</w:t>
            </w:r>
          </w:p>
        </w:tc>
      </w:tr>
    </w:tbl>
    <w:bookmarkEnd w:id="41"/>
    <w:bookmarkStart w:id="42" w:name="მტკიცებულებები"/>
    <w:p>
      <w:pPr>
        <w:pStyle w:val="Heading2"/>
      </w:pPr>
      <w:r>
        <w:t xml:space="preserve">17. 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მითითება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E-011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WHO (2021), ხელოვნური ინტელექტის ეთიკა და მმართველობა ჯანდაცვისთვის. გამოყენებულია AI მმართველობის საფუძვლად. ბმული და ფორმულირება გადასამოწმებელია გამოქვეყნებამდე.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ექსპერტთა კომიტეტის კონსენსუსი. შერჩევის ზომა და ზღვრები შესათანხმებელია.</w:t>
            </w:r>
          </w:p>
        </w:tc>
      </w:tr>
    </w:tbl>
    <w:bookmarkEnd w:id="42"/>
    <w:bookmarkStart w:id="43" w:name="ცვლილებების-ისტორია"/>
    <w:p>
      <w:pPr>
        <w:pStyle w:val="Heading2"/>
      </w:pPr>
      <w:r>
        <w:t xml:space="preserve">18. 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პირველი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დამტკიცებულია ASF ექსპერტთა კომიტეტის მიერ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შიდა ხარისხის განხილვა: გასწორებულია ჯვარედინი მითითებები, სტატუსის ფორმულირება და დოკუმენტის კონტროლი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დამტკიცებულია ASF ექსპერტთა კომიტეტის მიერ</w:t>
            </w:r>
          </w:p>
        </w:tc>
      </w:tr>
    </w:tbl>
    <w:bookmarkEnd w:id="43"/>
    <w:bookmarkStart w:id="45" w:name="ამ-დოკუმენტის-ელექტრონული-სწავლება"/>
    <w:p>
      <w:pPr>
        <w:pStyle w:val="Heading2"/>
      </w:pPr>
      <w:r>
        <w:t xml:space="preserve">ამ დოკუმენტის ელექტრონული სწავლება</w:t>
      </w:r>
    </w:p>
    <w:p>
      <w:pPr>
        <w:numPr>
          <w:ilvl w:val="0"/>
          <w:numId w:val="1012"/>
        </w:numPr>
        <w:pStyle w:val="Compact"/>
      </w:pPr>
      <w:hyperlink r:id="rId44">
        <w:r>
          <w:rPr>
            <w:rStyle w:val="Hyperlink"/>
          </w:rPr>
          <w:t xml:space="preserve">ხელოვნური ინტელექტი ჯანდაცვაში: უსაფრთხოება</w:t>
        </w:r>
      </w:hyperlink>
      <w:r>
        <w:t xml:space="preserve"> </w:t>
      </w:r>
      <w:r>
        <w:t xml:space="preserve">(AI-001)</w:t>
      </w:r>
    </w:p>
    <w:bookmarkEnd w:id="45"/>
    <w:bookmarkStart w:id="49" w:name="ციტირებული-წყაროები"/>
    <w:p>
      <w:pPr>
        <w:pStyle w:val="Heading2"/>
      </w:pPr>
      <w:r>
        <w:t xml:space="preserve">ციტირებული წყაროები</w:t>
      </w:r>
    </w:p>
    <w:p>
      <w:pPr>
        <w:numPr>
          <w:ilvl w:val="0"/>
          <w:numId w:val="1013"/>
        </w:numPr>
        <w:pStyle w:val="Compact"/>
      </w:pPr>
      <w:r>
        <w:t xml:space="preserve">World Health Organization (2021). ხელოვნური ინტელექტის ეთიკა და მმართველობა ჯანდაცვისთვის: WHO-ს სახელმძღვანელო. ჟენევა: WHO.</w:t>
      </w:r>
      <w:r>
        <w:t xml:space="preserve"> </w:t>
      </w:r>
      <w:hyperlink r:id="rId46">
        <w:r>
          <w:rPr>
            <w:rStyle w:val="Hyperlink"/>
          </w:rPr>
          <w:t xml:space="preserve">ღია წყარო</w:t>
        </w:r>
      </w:hyperlink>
      <w:r>
        <w:t xml:space="preserve"> </w:t>
      </w:r>
      <w:r>
        <w:t xml:space="preserve">(E-011)</w:t>
      </w:r>
    </w:p>
    <w:p>
      <w:pPr>
        <w:numPr>
          <w:ilvl w:val="0"/>
          <w:numId w:val="1013"/>
        </w:numPr>
        <w:pStyle w:val="Compact"/>
      </w:pPr>
      <w:r>
        <w:t xml:space="preserve">Accréditation Sans Frontières (2026). ASF ექსპერტთა კომიტეტის კონსენსუსი სტანდარტ 1-ზე.</w:t>
      </w:r>
      <w:r>
        <w:t xml:space="preserve"> </w:t>
      </w:r>
      <w:r>
        <w:t xml:space="preserve">(E-009)</w:t>
      </w:r>
    </w:p>
    <w:p>
      <w:pPr>
        <w:pStyle w:val="FirstParagraph"/>
      </w:pPr>
      <w:hyperlink r:id="rId47">
        <w:r>
          <w:rPr>
            <w:rStyle w:val="Hyperlink"/>
          </w:rPr>
          <w:t xml:space="preserve">ჩამოტვირთეთ დოკუმენტი PDF ფორმატში</w:t>
        </w:r>
      </w:hyperlink>
    </w:p>
    <w:p>
      <w:pPr>
        <w:pStyle w:val="BodyText"/>
      </w:pPr>
      <w:hyperlink r:id="rId48">
        <w:r>
          <w:rPr>
            <w:rStyle w:val="Hyperlink"/>
          </w:rPr>
          <w:t xml:space="preserve">ჩამოტვირთეთ დოკუმენტი რედაქტირებადი Word ფაილის სახით</w:t>
        </w:r>
      </w:hyperlink>
    </w:p>
    <w:bookmarkEnd w:id="4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ka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40" Target="/ka/documents/ai-pol-001/" TargetMode="External" /><Relationship Type="http://schemas.openxmlformats.org/officeDocument/2006/relationships/hyperlink" Id="rId39" Target="/ka/documents/ai-reg-001/" TargetMode="External" /><Relationship Type="http://schemas.openxmlformats.org/officeDocument/2006/relationships/hyperlink" Id="rId22" Target="/ka/resources/sop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21" Target="/ka/standards/standard-2d/" TargetMode="External" /><Relationship Type="http://schemas.openxmlformats.org/officeDocument/2006/relationships/hyperlink" Id="rId23" Target="/ka/standards/standard-2d/#c2d-5" TargetMode="External" /><Relationship Type="http://schemas.openxmlformats.org/officeDocument/2006/relationships/hyperlink" Id="rId44" Target="https://academy.gmj.ge/courses/asf-ai-001-en/" TargetMode="External" /><Relationship Type="http://schemas.openxmlformats.org/officeDocument/2006/relationships/hyperlink" Id="rId48" Target="https://france-asf.fr/wp-content/uploads/2026/10/ai-sop-001-form-1.docx" TargetMode="External" /><Relationship Type="http://schemas.openxmlformats.org/officeDocument/2006/relationships/hyperlink" Id="rId47" Target="https://france-asf.fr/wp-content/uploads/2026/10/ai-sop-001-form-a4-1.pdf" TargetMode="External" /><Relationship Type="http://schemas.openxmlformats.org/officeDocument/2006/relationships/hyperlink" Id="rId46" Target="https://who.int/publications/i/item/978924002920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0" Target="/ka/documents/ai-pol-001/" TargetMode="External" /><Relationship Type="http://schemas.openxmlformats.org/officeDocument/2006/relationships/hyperlink" Id="rId39" Target="/ka/documents/ai-reg-001/" TargetMode="External" /><Relationship Type="http://schemas.openxmlformats.org/officeDocument/2006/relationships/hyperlink" Id="rId22" Target="/ka/resources/sop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21" Target="/ka/standards/standard-2d/" TargetMode="External" /><Relationship Type="http://schemas.openxmlformats.org/officeDocument/2006/relationships/hyperlink" Id="rId23" Target="/ka/standards/standard-2d/#c2d-5" TargetMode="External" /><Relationship Type="http://schemas.openxmlformats.org/officeDocument/2006/relationships/hyperlink" Id="rId44" Target="https://academy.gmj.ge/courses/asf-ai-001-en/" TargetMode="External" /><Relationship Type="http://schemas.openxmlformats.org/officeDocument/2006/relationships/hyperlink" Id="rId48" Target="https://france-asf.fr/wp-content/uploads/2026/10/ai-sop-001-form-1.docx" TargetMode="External" /><Relationship Type="http://schemas.openxmlformats.org/officeDocument/2006/relationships/hyperlink" Id="rId47" Target="https://france-asf.fr/wp-content/uploads/2026/10/ai-sop-001-form-a4-1.pdf" TargetMode="External" /><Relationship Type="http://schemas.openxmlformats.org/officeDocument/2006/relationships/hyperlink" Id="rId46" Target="https://who.int/publications/i/item/978924002920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language>ka</dc:language>
  <cp:keywords/>
  <dcterms:created xsi:type="dcterms:W3CDTF">2026-11-07T01:47:34Z</dcterms:created>
  <dcterms:modified xsi:type="dcterms:W3CDTF">2026-11-07T01:47:34Z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