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>ALR-FRM-002: ალერგიის ტესტის შედეგისა და ინტერპრეტაციის ჩანაწერი</w:t>
      </w:r>
      <w:r/>
      <w:r/>
      <w:r/>
      <w:r/>
      <w:r/>
      <w:r/>
      <w:r/>
      <w:r/>
      <w:r/>
      <w:r/>
      <w:r/>
      <w:r/>
    </w:p>
    <w:tbl>
      <w:tblPr>
        <w:tblStyle w:val="Table"/>
        <w:tblW w:type="pct" w:w="5000"/>
        <w:tblLook w:firstRow="0" w:lastRow="0" w:firstColumn="0" w:lastColumn="0" w:noHBand="0" w:noVBand="0" w:val="0000"/>
        <w:jc w:val="start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pStyle w:val="Compact"/>
              <w:jc w:val="left"/>
            </w:pPr>
            <w:r>
              <w:t>ორგანიზაციის სახელი</w:t>
            </w:r>
          </w:p>
          <w:p>
            <w:pPr>
              <w:pStyle w:val="Compact"/>
              <w:jc w:val="left"/>
            </w:pPr>
            <w:r>
              <w:t>ობიექტი ან განყოფილება</w:t>
            </w:r>
          </w:p>
        </w:tc>
        <w:tc>
          <w:tcPr>
            <w:gridSpan w:val="2"/>
          </w:tcPr>
          <w:p>
            <w:pPr>
              <w:pStyle w:val="Compact"/>
              <w:jc w:val="left"/>
            </w:pPr>
            <w:r>
              <w:t>ფორმა</w:t>
            </w:r>
          </w:p>
          <w:p>
            <w:pPr>
              <w:pStyle w:val="Compact"/>
              <w:jc w:val="left"/>
            </w:pPr>
            <w:r>
              <w:t>ალერგიის ტესტის შედეგისა და ინტერპრეტაციის ჩანაწერი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>დოკუმენტის ID</w:t>
            </w:r>
          </w:p>
        </w:tc>
        <w:tc>
          <w:tcPr/>
          <w:p>
            <w:pPr>
              <w:pStyle w:val="Compact"/>
              <w:jc w:val="left"/>
            </w:pPr>
            <w:r>
              <w:t>ALR-FRM-002</w:t>
            </w:r>
          </w:p>
        </w:tc>
        <w:tc>
          <w:tcPr/>
          <w:p>
            <w:pPr>
              <w:pStyle w:val="Compact"/>
              <w:jc w:val="left"/>
            </w:pPr>
            <w:r>
              <w:t>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>1.0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სტატუსი</w:t>
            </w:r>
          </w:p>
        </w:tc>
        <w:tc>
          <w:tcPr/>
          <w:p>
            <w:pPr>
              <w:pStyle w:val="Compact"/>
              <w:jc w:val="left"/>
            </w:pPr>
            <w:r>
              <w:t>ცარიელი ფორმა, მოსარგებად</w:t>
            </w:r>
          </w:p>
        </w:tc>
        <w:tc>
          <w:tcPr/>
          <w:p>
            <w:pPr>
              <w:pStyle w:val="Compact"/>
              <w:jc w:val="left"/>
            </w:pPr>
            <w:r>
              <w:t>გამოშვების 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გადახედვის 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>ანაცვლებს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პასუხისმგებელი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>დაამტკიცა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ხელმოწერა</w:t>
            </w:r>
          </w:p>
        </w:tc>
        <w:tc>
          <w:tcPr>
            <w:gridSpan w:val="3"/>
          </w:tcPr>
          <w:p>
            <w:pPr>
              <w:pStyle w:val="Compact"/>
              <w:jc w:val="left"/>
            </w:pPr>
            <w:r>
              <w:t xml:space="preserve"> </w:t>
            </w:r>
          </w:p>
        </w:tc>
      </w:tr>
    </w:tbl>
    <w:p>
      <w:pPr>
        <w:pStyle w:val="BodyText"/>
      </w:pPr>
      <w:hyperlink r:id="rId20">
        <w:r>
          <w:rPr>
            <w:rStyle w:val="Hyperlink"/>
          </w:rPr>
          <w:t xml:space="preserve">Standards</w:t>
        </w:r>
      </w:hyperlink>
      <w:r>
        <w:t xml:space="preserve"> ›  › </w:t>
      </w:r>
      <w:r/>
      <w:r/>
      <w:hyperlink r:id="rId21">
        <w:r>
          <w:rPr>
            <w:rStyle w:val="Hyperlink"/>
          </w:rPr>
          <w:t xml:space="preserve">Standard 53</w:t>
        </w:r>
      </w:hyperlink>
      <w:r/>
      <w:r/>
      <w:r/>
      <w:hyperlink r:id="rId22">
        <w:r>
          <w:rPr>
            <w:rStyle w:val="Hyperlink"/>
          </w:rPr>
          <w:t xml:space="preserve">Forms</w:t>
        </w:r>
      </w:hyperlink>
    </w:p>
    <w:p>
      <w:pPr>
        <w:pStyle w:val="BodyText"/>
      </w:pPr>
      <w:r>
        <w:t>ფორმა · ALR-FRM-002 · ვერსია 1.0 · დამტკიცებულია ASF ექსპერტთა კომიტეტის მიერ</w:t>
      </w:r>
    </w:p>
    <w:p>
      <w:pPr>
        <w:pStyle w:val="BodyText"/>
      </w:pPr>
      <w:r>
        <w:rPr>
          <w:bCs/>
          <w:b/>
        </w:rPr>
        <w:t xml:space="preserve">მხარს უჭერს: </w:t>
      </w:r>
      <w:r/>
      <w:hyperlink r:id="rId23">
        <w:r>
          <w:rPr>
            <w:rStyle w:val="Hyperlink"/>
          </w:rPr>
          <w:t xml:space="preserve">53.3</w:t>
        </w:r>
      </w:hyperlink>
    </w:p>
    <w:bookmarkStart w:id="24" w:name="purpose"/>
    <w:p>
      <w:pPr>
        <w:pStyle w:val="Heading2"/>
      </w:pPr>
      <w:r>
        <w:t>დანიშნულება</w:t>
      </w:r>
    </w:p>
    <w:p>
      <w:pPr>
        <w:pStyle w:val="FirstParagraph"/>
      </w:pPr>
      <w:r>
        <w:t>აღრიცხავს ალერგიის ტესტის თითოეულ შედეგს, მის კონტროლებს და კლინიცისტის ინტერპრეტაციას კლინიკურ ანამნეზთან ერთად.</w:t>
      </w:r>
    </w:p>
    <w:bookmarkEnd w:id="24"/>
    <w:bookmarkStart w:id="25" w:name="how-to-complete"/>
    <w:p>
      <w:pPr>
        <w:pStyle w:val="Heading2"/>
      </w:pPr>
      <w:r>
        <w:t>როგორ შევავსოთ</w:t>
      </w:r>
    </w:p>
    <w:p>
      <w:pPr>
        <w:numPr>
          <w:ilvl w:val="0"/>
          <w:numId w:val="1001"/>
        </w:numPr>
        <w:pStyle w:val="Compact"/>
      </w:pPr>
      <w:r>
        <w:t>აღრიცხეთ ტესტი, კონტროლები და შედეგი.</w:t>
      </w:r>
    </w:p>
    <w:p>
      <w:pPr>
        <w:numPr>
          <w:ilvl w:val="0"/>
          <w:numId w:val="1001"/>
        </w:numPr>
        <w:pStyle w:val="Compact"/>
      </w:pPr>
      <w:r>
        <w:t>აღრიცხეთ ინტერპრეტაციისთვის გამოყენებული კლინიკური ანამნეზი.</w:t>
      </w:r>
    </w:p>
    <w:p>
      <w:pPr>
        <w:numPr>
          <w:ilvl w:val="0"/>
          <w:numId w:val="1001"/>
        </w:numPr>
        <w:pStyle w:val="Compact"/>
      </w:pPr>
      <w:r>
        <w:t>აღრიცხეთ ინტერპრეტაცია და ხელმომწერი კლინიცისტი.</w:t>
      </w:r>
    </w:p>
    <w:bookmarkEnd w:id="25"/>
    <w:bookmarkStart w:id="26" w:name="checks"/>
    <w:p>
      <w:pPr>
        <w:pStyle w:val="Heading2"/>
      </w:pPr>
      <w:r>
        <w:t>შემოწმებები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>შემოწმება</w:t>
            </w:r>
          </w:p>
        </w:tc>
        <w:tc>
          <w:tcPr/>
          <w:p>
            <w:pPr>
              <w:pStyle w:val="Compact"/>
              <w:jc w:val="left"/>
            </w:pPr>
            <w:r>
              <w:t>ჩანაწერი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ტესტი და მეთოდი</w:t>
            </w:r>
          </w:p>
        </w:tc>
        <w:tc>
          <w:tcPr/>
          <w:p>
            <w:pPr>
              <w:pStyle w:val="Compact"/>
              <w:jc w:val="left"/>
            </w:pPr>
            <w:r>
              <w:t>დიახ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კონტროლი გავიდა (დიახ ან არა)</w:t>
            </w:r>
          </w:p>
        </w:tc>
        <w:tc>
          <w:tcPr/>
          <w:p>
            <w:pPr>
              <w:pStyle w:val="Compact"/>
              <w:jc w:val="left"/>
            </w:pPr>
            <w:r>
              <w:t>დიახ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შედეგი</w:t>
            </w:r>
          </w:p>
        </w:tc>
        <w:tc>
          <w:tcPr/>
          <w:p>
            <w:pPr>
              <w:pStyle w:val="Compact"/>
              <w:jc w:val="left"/>
            </w:pPr>
            <w:r>
              <w:t>დიახ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გამოყენებული კლინიკური ანამნეზი</w:t>
            </w:r>
          </w:p>
        </w:tc>
        <w:tc>
          <w:tcPr/>
          <w:p>
            <w:pPr>
              <w:pStyle w:val="Compact"/>
              <w:jc w:val="left"/>
            </w:pPr>
            <w:r>
              <w:t>დიახ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ინტერპრეტაციისა და ხელმოწერის კლინიცისტი</w:t>
            </w:r>
          </w:p>
        </w:tc>
        <w:tc>
          <w:tcPr/>
          <w:p>
            <w:pPr>
              <w:pStyle w:val="Compact"/>
              <w:jc w:val="left"/>
            </w:pPr>
            <w:r>
              <w:t>დიახ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26"/>
    <w:bookmarkStart w:id="27" w:name="evidence"/>
    <w:p>
      <w:pPr>
        <w:pStyle w:val="Heading2"/>
      </w:pPr>
      <w:r>
        <w:t>მტკიცებულებები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>მითითება</w:t>
            </w:r>
          </w:p>
        </w:tc>
        <w:tc>
          <w:tcPr/>
          <w:p>
            <w:pPr>
              <w:pStyle w:val="Compact"/>
              <w:jc w:val="left"/>
            </w:pPr>
            <w:r>
              <w:t>შენიშვნა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E-006</w:t>
            </w:r>
          </w:p>
        </w:tc>
        <w:tc>
          <w:tcPr/>
          <w:p>
            <w:pPr>
              <w:pStyle w:val="Compact"/>
              <w:jc w:val="left"/>
            </w:pPr>
            <w:r>
              <w:t>ASF Policy Framework v1.2. Adapted.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E-009</w:t>
            </w:r>
          </w:p>
        </w:tc>
        <w:tc>
          <w:tcPr/>
          <w:p>
            <w:pPr>
              <w:pStyle w:val="Compact"/>
              <w:jc w:val="left"/>
            </w:pPr>
            <w:r>
              <w:t>ASF Expert Committee consensus.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27"/>
    <w:bookmarkStart w:id="28" w:name="change-history"/>
    <w:p>
      <w:pPr>
        <w:pStyle w:val="Heading2"/>
      </w:pPr>
      <w:r>
        <w:t>ცვლილებების ისტორია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>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>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>რა შეიცვალა</w:t>
            </w:r>
          </w:p>
        </w:tc>
        <w:tc>
          <w:tcPr/>
          <w:p>
            <w:pPr>
              <w:pStyle w:val="Compact"/>
              <w:jc w:val="left"/>
            </w:pPr>
            <w:r>
              <w:t>დამტკიცება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1.0</w:t>
            </w:r>
          </w:p>
        </w:tc>
        <w:tc>
          <w:tcPr/>
          <w:p>
            <w:pPr>
              <w:pStyle w:val="Compact"/>
              <w:jc w:val="left"/>
            </w:pPr>
            <w:r>
              <w:t>დამტკიცების 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>პირველი 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>დამტკიცებულია ექსპერტთა კომიტეტის მიერ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28"/>
    <w:bookmarkStart w:id="30" w:name="references"/>
    <w:p>
      <w:pPr>
        <w:pStyle w:val="Heading2"/>
      </w:pPr>
      <w:r>
        <w:t>წყაროები</w:t>
      </w:r>
    </w:p>
    <w:p>
      <w:pPr>
        <w:numPr>
          <w:ilvl w:val="0"/>
          <w:numId w:val="1002"/>
        </w:numPr>
        <w:pStyle w:val="Compact"/>
      </w:pPr>
      <w:r>
        <w:t>Accréditation Sans Frontières (2026). ASF Policy Framework v1.2. (E-006)</w:t>
      </w:r>
      <w:r/>
      <w:r/>
    </w:p>
    <w:p>
      <w:pPr>
        <w:numPr>
          <w:ilvl w:val="0"/>
          <w:numId w:val="1002"/>
        </w:numPr>
        <w:pStyle w:val="Compact"/>
      </w:pPr>
      <w:r>
        <w:t>Accréditation Sans Frontières (2026). ASF Expert Committee consensus on Standard 1. (E-009)</w:t>
      </w:r>
      <w:r/>
      <w:r/>
    </w:p>
    <w:p>
      <w:pPr>
        <w:pStyle w:val="FirstParagraph"/>
      </w:pPr>
      <w:hyperlink r:id="rId29">
        <w:r>
          <w:rPr>
            <w:rStyle w:val="Hyperlink"/>
          </w:rPr>
          <w:t xml:space="preserve">Download this document as PDF</w:t>
        </w:r>
      </w:hyperlink>
    </w:p>
    <w:bookmarkEnd w:id="30"/>
    <w:sectPr>
      <w:headerReference w:type="default" r:id="rId9"/>
      <w:footerReference w:type="default" r:id="rId10"/>
      <w:pgSz w:w="11906" w:h="16838"/>
      <w:pgMar w:left="794" w:right="794" w:top="794" w:bottom="907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7" Type="http://schemas.openxmlformats.org/officeDocument/2006/relationships/footnotes" Target="footnotes.xml"/><Relationship Id="rId8" Type="http://schemas.openxmlformats.org/officeDocument/2006/relationships/comments" Target="comments.xml"/><Relationship Id="rId22" Type="http://schemas.openxmlformats.org/officeDocument/2006/relationships/hyperlink" Target="/resources/forms/" TargetMode="External"/><Relationship Id="rId20" Type="http://schemas.openxmlformats.org/officeDocument/2006/relationships/hyperlink" Target="/standards/" TargetMode="External"/><Relationship Id="rId21" Type="http://schemas.openxmlformats.org/officeDocument/2006/relationships/hyperlink" Target="/standards/standard-53/" TargetMode="External"/><Relationship Id="rId23" Type="http://schemas.openxmlformats.org/officeDocument/2006/relationships/hyperlink" Target="/standards/standard-53/#c53-3" TargetMode="External"/><Relationship Id="rId29" Type="http://schemas.openxmlformats.org/officeDocument/2006/relationships/hyperlink" Target="https://france-asf.fr/wp-content/uploads/2026/10/alr-frm-002.pdf" TargetMode="Externa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footnotes.xml.rels><?xml version='1.0' encoding='UTF-8' standalone='yes'?>
<Relationships xmlns="http://schemas.openxmlformats.org/package/2006/relationships"><Relationship Id="rId22" Type="http://schemas.openxmlformats.org/officeDocument/2006/relationships/hyperlink" Target="/resources/forms/" TargetMode="External"/><Relationship Id="rId20" Type="http://schemas.openxmlformats.org/officeDocument/2006/relationships/hyperlink" Target="/standards/" TargetMode="External"/><Relationship Id="rId21" Type="http://schemas.openxmlformats.org/officeDocument/2006/relationships/hyperlink" Target="/standards/standard-53/" TargetMode="External"/><Relationship Id="rId23" Type="http://schemas.openxmlformats.org/officeDocument/2006/relationships/hyperlink" Target="/standards/standard-53/#c53-3" TargetMode="External"/><Relationship Id="rId29" Type="http://schemas.openxmlformats.org/officeDocument/2006/relationships/hyperlink" Target="https://france-asf.fr/wp-content/uploads/2026/10/alr-frm-002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ALR-FRM-002: Allergy test result and interpretation record</dc:title>
  <dc:creator/>
  <cp:keywords/>
  <dcterms:created xsi:type="dcterms:W3CDTF">2026-10-28T21:32:56Z</dcterms:created>
  <dcterms:modified xsi:type="dcterms:W3CDTF">2026-10-28T21:32:56Z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