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ALR-REG-001: ანაფილაქსიური ეპიზოდისა და ადრენალინის შემოწმების რეგისტრი</w:t>
      </w:r>
      <w:r/>
      <w:r/>
      <w:r/>
      <w:r/>
      <w:r/>
      <w:r/>
      <w:r/>
      <w:r/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რეგისტრი</w:t>
            </w:r>
          </w:p>
          <w:p>
            <w:pPr>
              <w:pStyle w:val="Compact"/>
              <w:jc w:val="left"/>
            </w:pPr>
            <w:r>
              <w:t>ანაფილაქსიური ეპიზოდისა და ადრენალინის შემოწმების რეგისტრი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ALR-REG-001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›  › </w:t>
      </w:r>
      <w:r/>
      <w:r/>
      <w:hyperlink r:id="rId21">
        <w:r>
          <w:rPr>
            <w:rStyle w:val="Hyperlink"/>
          </w:rPr>
          <w:t xml:space="preserve">Standard 53</w:t>
        </w:r>
      </w:hyperlink>
      <w:r/>
      <w:r/>
      <w:r/>
      <w:hyperlink r:id="rId22">
        <w:r>
          <w:rPr>
            <w:rStyle w:val="Hyperlink"/>
          </w:rPr>
          <w:t xml:space="preserve">Registers and logs</w:t>
        </w:r>
      </w:hyperlink>
    </w:p>
    <w:p>
      <w:pPr>
        <w:pStyle w:val="BodyText"/>
      </w:pPr>
      <w:r>
        <w:t>რეგისტრი · ALR-REG-001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</w:t>
      </w:r>
      <w:r/>
      <w:hyperlink r:id="rId23">
        <w:r>
          <w:rPr>
            <w:rStyle w:val="Hyperlink"/>
          </w:rPr>
          <w:t xml:space="preserve">53.2</w:t>
        </w:r>
      </w:hyperlink>
    </w:p>
    <w:bookmarkStart w:id="24" w:name="purpose"/>
    <w:p>
      <w:pPr>
        <w:pStyle w:val="Heading2"/>
      </w:pPr>
      <w:r>
        <w:t>დანიშნულება</w:t>
      </w:r>
    </w:p>
    <w:p>
      <w:pPr>
        <w:pStyle w:val="FirstParagraph"/>
      </w:pPr>
      <w:r>
        <w:t>აღრიცხავს თითოეულ ანაფილაქსიურ ეპიზოდს და მკურნალობის დროს, ასევე ადრენალინისა და გადაუდებელი ნაკრების ყოველდღიურ შემოწმებას.</w:t>
      </w:r>
    </w:p>
    <w:bookmarkEnd w:id="24"/>
    <w:bookmarkStart w:id="25" w:name="how-to-complete"/>
    <w:p>
      <w:pPr>
        <w:pStyle w:val="Heading2"/>
      </w:pPr>
      <w:r>
        <w:t>როგორ შევავსოთ</w:t>
      </w:r>
    </w:p>
    <w:p>
      <w:pPr>
        <w:numPr>
          <w:ilvl w:val="0"/>
          <w:numId w:val="1001"/>
        </w:numPr>
        <w:pStyle w:val="Compact"/>
      </w:pPr>
      <w:r>
        <w:t>აღრიცხეთ ნაკრების ყოველდღიური შემოწმება და ადრენალინის ვადის გასვლის თარიღი.</w:t>
      </w:r>
    </w:p>
    <w:p>
      <w:pPr>
        <w:numPr>
          <w:ilvl w:val="0"/>
          <w:numId w:val="1001"/>
        </w:numPr>
        <w:pStyle w:val="Compact"/>
      </w:pPr>
      <w:r>
        <w:t>აღრიცხეთ თითოეული ეპიზოდი, მიცემული ადრენალინი და დრო.</w:t>
      </w:r>
    </w:p>
    <w:p>
      <w:pPr>
        <w:numPr>
          <w:ilvl w:val="0"/>
          <w:numId w:val="1001"/>
        </w:numPr>
        <w:pStyle w:val="Compact"/>
      </w:pPr>
      <w:r>
        <w:t>აღრიცხეთ თითოეული ეპიზოდის გადახედვა.</w:t>
      </w:r>
    </w:p>
    <w:bookmarkEnd w:id="25"/>
    <w:bookmarkStart w:id="26" w:name="checks"/>
    <w:p>
      <w:pPr>
        <w:pStyle w:val="Heading2"/>
      </w:pPr>
      <w:r>
        <w:t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ყოველდღიური შემოწმების თარიღი და ნაკრები სრულია (დიახ ან არა)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ადრენალინი ვადაში (დიახ ან არა)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ეპიზოდი და ადრენალინის მიცემის დრო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evidence"/>
    <w:p>
      <w:pPr>
        <w:pStyle w:val="Heading2"/>
      </w:pPr>
      <w:r>
        <w:t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E-006</w:t>
            </w:r>
          </w:p>
        </w:tc>
        <w:tc>
          <w:tcPr/>
          <w:p>
            <w:pPr>
              <w:pStyle w:val="Compact"/>
              <w:jc w:val="left"/>
            </w:pPr>
            <w:r>
              <w:t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ASF Expert Committee consensus.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change-history"/>
    <w:p>
      <w:pPr>
        <w:pStyle w:val="Heading2"/>
      </w:pPr>
      <w:r>
        <w:t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30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02"/>
        </w:numPr>
        <w:pStyle w:val="Compact"/>
      </w:pPr>
      <w:r>
        <w:t>Accréditation Sans Frontières (2026). ASF Policy Framework v1.2. (E-006)</w:t>
      </w:r>
      <w:r/>
      <w:r/>
    </w:p>
    <w:p>
      <w:pPr>
        <w:numPr>
          <w:ilvl w:val="0"/>
          <w:numId w:val="1002"/>
        </w:numPr>
        <w:pStyle w:val="Compact"/>
      </w:pPr>
      <w:r>
        <w:t>Accréditation Sans Frontières (2026). ASF Expert Committee consensus on Standard 1. (E-009)</w:t>
      </w:r>
      <w:r/>
      <w:r/>
    </w:p>
    <w:p>
      <w:pPr>
        <w:pStyle w:val="FirstParagraph"/>
      </w:pPr>
      <w:hyperlink r:id="rId29">
        <w:r>
          <w:rPr>
            <w:rStyle w:val="Hyperlink"/>
          </w:rPr>
          <w:t xml:space="preserve">Download this document as PDF</w:t>
        </w:r>
      </w:hyperlink>
    </w:p>
    <w:bookmarkEnd w:id="30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resources/register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53/" TargetMode="External"/><Relationship Id="rId23" Type="http://schemas.openxmlformats.org/officeDocument/2006/relationships/hyperlink" Target="/standards/standard-53/#c53-2" TargetMode="External"/><Relationship Id="rId29" Type="http://schemas.openxmlformats.org/officeDocument/2006/relationships/hyperlink" Target="https://france-asf.fr/wp-content/uploads/2026/10/alr-reg-001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resources/register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53/" TargetMode="External"/><Relationship Id="rId23" Type="http://schemas.openxmlformats.org/officeDocument/2006/relationships/hyperlink" Target="/standards/standard-53/#c53-2" TargetMode="External"/><Relationship Id="rId29" Type="http://schemas.openxmlformats.org/officeDocument/2006/relationships/hyperlink" Target="https://france-asf.fr/wp-content/uploads/2026/10/alr-reg-00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ALR-REG-001: Anaphylaxis episode and adrenaline check register</dc:title>
  <dc:creator/>
  <cp:keywords/>
  <dcterms:created xsi:type="dcterms:W3CDTF">2026-10-28T21:32:56Z</dcterms:created>
  <dcterms:modified xsi:type="dcterms:W3CDTF">2026-10-28T21:32:56Z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