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ALR-SOP-001: ალერგიის ანამნეზის შეგროვება და აღრიცხვა</w:t>
      </w:r>
      <w:r/>
      <w:r/>
      <w:r/>
      <w:r/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ალერგიის ანამნეზის შეგროვება და აღრიცხვა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ALR-SOP-001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მოსარგებად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›  › </w:t>
      </w:r>
      <w:r/>
      <w:r/>
      <w:hyperlink r:id="rId21">
        <w:r>
          <w:rPr>
            <w:rStyle w:val="Hyperlink"/>
          </w:rPr>
          <w:t xml:space="preserve">Standard 53</w:t>
        </w:r>
      </w:hyperlink>
      <w:r/>
      <w:r/>
      <w:r/>
      <w:hyperlink r:id="rId22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>სტანდარტული საოპერაციო პროცედურა (SOP) · ALR-SOP-001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</w:t>
      </w:r>
      <w:r/>
      <w:hyperlink r:id="rId23">
        <w:r>
          <w:rPr>
            <w:rStyle w:val="Hyperlink"/>
          </w:rPr>
          <w:t xml:space="preserve">53.1</w:t>
        </w:r>
      </w:hyperlink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ყოველ პაციენტს ალერგიის ანამნეზი ეღებება და აღირიცხება ნებისმიერი წამლის, პროდუქტის ან ალერგენის მიცემამდე (ALR-FRM-001).</w:t>
      </w:r>
    </w:p>
    <w:p>
      <w:pPr>
        <w:numPr>
          <w:ilvl w:val="0"/>
          <w:numId w:val="1001"/>
        </w:numPr>
        <w:pStyle w:val="Compact"/>
      </w:pPr>
      <w:r>
        <w:t>ანამნეზში აღირიცხება აგენტი, რეაქცია და მისი სიმძიმე, და თარიღი.</w:t>
      </w:r>
    </w:p>
    <w:p>
      <w:pPr>
        <w:numPr>
          <w:ilvl w:val="0"/>
          <w:numId w:val="1001"/>
        </w:numPr>
        <w:pStyle w:val="Compact"/>
      </w:pPr>
      <w:r>
        <w:t>ჩანაწერი მოწმდება და ახლდება ყოველი ახალი რეცეპტისა და მდგომარეობის ყოველი ცვლილებისას.</w:t>
      </w:r>
    </w:p>
    <w:p>
      <w:pPr>
        <w:numPr>
          <w:ilvl w:val="0"/>
          <w:numId w:val="1001"/>
        </w:numPr>
        <w:pStyle w:val="Compact"/>
      </w:pPr>
      <w:r>
        <w:t>პაციენტის ცნობილი ალერგიის არქონა აღირიცხება როგორც ასეთი, თარიღის შემოწმებით.</w:t>
      </w:r>
    </w:p>
    <w:p>
      <w:pPr>
        <w:numPr>
          <w:ilvl w:val="0"/>
          <w:numId w:val="1001"/>
        </w:numPr>
        <w:pStyle w:val="Compact"/>
      </w:pPr>
      <w:r>
        <w:t>დაუყოვნებლივ შეაჩერეთ საქმიანობა და გამოიძახეთ დახმარება, თუ: წამალი, პროდუქტი ან ალერგენი ეძლევა პაციენტს, რომლის ალერგიის ანამნეზი არ არის აღრიცხული.</w:t>
      </w:r>
    </w:p>
    <w:bookmarkStart w:id="24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იმისთვის, რომ ყოველი პაციენტის ალერგია იყოს ცნობილი და აღირიცხოს ნებისმიერი იმის მიცემამდე, რამაც რეაქცია შეიძლება გამოიწვიოს (53.1).</w:t>
      </w:r>
    </w:p>
    <w:bookmarkEnd w:id="24"/>
    <w:bookmarkStart w:id="25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საქმიანობა, რომელსაც მოიცავს სხვა დოკუმენტი, ჩამოთვლილი მე-15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ამ დროს უძღვება უბანს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იმისთვის, რომ ყოველი პაციენტის ალერგია იყოს ცნობილი და აღირიცხოს ნებისმიერი იმის მიცემამდე, რამაც რეაქცია შეიძლება გამოიწვიოს (53.1).</w:t>
      </w:r>
    </w:p>
    <w:bookmarkEnd w:id="27"/>
    <w:bookmarkStart w:id="28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მკურნალი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>იღებს და აღრიცხავს ალერგიის ანამნეზს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ექთანი</w:t>
            </w:r>
          </w:p>
        </w:tc>
        <w:tc>
          <w:tcPr/>
          <w:p>
            <w:pPr>
              <w:pStyle w:val="Compact"/>
              <w:jc w:val="left"/>
            </w:pPr>
            <w:r>
              <w:t>ამოწმებს ჩანაწერს ყოველი მიცემამდე</w:t>
            </w:r>
          </w:p>
        </w:tc>
        <w:tc>
          <w:tcPr/>
          <w:p>
            <w:pPr>
              <w:pStyle w:val="Compact"/>
              <w:jc w:val="left"/>
            </w:pPr>
            <w:r>
              <w:t>მკურნალი კლინიცისტი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ჰკითხეთ.</w:t>
      </w:r>
    </w:p>
    <w:p>
      <w:pPr>
        <w:numPr>
          <w:ilvl w:val="0"/>
          <w:numId w:val="1004"/>
        </w:numPr>
        <w:pStyle w:val="Compact"/>
      </w:pPr>
      <w:r>
        <w:t>ჰკითხეთ წამლების, პროდუქტების, საკვებისა და სხვა აგენტების მიმართ ალერგიის შესახებ, და წინა რეაქციების შესახებ.</w:t>
      </w:r>
    </w:p>
    <w:p>
      <w:pPr>
        <w:pStyle w:val="FirstParagraph"/>
      </w:pPr>
      <w:r>
        <w:rPr>
          <w:bCs/>
          <w:b/>
        </w:rPr>
        <w:t>მთავარი: ჰკითხეს.</w:t>
      </w:r>
      <w:r/>
      <w:r/>
    </w:p>
    <w:p>
      <w:pPr>
        <w:pStyle w:val="BodyText"/>
      </w:pPr>
      <w:r>
        <w:t>ნაბიჯი 2. აღრიცხეთ.</w:t>
      </w:r>
    </w:p>
    <w:p>
      <w:pPr>
        <w:numPr>
          <w:ilvl w:val="0"/>
          <w:numId w:val="1005"/>
        </w:numPr>
        <w:pStyle w:val="Compact"/>
      </w:pPr>
      <w:r>
        <w:t>აღრიცხეთ თითოეული ალერგია აგენტით, რეაქციით, მის სიმძიმესა და თარიღით (ALR-FRM-001).</w:t>
      </w:r>
    </w:p>
    <w:p>
      <w:pPr>
        <w:pStyle w:val="FirstParagraph"/>
      </w:pPr>
      <w:r>
        <w:rPr>
          <w:bCs/>
          <w:b/>
        </w:rPr>
        <w:t>მთავარი: აღრიცხულია.</w:t>
      </w:r>
      <w:r/>
      <w:r/>
    </w:p>
    <w:p>
      <w:pPr>
        <w:pStyle w:val="BodyText"/>
      </w:pPr>
      <w:r>
        <w:t>ნაბიჯი 3. შემოწმება.</w:t>
      </w:r>
    </w:p>
    <w:p>
      <w:pPr>
        <w:numPr>
          <w:ilvl w:val="0"/>
          <w:numId w:val="1006"/>
        </w:numPr>
        <w:pStyle w:val="Compact"/>
      </w:pPr>
      <w:r>
        <w:t>შეამოწმეთ ჩანაწერი ყოველი ახალი წამლის ან პროდუქტის მიცემამდე და განაახლეთ ყოველი ცვლილებისას.</w:t>
      </w:r>
    </w:p>
    <w:p>
      <w:pPr>
        <w:pStyle w:val="FirstParagraph"/>
      </w:pPr>
      <w:r>
        <w:rPr>
          <w:bCs/>
          <w:b/>
        </w:rPr>
        <w:t>მთავარი: შემოწმებულია.</w:t>
      </w:r>
      <w:r/>
      <w:r/>
    </w:p>
    <w:bookmarkEnd w:id="32"/>
    <w:bookmarkStart w:id="33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პაციენტები, რომელთაც ალერგიის ანამნეზი აღირიცხება პირველ მიცემამდე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საავადმყოფოს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ჩანაწერები მოწმდება ყოველი ახალი რეცეპტისას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გადახედეთ ჩანაწერს შემდეგი დოზის წინ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>15. სწავლება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ALR-FRM-001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ალერგიის ანამნეზის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HOS-POL-001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მედიკამენტების მართვის პოლიტიკა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>პოლიტიკა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3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დამტკიცებულია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references"/>
    <w:p>
      <w:pPr>
        <w:pStyle w:val="Heading2"/>
      </w:pPr>
      <w:r>
        <w:t>წყაროები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pStyle w:val="FirstParagraph"/>
      </w:pPr>
      <w:hyperlink r:id="rId44">
        <w:r>
          <w:rPr>
            <w:rStyle w:val="Hyperlink"/>
          </w:rPr>
          <w:t xml:space="preserve">Download this document as PDF</w:t>
        </w:r>
      </w:hyperlink>
    </w:p>
    <w:bookmarkEnd w:id="45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alr-frm-001/" TargetMode="External"/><Relationship Id="rId40" Type="http://schemas.openxmlformats.org/officeDocument/2006/relationships/hyperlink" Target="/documents/hos-pol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3/" TargetMode="External"/><Relationship Id="rId23" Type="http://schemas.openxmlformats.org/officeDocument/2006/relationships/hyperlink" Target="/standards/standard-53/#c53-1" TargetMode="External"/><Relationship Id="rId44" Type="http://schemas.openxmlformats.org/officeDocument/2006/relationships/hyperlink" Target="https://france-asf.fr/wp-content/uploads/2026/10/alr-sop-001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alr-frm-001/" TargetMode="External"/><Relationship Id="rId40" Type="http://schemas.openxmlformats.org/officeDocument/2006/relationships/hyperlink" Target="/documents/hos-pol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53/" TargetMode="External"/><Relationship Id="rId23" Type="http://schemas.openxmlformats.org/officeDocument/2006/relationships/hyperlink" Target="/standards/standard-53/#c53-1" TargetMode="External"/><Relationship Id="rId44" Type="http://schemas.openxmlformats.org/officeDocument/2006/relationships/hyperlink" Target="https://france-asf.fr/wp-content/uploads/2026/10/alr-sop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ALR-SOP-001: Allergy history taking and recording</dc:title>
  <dc:creator/>
  <cp:keywords/>
  <dcterms:created xsi:type="dcterms:W3CDTF">2026-10-28T21:32:57Z</dcterms:created>
  <dcterms:modified xsi:type="dcterms:W3CDTF">2026-10-28T21:32:57Z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