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AMT-SOP-002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S5 (სასწრაფო დახმარება და პაციენტის ტრანსპორტი), კრიტერიუმი S5.4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პაციენტი გააგზავნეთ მხოლოდ მიმღებთან, რომელთანაც არის წერილობითი ხელშეკრულება.</w:t>
      </w:r>
    </w:p>
    <w:p>
      <w:pPr>
        <w:numPr>
          <w:ilvl w:val="0"/>
          <w:numId w:val="1001"/>
        </w:numPr>
        <w:pStyle w:val="Compact"/>
      </w:pPr>
      <w:r>
        <w:t xml:space="preserve">შეათანხმეთ მიღების წერტილი, მიღების პროცესი და ესკალაციის საკონტაქტო პირი.</w:t>
      </w:r>
    </w:p>
    <w:p>
      <w:pPr>
        <w:numPr>
          <w:ilvl w:val="0"/>
          <w:numId w:val="1001"/>
        </w:numPr>
        <w:pStyle w:val="Compact"/>
      </w:pPr>
      <w:r>
        <w:t xml:space="preserve">დაადასტურეთ მიღება მანქანის გასვლამდე.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მიმღების სახელი და მიღების დრო.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პაციენტი გაიგზავნება მიმღებთან, რომელსაც წერილობითი ხელშეკრულება არ აქვს, ან მიღება დადასტურებული არ არის.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მიმღები სამსახურის მიერ დადასტურდეს, სად და ვისთან გადაეცემა პაციენტი (S5.4).</w:t>
      </w:r>
    </w:p>
    <w:bookmarkEnd w:id="22"/>
    <w:bookmarkStart w:id="23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3"/>
    <w:bookmarkStart w:id="24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გადაყვანის დროს ზიანის უმეტესობა მიღების დროს ხდება. თუ მიმღებმა საავადმყოფომ არ შეათანხმა, სად და ვის გადაეცემა პაციენტი, პაციენტი შეიძლება ტროტუარზე ან დერეფანში მოუწიოს ლოდინი პასუხისმგებელი პირის გარეშე.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დისპეტჩერის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ინახავს ხელშეკრულებებს და ადასტურებს მიღებას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დისპეტჩერი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თანხმდება ესკალაციის საკონტაქტო პირებზე თითოეულ მიმღებთან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ხელშეკრულების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შეამოწმეთ, არის თუ არა მიმღები მომსახურება ხელშეკრულებების რეგისტრში (AMT-REG-002).</w:t>
      </w:r>
    </w:p>
    <w:p>
      <w:pPr>
        <w:numPr>
          <w:ilvl w:val="0"/>
          <w:numId w:val="1004"/>
        </w:numPr>
        <w:pStyle w:val="Compact"/>
      </w:pPr>
      <w:r>
        <w:t xml:space="preserve">თუ ხელშეკრულება არ არსებობს, პაციენტი იქ არ გაგზავნოთ.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ხელშეკრულება არ არის — გადაყვანა არ არის.</w:t>
      </w:r>
    </w:p>
    <w:p>
      <w:pPr>
        <w:pStyle w:val="BodyText"/>
      </w:pPr>
      <w:r>
        <w:t xml:space="preserve">ნაბიჯი 2. მიღების დადასტურება.</w:t>
      </w:r>
    </w:p>
    <w:p>
      <w:pPr>
        <w:numPr>
          <w:ilvl w:val="0"/>
          <w:numId w:val="1005"/>
        </w:numPr>
        <w:pStyle w:val="Compact"/>
      </w:pPr>
      <w:r>
        <w:t xml:space="preserve">მანქანის გასვლამდე დაუკავშირდით მიმღებს.</w:t>
      </w:r>
    </w:p>
    <w:p>
      <w:pPr>
        <w:numPr>
          <w:ilvl w:val="0"/>
          <w:numId w:val="1005"/>
        </w:numPr>
        <w:pStyle w:val="Compact"/>
      </w:pPr>
      <w:r>
        <w:t xml:space="preserve">ჩაწერეთ იმ პირის სახელი, რომელიც პაციენტს იღებს, და დრო.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მიღება დასტურდება და არა ვარაუდობს.</w:t>
      </w:r>
    </w:p>
    <w:p>
      <w:pPr>
        <w:pStyle w:val="BodyText"/>
      </w:pPr>
      <w:r>
        <w:t xml:space="preserve">ნაბიჯი 3. ესკალაცია.</w:t>
      </w:r>
    </w:p>
    <w:p>
      <w:pPr>
        <w:numPr>
          <w:ilvl w:val="0"/>
          <w:numId w:val="1006"/>
        </w:numPr>
        <w:pStyle w:val="Compact"/>
      </w:pPr>
      <w:r>
        <w:t xml:space="preserve">თუ მიმღებმა ვერ მიიღო, გამოიყენეთ ხელშეკრულებაში მითითებული ესკალაციის საკონტაქტო პირი.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ცვლილება და მიზეზი ჟურნალში.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ესკალაციის საკონტაქტო პირი დაწერილია.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გადაყვანები წერილობითი ხელშეკრულების მქონე მიმღებებთან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დისპეტჩერის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მიღება დადასტურებულია გასვლამდე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დისპეტჩერის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5"/>
    <w:bookmarkStart w:id="36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AMT-REG-002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მიმღები სამსახურების ხელშეკრულებების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AMT-SOP-001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გადაყვანის აღრიცხვა და მიღება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ჟურნალი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2"/>
    <w:bookmarkStart w:id="46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4">
        <w:r>
          <w:rPr>
            <w:rStyle w:val="Hyperlink"/>
          </w:rPr>
          <w:t xml:space="preserve">სტანდარტი 7: გადაუდებელი დისპეტჩერიზაცია</w:t>
        </w:r>
      </w:hyperlink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ka/documents/amt-reg-002/" TargetMode="External" /><Relationship Type="http://schemas.openxmlformats.org/officeDocument/2006/relationships/hyperlink" Id="rId38" Target="/ka/documents/amt-sop-001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4" Target="https://france-asf.fr/ka/standards/standard-7/" TargetMode="External" /><Relationship Type="http://schemas.openxmlformats.org/officeDocument/2006/relationships/hyperlink" Id="rId45" Target="https://france-asf.fr/wp-content/uploads/2026/10/amt-sop-002-form-1.docx" TargetMode="External" /><Relationship Type="http://schemas.openxmlformats.org/officeDocument/2006/relationships/hyperlink" Id="rId43" Target="https://france-asf.fr/wp-content/uploads/2026/10/amt-sop-002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ka/documents/amt-reg-002/" TargetMode="External" /><Relationship Type="http://schemas.openxmlformats.org/officeDocument/2006/relationships/hyperlink" Id="rId38" Target="/ka/documents/amt-sop-001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4" Target="https://france-asf.fr/ka/standards/standard-7/" TargetMode="External" /><Relationship Type="http://schemas.openxmlformats.org/officeDocument/2006/relationships/hyperlink" Id="rId45" Target="https://france-asf.fr/wp-content/uploads/2026/10/amt-sop-002-form-1.docx" TargetMode="External" /><Relationship Type="http://schemas.openxmlformats.org/officeDocument/2006/relationships/hyperlink" Id="rId43" Target="https://france-asf.fr/wp-content/uploads/2026/10/amt-sop-002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2026-11-07T01:44:16Z</dcterms:created>
  <dcterms:modified xsi:type="dcterms:W3CDTF">2026-11-07T01:44:16Z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