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ANT-REG-001: ანტიკოაგულანტების გამოყენებისა და შებრუნების რეგისტრი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ანტიკოაგულანტების გამოყენებისა და შებრუნების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ANT-REG-001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47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ANT-REG-001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47.4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ჩაიწერება თითოეული გამოყენებული ანტიკოაგულანტი, მისი დოზის შემოწმებები, ნებისმიერი სისხლდენის ეპიზოდი და თითოეული ჩატარებული შებრუნება.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ჩაწერეთ ანტიკოაგულანტი და დოზა მისი დაწყებისას და ყოველი ცვლილებისას.</w:t>
      </w:r>
    </w:p>
    <w:p>
      <w:pPr>
        <w:numPr>
          <w:ilvl w:val="0"/>
          <w:numId w:val="1001"/>
        </w:numPr>
        <w:pStyle w:val="Compact"/>
      </w:pPr>
      <w:r>
        <w:t>ჩაწერეთ ყოველი დოზის შემოწმება.</w:t>
      </w:r>
    </w:p>
    <w:p>
      <w:pPr>
        <w:numPr>
          <w:ilvl w:val="0"/>
          <w:numId w:val="1001"/>
        </w:numPr>
        <w:pStyle w:val="Compact"/>
      </w:pPr>
      <w:r>
        <w:t>ჩაწერეთ ნებისმიერი სისხლდენის ეპიზოდი, ჩატარებული შებრუნება და დრო.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ანტიკოაგულანტი და დოზა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დოზის შემოწმების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სისხლდენის ეპიზოდი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ჩატარებული შებრუნება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შებრუნების გეგმა ჩანაწერში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47/" TargetMode="External"/><Relationship Id="rId23" Type="http://schemas.openxmlformats.org/officeDocument/2006/relationships/hyperlink" Target="/standards/standard-47/#c47-4" TargetMode="External"/><Relationship Id="rId29" Type="http://schemas.openxmlformats.org/officeDocument/2006/relationships/hyperlink" Target="https://france-asf.fr/wp-content/uploads/2026/10/ant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47/" TargetMode="External"/><Relationship Id="rId23" Type="http://schemas.openxmlformats.org/officeDocument/2006/relationships/hyperlink" Target="/standards/standard-47/#c47-4" TargetMode="External"/><Relationship Id="rId29" Type="http://schemas.openxmlformats.org/officeDocument/2006/relationships/hyperlink" Target="https://france-asf.fr/wp-content/uploads/2026/10/ant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ANT-REG-001: Anticoagulant use and reversal register</dc:title>
  <dc:creator/>
  <cp:keywords/>
  <dcterms:created xsi:type="dcterms:W3CDTF">2026-10-28T21:33:02Z</dcterms:created>
  <dcterms:modified xsi:type="dcterms:W3CDTF">2026-10-28T21:33:02Z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