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ASF-OPS-002</w:t>
            </w:r>
          </w:p>
          <w:p>
            <w:r>
              <w:t>შემფასებელთა კომპეტენციის, შერჩევისა და სწავლების პოლიტიკა</w:t>
            </w:r>
          </w:p>
        </w:tc>
      </w:tr>
      <w:tr>
        <w:tc>
          <w:tcPr>
            <w:tcW w:type="dxa" w:w="2160"/>
          </w:tcPr>
          <w:p>
            <w:r>
              <w:t>დოკუმენტის კოდი</w:t>
            </w:r>
          </w:p>
        </w:tc>
        <w:tc>
          <w:tcPr>
            <w:tcW w:type="dxa" w:w="2160"/>
          </w:tcPr>
          <w:p>
            <w:r>
              <w:t>ASF-OPS-002</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ყველა ASF უფროსი და ასოცირებული შემფასებელი — დასაქმებული, კონტრაქტით მომუშავე ან მოხალისე</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ASF-GOV-003 მიუკერძოებლობა; ASF-GOV-004 კონფიდენციალურობის პოლიტიკა; ASF-GOV-005 საჩივრებისა და სააპელაციო პროცედურა; ASF-OPS-001 აკრედიტაციის გადაწყვეტილების ჩარჩო; ASF-OPS-009 შემფასებელთა სწავლებისა და გამოცდის პროგრამა; ASF-OPS-010 შემფასებლის როლის სპეციფიკაციები</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ASF-OPS-002 V2.0 (2026-11-23)</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შემფასებელთა კომპეტენციის, შერჩევისა და სწავლების პოლიტიკა</w:t>
      </w:r>
    </w:p>
    <w:p>
      <w:r>
        <w:t>ASF · ოპერაციული დოკუმენტები · ASF-OPS-002</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2024-12-08</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2025-02-01</w:t>
            </w:r>
          </w:p>
        </w:tc>
        <w:tc>
          <w:tcPr>
            <w:tcW w:type="dxa" w:w="2160"/>
          </w:tcPr>
          <w:p>
            <w:r>
              <w:t>პირველი გამოქვეყნებული ვერსია</w:t>
            </w:r>
          </w:p>
        </w:tc>
        <w:tc>
          <w:tcPr>
            <w:tcW w:type="dxa" w:w="2160"/>
          </w:tcPr>
          <w:p>
            <w:r>
              <w:t>აკრედიტაციის გადაწყვეტილებათა კომიტეტი</w:t>
            </w:r>
          </w:p>
        </w:tc>
      </w:tr>
      <w:tr>
        <w:tc>
          <w:tcPr>
            <w:tcW w:type="dxa" w:w="2160"/>
          </w:tcPr>
          <w:p>
            <w:r>
              <w:t>V2.0</w:t>
            </w:r>
          </w:p>
        </w:tc>
        <w:tc>
          <w:tcPr>
            <w:tcW w:type="dxa" w:w="2160"/>
          </w:tcPr>
          <w:p>
            <w:r>
              <w:t>2025-09-15</w:t>
            </w:r>
          </w:p>
        </w:tc>
        <w:tc>
          <w:tcPr>
            <w:tcW w:type="dxa" w:w="2160"/>
          </w:tcPr>
          <w:p>
            <w:r>
              <w:t>6-სფეროიანი კომპეტენციის ჩარჩოს ცხრილი დაემატა; უფროსი და ასოცირებული შემფასებლის კვალიფიკაცია ფორმალიზდა</w:t>
            </w:r>
          </w:p>
        </w:tc>
        <w:tc>
          <w:tcPr>
            <w:tcW w:type="dxa" w:w="2160"/>
          </w:tcPr>
          <w:p>
            <w:r>
              <w:t>სტანდარტების განვითარების კომიტეტი</w:t>
            </w:r>
          </w:p>
        </w:tc>
      </w:tr>
      <w:tr>
        <w:tc>
          <w:tcPr>
            <w:tcW w:type="dxa" w:w="2160"/>
          </w:tcPr>
          <w:p>
            <w:r>
              <w:t>V3.0</w:t>
            </w:r>
          </w:p>
        </w:tc>
        <w:tc>
          <w:tcPr>
            <w:tcW w:type="dxa" w:w="2160"/>
          </w:tcPr>
          <w:p>
            <w:r>
              <w:t>2026-09-30</w:t>
            </w:r>
          </w:p>
        </w:tc>
        <w:tc>
          <w:tcPr>
            <w:tcW w:type="dxa" w:w="2160"/>
          </w:tcPr>
          <w:p>
            <w:r>
              <w:t>წლიური კალიბრაციის სავარჯიშო (70%-იანი ზღვარი) და 6-ტრიგერიანი შესრულების მონიტორინგის მატრიცა დასრულდა; დამტკიცდა ISQua EEA პაკეტისთვის</w:t>
            </w:r>
          </w:p>
        </w:tc>
        <w:tc>
          <w:tcPr>
            <w:tcW w:type="dxa" w:w="2160"/>
          </w:tcPr>
          <w:p>
            <w:r>
              <w:t>Prof. G. Pkhakadze, ASF პრეზიდენტი</w:t>
            </w:r>
          </w:p>
        </w:tc>
      </w:tr>
    </w:tbl>
    <w:p>
      <w:r>
        <w:t>© Accréditation Sans Frontières · საფრანგეთში, პარიზში, 2020 წელს კანონიერად დაფუძნებული · france-asf.fr · ეს დოკუმენტი ექვემდებარება ვერსიების კონტროლს. არაავტორიზებული რეპროდუქცია აკრძალულია.</w:t>
      </w:r>
    </w:p>
    <w:p>
      <w:pPr>
        <w:pStyle w:val="Heading2"/>
      </w:pPr>
      <w:r>
        <w:t>მიზანი</w:t>
      </w:r>
    </w:p>
    <w:p>
      <w:r>
        <w:t>1.1 ASF-ის აკრედიტაციის პროგრამის ხარისხი და სანდოობა პირდაპირ არის დამოკიდებული მისი შემფასებლების კომპეტენციაზე, პროფესიონალიზმსა და მიუკერძოებლობაზე. ეს პოლიტიკა ადგენს სტანდარტებს, რომელთაც ASF იყენებს ყველა ASF შემფასებლის — უფროსი (კოორდინატორები) და ასოცირებული (მონიტორები) — შერჩევის, სწავლების, მუდმივი კომპეტენციის უზრუნველყოფისა და შესრულების მართვისთვის.</w:t>
      </w:r>
    </w:p>
    <w:p>
      <w:r>
        <w:t>1.2 ეს პოლიტიკა განსაზღვრავს:</w:t>
      </w:r>
    </w:p>
    <w:p>
      <w:r>
        <w:t>(a) ორი შემფასებლის როლს და მათ ურთიერთობას;</w:t>
      </w:r>
    </w:p>
    <w:p>
      <w:r>
        <w:t>(b) შემფასებლად დანიშვნის კრიტერიუმებს;</w:t>
      </w:r>
    </w:p>
    <w:p>
      <w:r>
        <w:t>(c) კომპეტენციის ჩარჩოს, რომლის მიხედვითაც ფასდებიან ყველა შემფასებელი;</w:t>
      </w:r>
    </w:p>
    <w:p>
      <w:r>
        <w:t>(d) შერჩევისა და დანიშვნის პროცესს;</w:t>
      </w:r>
    </w:p>
    <w:p>
      <w:r>
        <w:t>(e) სწავლებისა და გამოცდის პროცესს (ASF-OPS-009-თან ერთად);</w:t>
      </w:r>
    </w:p>
    <w:p>
      <w:r>
        <w:t>(f) შესრულების მუდმივი მონიტორინგის სისტემას;</w:t>
      </w:r>
    </w:p>
    <w:p>
      <w:r>
        <w:t>(g) შემფასებელთა რეესტრს და შეჩერებისა თუ ამოღების პროცესს რეესტრიდან.</w:t>
      </w:r>
    </w:p>
    <w:p>
      <w:r>
        <w:t>1.3 ეს პოლიტიკა იკითხება ASF-OPS-009-თან (შემფასებელთა სწავლებისა და გამოცდის პროგრამა) ერთად, რომელიც განსაზღვრავს სასწავლო მოდულების დეტალურ შინაარსსა და გამოცდის მოთხოვნებს, და ASF-OPS-010-თან (შემფასებლის როლის სპეციფიკაციები), რომელიც განსაზღვრავს თითოეული როლისთვის მინიჭებულ სფეროთა დაფარვას.</w:t>
      </w:r>
    </w:p>
    <w:p>
      <w:pPr>
        <w:pStyle w:val="Heading2"/>
      </w:pPr>
      <w:r>
        <w:t>ორი შემფასებლის როლი</w:t>
      </w:r>
    </w:p>
    <w:p>
      <w:r>
        <w:t>2.1 ASF ორ შემფასებლურ როლს მუშაობს:</w:t>
      </w:r>
    </w:p>
    <w:p>
      <w:r>
        <w:t>(a) უფროსი შემფასებელი (Lead Surveyor, კოორდინატორი) — შემფასებელთა გუნდის უფროსი წევრი, რომელიც პასუხისმგებელია შეფასების საერთო ხარისხზე, თანმიმდევრულობასა და სისრულეზე, აგრეთვე შეფასების ანგარიშზე. შეუძლია დამოუკიდებლად ხელმძღვანელობდეს შეფასებებს, როცა ამ პოლიტიკის ყველა მოთხოვნა დაკმაყოფილებულია.</w:t>
      </w:r>
    </w:p>
    <w:p>
      <w:r>
        <w:t>(b) ასოცირებული შემფასებელი (Associate Surveyor, მონიტორი) — ასრულებს მისთვის დავალებულ შეფასების აქტივობებს თავის სფეროში უფროსი შემფასებლის ხელმძღვანელობით. დამოუკიდებლად შეფასებას ვერ ხელმძღვანელობს, სანამ უფროსი შემფასებლის მოთხოვნებს არ დააკმაყოფილებს.</w:t>
      </w:r>
    </w:p>
    <w:p>
      <w:r>
        <w:t>2.2 ASF-ის ყოველი შემფასებელი გუნდი უნდა მოიცავდეს მინიმუმ ერთ უფროს და ერთ ასოცირებულ შემფასებელს. მინიმალური შემადგენლობა ასახავს ASF-ის ვალდებულებას შეფასების პროცესში თანამოზიარე (peer) მიმოხილვისა და სფეროს ადეკვატური დაფარვისადმი.</w:t>
      </w:r>
    </w:p>
    <w:p>
      <w:r>
        <w:t>2.3 ორივე როლს ამ პოლიტიკის, ASF-GOV-003-ის (მიუკერძოებლობა) და ASF-GOV-004-ის (კონფიდენციალურობა) შესაბამისად ერთნაირი ძირითადი ვალდებულებები აქვს. განსხვავება როლებს შორის არის უპირატესობასა და პასუხისმგებლობაში, და არა ქცევის სტანდარტებში.</w:t>
      </w:r>
    </w:p>
    <w:p>
      <w:pPr>
        <w:pStyle w:val="Heading2"/>
      </w:pPr>
      <w:r>
        <w:t>შემფასებლად დანიშვნის კრიტერიუმები</w:t>
      </w:r>
    </w:p>
    <w:p>
      <w:r>
        <w:t>3.1 უფროსი შემფასებელი</w:t>
      </w:r>
    </w:p>
    <w:p>
      <w:r>
        <w:t>3.1.1 უფროს შემფასებლად დანიშვნის კანდიდატმა განაცხადის შეტანისას უნდა დააკმაყოფილოს ყველა შემდეგი კრიტერიუმი:</w:t>
      </w:r>
    </w:p>
    <w:p>
      <w:r>
        <w:t>(a) აქვს აღიარებული პროფესიული კვალიფიკაცია მედიცინაში, ნურსინგში, ფარმაციაში, ჯანმრთელობის დამხმარე სფეროებში, ჯანდაცვის მენეჯმენტში, საზოგადოებრივ ჯანდაცვაში ან მასთან პირდაპირ დაკავშირებულ დარგში;</w:t>
      </w:r>
    </w:p>
    <w:p>
      <w:r>
        <w:t>(b) აქვს კვალიფიკაციის მიღების შემდგომი პროფესიული გამოცდილება მინიმუმ შვიდი წლის განმავლობაში ჯანდაცვის მიწოდებაში, ჯანდაცვის ხარისხის მენეჯმენტში, ჯანდაცვის რეგულირებაში ან ჯანდაცვის აკრედიტაციაში;</w:t>
      </w:r>
    </w:p>
    <w:p>
      <w:r>
        <w:t>(c) აქვს ჯანდაცვის ხარისხის შეფასების პირდაპირი გამოცდილება — მათ შორის შიდა აუდიტი, გარე ინსპექცია, აკრედიტაციის შეფასების საქმიანობა ან სარეგულაციო ინსპექცია — იმ დონეზე, რომელიც საკმარისია მტკიცებულებების შეგროვებაში, დოკუმენტაციის მიმოხილვასა და კრიტერიუმებზე დაფუძნებულ შეფასებაში პროფესიული უნარის დასადასტურებლად;</w:t>
      </w:r>
    </w:p>
    <w:p>
      <w:r>
        <w:t>(d) წარმატებით აქვს გავლილი ASF შემფასებელთა სწავლებისა და გამოცდის პროგრამა (ASF-OPS-009) მინიმუმ 75%-იანი ჩაბარების ზღვარით;</w:t>
      </w:r>
    </w:p>
    <w:p>
      <w:r>
        <w:t>(e) ასოცირებული შემფასებლის სახით აქვს ჩატარებული მინიმუმ ორი ზედამხედველობით შესრულებული შეფასების აქტივობა დამტკიცებული უფროსი შემფასებლის პირდაპირი ზედამხედველობით, თითოეულზე დამაკმაყოფილებელი წერილობითი უკუკავშირით ზედამხედველი უფროსი შემფასებლისგან;</w:t>
      </w:r>
    </w:p>
    <w:p>
      <w:r>
        <w:t>(f) არ აქვს გამოუცხადებელი ინტერესთა კონფლიქტი იმ დაწესებულებასთან მიმართებით, რომელიც ამჟამად ითხოვს ან ფლობს ASF აკრედიტაციას;</w:t>
      </w:r>
    </w:p>
    <w:p>
      <w:r>
        <w:t>(g) აკმაყოფილებს ASF-GOV-003-ში მითითებულ მიუკერძოებლობის ყველა მოთხოვნას.</w:t>
      </w:r>
    </w:p>
    <w:p>
      <w:r>
        <w:t>3.2 ასოცირებული შემფასებელი</w:t>
      </w:r>
    </w:p>
    <w:p>
      <w:r>
        <w:t>3.2.1 ასოცირებულ შემფასებლად დანიშვნის კანდიდატმა უნდა დააკმაყოფილოს შემდეგი კრიტერიუმები:</w:t>
      </w:r>
    </w:p>
    <w:p>
      <w:r>
        <w:t>(a) აქვს აღიარებული პროფესიული კვალიფიკაცია მედიცინაში, ნურსინგში, ფარმაციაში, ჯანმრთელობის დამხმარე სფეროებში, ჯანდაცვის მენეჯმენტში, საზოგადოებრივ ჯანდაცვაში ან მასთან პირდაპირ დაკავშირებულ დარგში;</w:t>
      </w:r>
    </w:p>
    <w:p>
      <w:r>
        <w:t>(b) აქვს კვალიფიკაციის მიღების შემდგომი პროფესიული გამოცდილება მინიმუმ ხუთი წლის განმავლობაში ჯანდაცვის მიწოდებაში, ჯანდაცვის ხარისხის მენეჯმენტში ან მასთან პირდაპირ დაკავშირებულ დარგში;</w:t>
      </w:r>
    </w:p>
    <w:p>
      <w:r>
        <w:t>(c) ადასტურებს მიმდინარე კომპეტენციას ASF-OPS-010-ში (შემფასებლის როლის სპეციფიკაციები) მითითებული შეფასების სფეროებიდან მინიმუმ ერთში;</w:t>
      </w:r>
    </w:p>
    <w:p>
      <w:r>
        <w:t>(d) წარმატებით აქვს გავლილი ASF შემფასებელთა სწავლებისა და გამოცდის პროგრამა (ASF-OPS-009) მინიმუმ 75%-იანი ჩაბარების ზღვარით;</w:t>
      </w:r>
    </w:p>
    <w:p>
      <w:r>
        <w:t>(e) აკმაყოფილებს ASF-GOV-003-ის მიუკერძოებლობის ყველა მოთხოვნას.</w:t>
      </w:r>
    </w:p>
    <w:p>
      <w:r>
        <w:t>3.2.2 ასოცირებულ შემფასებელს, რომელიც შემდგომში აკმაყოფილებს §3.1-ის მოთხოვნებს, შეუძლია განაცხადით მიმართოს უფროს შემფასებლად დაწინაურებას. დაწინაურება არ არის ავტომატური და მოითხოვს ფორმალურ განაცხადს და ASF-ის მიერ განხილვას.</w:t>
      </w:r>
    </w:p>
    <w:p>
      <w:r>
        <w:t>3.3 ენის მოთხოვნები</w:t>
      </w:r>
    </w:p>
    <w:p>
      <w:r>
        <w:t>3.3.1 ყველა შემფასებელმა უნდა ფლობდეს შეფასების ენას (იმ დაწესებულების სამუშაო ენას, რომლის შეფასებასაც ისინი ახორციელებენ). თუ შემფასებელი კონკრეტული დავალებისთვის ენის მოთხოვნას ვერ აკმაყოფილებს, ASF უზრუნველყოფს კვალიფიცირებულ თარჯიმანს. თარჯიმანს ეკისრება იგივე კონფიდენციალურობის ვალდებულებები, რაც შემფასებელს.</w:t>
      </w:r>
    </w:p>
    <w:p>
      <w:pPr>
        <w:pStyle w:val="Heading2"/>
      </w:pPr>
      <w:r>
        <w:t>კომპეტენციის ჩარჩო</w:t>
      </w:r>
    </w:p>
    <w:p>
      <w:r>
        <w:t>4.1 ყველა ASF შემფასებელი ფასდება ექვსსფეროვანი კომპეტენციის ჩარჩოთი. ჩარჩო თანაბრად ეხება უფროს და ასოცირებულ შემფასებლებს, ხოლო სფეროს ექსპერტიზის მოთხოვნები კალიბრირებულია თითოეული როლის მოცულობის მიხედვით, როგორც ეს განსაზღვრულია ASF-OPS-010-ში.</w:t>
      </w:r>
    </w:p>
    <w:tbl>
      <w:tblPr>
        <w:tblW w:type="auto" w:w="0"/>
        <w:tblLook w:firstColumn="1" w:firstRow="1" w:lastColumn="0" w:lastRow="0" w:noHBand="0" w:noVBand="1" w:val="04A0"/>
      </w:tblPr>
      <w:tblGrid>
        <w:gridCol w:w="2880"/>
        <w:gridCol w:w="2880"/>
        <w:gridCol w:w="2880"/>
      </w:tblGrid>
      <w:tr>
        <w:tc>
          <w:tcPr>
            <w:tcW w:type="dxa" w:w="2880"/>
          </w:tcPr>
          <w:p>
            <w:r>
              <w:t>კომპეტენციის სფერო</w:t>
            </w:r>
          </w:p>
        </w:tc>
        <w:tc>
          <w:tcPr>
            <w:tcW w:type="dxa" w:w="2880"/>
          </w:tcPr>
          <w:p>
            <w:r>
              <w:t>აღწერა</w:t>
            </w:r>
          </w:p>
        </w:tc>
        <w:tc>
          <w:tcPr>
            <w:tcW w:type="dxa" w:w="2880"/>
          </w:tcPr>
          <w:p>
            <w:r>
              <w:t>შეფასების მეთოდი</w:t>
            </w:r>
          </w:p>
        </w:tc>
      </w:tr>
      <w:tr>
        <w:tc>
          <w:tcPr>
            <w:tcW w:type="dxa" w:w="2880"/>
          </w:tcPr>
          <w:p>
            <w:r>
              <w:t>ASF სტანდარტების ცოდნა</w:t>
            </w:r>
          </w:p>
        </w:tc>
        <w:tc>
          <w:tcPr>
            <w:tcW w:type="dxa" w:w="2880"/>
          </w:tcPr>
          <w:p>
            <w:r>
              <w:t>საფუძვლიანი ცოდნა შესაბამისი ASF აკრედიტაციის სტანდარტისა: სტრუქტურა, თავების ორგანიზაცია, კრიტერიუმების კლასიფიკაცია, შეფასების მეთოდოლოგია და მტკიცებულებათა ბაზა, რომელიც საფუძვლად უდევს ძირითად მოთხოვნებს.</w:t>
            </w:r>
          </w:p>
        </w:tc>
        <w:tc>
          <w:tcPr>
            <w:tcW w:type="dxa" w:w="2880"/>
          </w:tcPr>
          <w:p>
            <w:r>
              <w:t>წერილობითი გამოცდა (75%-იანი ზღვარი); წლიური განახლების ბრიფინგში დასწრება</w:t>
            </w:r>
          </w:p>
        </w:tc>
      </w:tr>
      <w:tr>
        <w:tc>
          <w:tcPr>
            <w:tcW w:type="dxa" w:w="2880"/>
          </w:tcPr>
          <w:p>
            <w:r>
              <w:t>შეფასებისა და მტკიცებულებების უნარები</w:t>
            </w:r>
          </w:p>
        </w:tc>
        <w:tc>
          <w:tcPr>
            <w:tcW w:type="dxa" w:w="2880"/>
          </w:tcPr>
          <w:p>
            <w:r>
              <w:t>უნარი დაგეგმოს და ჩაატაროს სისტემური შეფასება დოკუმენტების მიმოხილვით, პერსონალთან ინტერვიუებითა და პირდაპირი დაკვირვებით; მტკიცებულებების გადამოწმება რამდენიმე წყაროდან; და არაშესაბამისობების იდენტიფიცირება და დოკუმენტირება სიზუსტით და კონკრეტულობით.</w:t>
            </w:r>
          </w:p>
        </w:tc>
        <w:tc>
          <w:tcPr>
            <w:tcW w:type="dxa" w:w="2880"/>
          </w:tcPr>
          <w:p>
            <w:r>
              <w:t>წერილობითი გამოცდა; ზედამხედველობით შესრულებული შეფასება(ები) უფროსი შემფასებლის უკუკავშირით</w:t>
            </w:r>
          </w:p>
        </w:tc>
      </w:tr>
      <w:tr>
        <w:tc>
          <w:tcPr>
            <w:tcW w:type="dxa" w:w="2880"/>
          </w:tcPr>
          <w:p>
            <w:r>
              <w:t>ანგარიშის წერა</w:t>
            </w:r>
          </w:p>
        </w:tc>
        <w:tc>
          <w:tcPr>
            <w:tcW w:type="dxa" w:w="2880"/>
          </w:tcPr>
          <w:p>
            <w:r>
              <w:t>უნარი შეადგინოს სრული, ზუსტი და პროფესიონალურად დაწერილი შეფასების ანგარიში — მათ შორის არაშესაბამისობების აღწერები, რომლებიც ფაქტობრივია, კონკრეტულია და პირდაპირ უკავშირდება შეუსრულებელ კრიტერიუმს.</w:t>
            </w:r>
          </w:p>
        </w:tc>
        <w:tc>
          <w:tcPr>
            <w:tcW w:type="dxa" w:w="2880"/>
          </w:tcPr>
          <w:p>
            <w:r>
              <w:t>ფასდება სწავლების მე-3 მოდულში; შეფასების ანგარიშის ხარისხის მიმოხილვა ADC-ის თავმჯდომარის მიერ</w:t>
            </w:r>
          </w:p>
        </w:tc>
      </w:tr>
      <w:tr>
        <w:tc>
          <w:tcPr>
            <w:tcW w:type="dxa" w:w="2880"/>
          </w:tcPr>
          <w:p>
            <w:r>
              <w:t>პროფესიული ქცევა</w:t>
            </w:r>
          </w:p>
        </w:tc>
        <w:tc>
          <w:tcPr>
            <w:tcW w:type="dxa" w:w="2880"/>
          </w:tcPr>
          <w:p>
            <w:r>
              <w:t>კონფიდენციალურობის ვალდებულებების დაცვა (ASF-GOV-004); მიუკერძოებლობისა და ინტერესთა კონფლიქტის მართვა (ASF-GOV-003); პროფესიონალური ქცევა შეფასებების დროს; და უნარი მგრძნობიარე სიტუაციების კონსტრუქციულად მართვისა.</w:t>
            </w:r>
          </w:p>
        </w:tc>
        <w:tc>
          <w:tcPr>
            <w:tcW w:type="dxa" w:w="2880"/>
          </w:tcPr>
          <w:p>
            <w:r>
              <w:t>მე-4 მოდულის სწავლება; მიუკერძოებლობის დეკლარაცია თითოეულ შეფასებაზე; წლიური განხილვა</w:t>
            </w:r>
          </w:p>
        </w:tc>
      </w:tr>
      <w:tr>
        <w:tc>
          <w:tcPr>
            <w:tcW w:type="dxa" w:w="2880"/>
          </w:tcPr>
          <w:p>
            <w:r>
              <w:t>კლინიკური ან მენეჯმენტის სფეროს ექსპერტიზა</w:t>
            </w:r>
          </w:p>
        </w:tc>
        <w:tc>
          <w:tcPr>
            <w:tcW w:type="dxa" w:w="2880"/>
          </w:tcPr>
          <w:p>
            <w:r>
              <w:t>დემონსტრირებული პროფესიული ექსპერტიზა კონკრეტულ კლინიკურ ან მენეჯმენტის სფეროებში, რომლებზეც შემფასებელი დაინიშნება, როგორც ეს განსაზღვრულია ASF-OPS-010-ში (შემფასებლის როლის სპეციფიკაციები).</w:t>
            </w:r>
          </w:p>
        </w:tc>
        <w:tc>
          <w:tcPr>
            <w:tcW w:type="dxa" w:w="2880"/>
          </w:tcPr>
          <w:p>
            <w:r>
              <w:t>კვალიფიკაციის გადამოწმება დანიშვნისას; CV-ისა და რეკომენდაციების მიმოხილვა; სფეროს განაწილება ექსპერტიზის შესაბამისად</w:t>
            </w:r>
          </w:p>
        </w:tc>
      </w:tr>
      <w:tr>
        <w:tc>
          <w:tcPr>
            <w:tcW w:type="dxa" w:w="2880"/>
          </w:tcPr>
          <w:p>
            <w:r>
              <w:t>ფასილიტაცია და კომუნიკაცია</w:t>
            </w:r>
          </w:p>
        </w:tc>
        <w:tc>
          <w:tcPr>
            <w:tcW w:type="dxa" w:w="2880"/>
          </w:tcPr>
          <w:p>
            <w:r>
              <w:t>უნარი ჩაატაროს გახსნის კონფერენცია, პროფესიონალურად წარმოადგინოს წინასწარი დასკვნები დახურვის კონფერენციაზე და დაწესებულების პერსონალსა და ხელმძღვანელობასთან ურთიერთობა იყოს პატივისცემით, კონსტრუქციული და ASF-ის ღირებულებების შესაბამისი.</w:t>
            </w:r>
          </w:p>
        </w:tc>
        <w:tc>
          <w:tcPr>
            <w:tcW w:type="dxa" w:w="2880"/>
          </w:tcPr>
          <w:p>
            <w:r>
              <w:t>დაკვირვება ზედამხედველობით შესრულებულ შეფასებებზე; დაწესებულებების მონაწილეთა უკუკავშირი</w:t>
            </w:r>
          </w:p>
        </w:tc>
      </w:tr>
    </w:tbl>
    <w:p>
      <w:r>
        <w:t>4.2 კომპეტენციის ჩარჩო გამოიყენება შემფასებლის სიცოცხლის ციკლის სამ მომენტში: (a) საწყის დანიშვნისას — სწავლების პროგრამის, გამოცდისა და ზედამხედველობით შეფასებების გავლით; (b) ყოველწლიურად — წლიური კალიბრაციის სავარჯიშოთი და განახლების ბრიფინგით; და (c) ტრიგერის შემთხვევაში — როცა გამოვლინდება კონკრეტული შეშფოთება (იხ. მე-7 თავი).</w:t>
      </w:r>
    </w:p>
    <w:p>
      <w:pPr>
        <w:pStyle w:val="Heading2"/>
      </w:pPr>
      <w:r>
        <w:t>შერჩევისა და დანიშვნის პროცესი</w:t>
      </w:r>
    </w:p>
    <w:p>
      <w:r>
        <w:t>5.1 შემფასებლის კანდიდატები გამოვლინდებიან შემდეგნაირად: ღია განცხადებები ინტერესის შესახებ, გამოქვეყნებული france-asf.fr-ზე; არსებული ASF შემფასებლებისა ან კომიტეტის წევრების პირდაპირი რეკომენდაცია; ან მიზანმიმართული მიმართვა ჯანდაცვის პროფესიონალებისთვის კონკრეტულ სფეროებში ან იურისდიქციებში.</w:t>
      </w:r>
    </w:p>
    <w:p>
      <w:r>
        <w:t>5.2 ყველა კანდიდატი ავსებს ოფიციალურ წერილობით განაცხადს, რომელიც მოიცავს: პროფესიულ კვალიფიკაციასა და რეგისტრაციის დეტალებს; სამუშაო გამოცდილების ისტორიას; ჯანდაცვის შეფასების გამოცდილების მტკიცებულებას; სფეროს ექსპერტიზის განცხადებას ASF სტანდარტებთან მიმართებით; და შევსებულ მიუკერძოებლობის დეკლარაციას (ASF-GOV-003-ის დანართი A).</w:t>
      </w:r>
    </w:p>
    <w:p>
      <w:r>
        <w:t>5.3 განაცხადებს ASF განიხილავს მე-3 თავში მითითებული კრიტერიუმების მიხედვით. შორტლისტში მოხვედრილ კანდიდატებს იწვევენ სტრუქტურირებულ ინტერვიუზე, რომელსაც ატარებს SDC-ის თავმჯდომარე ან მისი დელეგირებული შემფასებელი. ინტერვიუ აფასებს კანდიდატის გაგებას აკრედიტაციის პრინციპებისა და ჯანდაცვის ხარისხის შესაბამისი სისტემების შესახებ, აგრეთვე ASF-ის ღირებულებებისადმი — მიუკერძოებლობა, კონფიდენციალურობა და პროფესიული ქცევა — ერთგულებას.</w:t>
      </w:r>
    </w:p>
    <w:p>
      <w:r>
        <w:t>5.4 წარმატებულ კანდიდატებს სთავაზობენ პირობით დანიშვნას, იმ პირობით, რომ: დაასრულებენ ASF შემფასებელთა სწავლებისა და გამოცდის პროგრამას (ASF-OPS-009); გამოცდაში მიიღებენ მინიმუმ 75%-ს; და დამაკმაყოფილებლად შეასრულებენ ზედამხედველობით შეფასებებს.</w:t>
      </w:r>
    </w:p>
    <w:p>
      <w:r>
        <w:t>5.5 სრული დანიშვნა ASF შემფასებელთა რეესტრში დასტურდება ყველა სწავლების მოთხოვნის დასრულებისას და შემფასებლის ხელშეკრულებაზე (Surveyor Engagement Agreement) ASF-ის პრეზიდენტის კონტრასიგნაციის შემდეგ. შემფასებლის ხელშეკრულება განსაზღვრავს შემფასებლის ჩართულობის პირობებს ASF-თან, მათ შორის: როლს; ანაზღაურების პირობებს; კონფიდენციალურობის ვალდებულებებს; მიუკერძოებლობის ვალდებულებებს; ამ პოლიტიკით დაკისრებულ ვალდებულებებს; და პირობებს, რომელთა დროსაც ჩართულობა შეიძლება შეჩერდეს ან შეწყდეს.</w:t>
      </w:r>
    </w:p>
    <w:p>
      <w:r>
        <w:t>ASF შემფასებელთა რეესტრი აღრიცხავს ყველა დამტკიცებულ შემფასებელს — უფროსებსა და ასოცირებულებს — მათი დამტკიცების თარიღით, მიმდინარე სტატუსით, სფეროს ექსპერტიზით, გამოცდის შედეგებით, შეფასებათა ისტორიით და დამტკიცების ნებისმიერი პირობით. რეესტრს ASF აწარმოებს და ის საჯაროდ ხელმისაწვდომი არ არის.</w:t>
      </w:r>
    </w:p>
    <w:p>
      <w:pPr>
        <w:pStyle w:val="Heading2"/>
      </w:pPr>
      <w:r>
        <w:t>სწავლება და გამოცდა</w:t>
      </w:r>
    </w:p>
    <w:p>
      <w:r>
        <w:t>6.1 ყველა ახლად დანიშნულმა შემფასებელმა, დამოუკიდებელი შეფასების აქტივობის დაწყებამდე, უნდა გაიაროს ASF შემფასებელთა სწავლებისა და გამოცდის პროგრამა (ASF-OPS-009). პროგრამა არის ოთხმოდულიანი, ოთხდღიანი კურსი, რომელიც მოიცავს: ASF სტანდარტებსა და მეთოდოლოგიას; შეფასების პროცესსა და ინსტრუმენტებს; დოკუმენტაციასა და ანგარიშის წერას; და პროფესიულ ქცევასა და მიუკერძოებლობას. მას მე-4 დღეს წერილობითი კომპეტენციის გამოცდა ასრულებს.</w:t>
      </w:r>
    </w:p>
    <w:p>
      <w:r>
        <w:t>6.2 წერილობითი გამოცდის მინიმალური ჩაბარების ზღვარია 75%. კანდიდატებს, რომლებიც 75%-ს ვერ მიაღწევენ, შეუძლიათ გამოცდა ხელმეორედ ჩააბარონ ერთხელ, პირველი მცდელობიდან არანაკლებ 30 დღეში. კანდიდატი, რომელიც მეორე მცდელობაზეც ვერ მიაღწევს 75%-ს, არ არის უფლებამოსილი აქტიური შემფასებლის სტატუსისთვის. მათ შეუძლიათ სწავლებაზე ხელმეორედ განაცხადონ არანაკლებ 6 თვიანი დამატებითი განვითარების პერიოდის შემდეგ.</w:t>
      </w:r>
    </w:p>
    <w:p>
      <w:r>
        <w:t>6.3 უფროსი შემფასებლის კანდიდატებმა დამატებით უნდა შეასრულონ მინიმუმ ორი ზედამხედველობით შეფასების აქტივობა ასოცირებული შემფასებლის სახით, დამტკიცებული უფროსი შემფასებლის პირდაპირი ზედამხედველობით. ზედამხედველი უფროსი შემფასებელი ყოველი ზედამხედველობით შეფასების შემდეგ წერილობით უკუკავშირს იძლევა, რომელიც ინახება შემფასებლის ჩანაწერში.</w:t>
      </w:r>
    </w:p>
    <w:p>
      <w:r>
        <w:t>6.4 წლიური განახლების ბრიფინგები სავალდებულოა ყველა აქტიური შემფასებლისთვის. განახლების ბრიფინგები მოიცავს ცვლილებებს ASF სტანდარტებსა თუ მეთოდოლოგიაში, შემდგომი მონიტორინგიდან მიღებულ შედეგებს, რომლებიც შეეხება შეფასების პრაქტიკას, და განახლებებს მმართველობისა და ოპერაციულ პოლიტიკებში. შემფასებელი, რომელიც წლიურ განახლების ბრიფინგს არ ესწრება, გადადის არააქტიურ სტატუსში ბრიფინგის დასრულებამდე.</w:t>
      </w:r>
    </w:p>
    <w:p>
      <w:r>
        <w:t>6.5 ASF ატარებს წლიურ კალიბრაციის სავარჯიშოს. მასში მონაწილეობს ყველა აქტიური შემფასებელი. სავარჯიშო წარმოადგენს სტანდარტიზებულ შეფასების სცენარს და მოითხოვს, რომ შემფასებლებმა დამოუკიდებლად შეაფასონ კრიტერიუმების ნაკრები და დოკუმენტირება გაუკეთონ თავიანთ დასკვნებს. ანალიზდება შემფასებელთა ჯგუფში შეთანხმების დონე; მნიშვნელოვანი გადახრა ჯგუფის კონსენსუსიდან აღინიშნება და ინდივიდუალურად განიხილება შესაბამის შემფასებელთან.</w:t>
      </w:r>
    </w:p>
    <w:p>
      <w:pPr>
        <w:pStyle w:val="Heading2"/>
      </w:pPr>
      <w:r>
        <w:t>შესრულების მონიტორინგი</w:t>
      </w:r>
    </w:p>
    <w:p>
      <w:r>
        <w:t>7.1 ASF მუდმივად აკონტროლებს შემფასებელთა შესრულებას, დაყრდნობით: შეფასების ანგარიშების ხარისხის მიმოხილვებზე, რომლებსაც ADC-ის თავმჯდომარე ატარებს ყოველი შეფასების შემდეგ; შეფასებული დაწესებულებების სტრუქტურირებულ უკუკავშირზე, რომელიც გროვდება ყოველი შეფასების შემდეგ; კალიბრაციის სავარჯიშოს შედეგებზე; საჩივრების ჩანაწერებზე (ASF-GOV-005); და წლიური განახლების ბრიფინგებში დასწრების ჩანაწერზე.</w:t>
      </w:r>
    </w:p>
    <w:p>
      <w:r>
        <w:t>7.2 შესრულებასთან დაკავშირებული შეშფოთებები მოგვარდება შემდეგი სტეპენური ჩარჩოთი:</w:t>
      </w:r>
    </w:p>
    <w:tbl>
      <w:tblPr>
        <w:tblW w:type="auto" w:w="0"/>
        <w:tblLook w:firstColumn="1" w:firstRow="1" w:lastColumn="0" w:lastRow="0" w:noHBand="0" w:noVBand="1" w:val="04A0"/>
      </w:tblPr>
      <w:tblGrid>
        <w:gridCol w:w="2880"/>
        <w:gridCol w:w="2880"/>
        <w:gridCol w:w="2880"/>
      </w:tblGrid>
      <w:tr>
        <w:tc>
          <w:tcPr>
            <w:tcW w:type="dxa" w:w="2880"/>
          </w:tcPr>
          <w:p>
            <w:r>
              <w:t>ტრიგერი</w:t>
            </w:r>
          </w:p>
        </w:tc>
        <w:tc>
          <w:tcPr>
            <w:tcW w:type="dxa" w:w="2880"/>
          </w:tcPr>
          <w:p>
            <w:r>
              <w:t>განხილვის პროცესი</w:t>
            </w:r>
          </w:p>
        </w:tc>
        <w:tc>
          <w:tcPr>
            <w:tcW w:type="dxa" w:w="2880"/>
          </w:tcPr>
          <w:p>
            <w:r>
              <w:t>შესაძლო შედეგები</w:t>
            </w:r>
          </w:p>
        </w:tc>
      </w:tr>
      <w:tr>
        <w:tc>
          <w:tcPr>
            <w:tcW w:type="dxa" w:w="2880"/>
          </w:tcPr>
          <w:p>
            <w:r>
              <w:t>რუტინული — წლიური</w:t>
            </w:r>
          </w:p>
        </w:tc>
        <w:tc>
          <w:tcPr>
            <w:tcW w:type="dxa" w:w="2880"/>
          </w:tcPr>
          <w:p>
            <w:r>
              <w:t>ყველა შეფასების აქტივობის წლიური მიმოხილვა; კალიბრაციის სავარჯიშოში მონაწილეობა; განახლების ბრიფინგში დასწრება</w:t>
            </w:r>
          </w:p>
        </w:tc>
        <w:tc>
          <w:tcPr>
            <w:tcW w:type="dxa" w:w="2880"/>
          </w:tcPr>
          <w:p>
            <w:r>
              <w:t>სტატუსი დადასტურებულია; გამოვლინდა შემდგომი განვითარების საჭიროებები; ან გადაგზავნა ფორმალურ მიმოხილვაზე</w:t>
            </w:r>
          </w:p>
        </w:tc>
      </w:tr>
      <w:tr>
        <w:tc>
          <w:tcPr>
            <w:tcW w:type="dxa" w:w="2880"/>
          </w:tcPr>
          <w:p>
            <w:r>
              <w:t>საჩივარი დაკმაყოფილდა შემფასებლის წინააღმდეგ</w:t>
            </w:r>
          </w:p>
        </w:tc>
        <w:tc>
          <w:tcPr>
            <w:tcW w:type="dxa" w:w="2880"/>
          </w:tcPr>
          <w:p>
            <w:r>
              <w:t>გამოძიება ASF-GOV-005-ის შესაბამისად; ძირეული მიზეზის ანალიზი</w:t>
            </w:r>
          </w:p>
        </w:tc>
        <w:tc>
          <w:tcPr>
            <w:tcW w:type="dxa" w:w="2880"/>
          </w:tcPr>
          <w:p>
            <w:r>
              <w:t>ფორმალური მითითება; კორექტირებადი სწავლება; შეფასებებიდან შეჩერება; ან ამოღება რეესტრიდან</w:t>
            </w:r>
          </w:p>
        </w:tc>
      </w:tr>
      <w:tr>
        <w:tc>
          <w:tcPr>
            <w:tcW w:type="dxa" w:w="2880"/>
          </w:tcPr>
          <w:p>
            <w:r>
              <w:t>ანგარიშის ხარისხის შეშფოთება, რომელიც ADC-მა აღძრა</w:t>
            </w:r>
          </w:p>
        </w:tc>
        <w:tc>
          <w:tcPr>
            <w:tcW w:type="dxa" w:w="2880"/>
          </w:tcPr>
          <w:p>
            <w:r>
              <w:t>ADC-ის თავმჯდომარე განიხილავს საკითხს შემფასებელთან; ვლინდება ხარვეზი</w:t>
            </w:r>
          </w:p>
        </w:tc>
        <w:tc>
          <w:tcPr>
            <w:tcW w:type="dxa" w:w="2880"/>
          </w:tcPr>
          <w:p>
            <w:r>
              <w:t>მიზანმიმართული მითითება; ზედამხედველობით შეფასება; ან ფორმალური მიმოხილვა</w:t>
            </w:r>
          </w:p>
        </w:tc>
      </w:tr>
      <w:tr>
        <w:tc>
          <w:tcPr>
            <w:tcW w:type="dxa" w:w="2880"/>
          </w:tcPr>
          <w:p>
            <w:r>
              <w:t>კალიბრაციის სავარჯიშოს ქულა ზღვარზე დაბლა (შეთანხმება 70%-ზე დაბლა)</w:t>
            </w:r>
          </w:p>
        </w:tc>
        <w:tc>
          <w:tcPr>
            <w:tcW w:type="dxa" w:w="2880"/>
          </w:tcPr>
          <w:p>
            <w:r>
              <w:t>შემფასებელს ეპატიჟება კალიბრაციის დისკუსიის განხილვაზე; საჭიროების შემთხვევაში ხელახლა გადის კალიბრაციას</w:t>
            </w:r>
          </w:p>
        </w:tc>
        <w:tc>
          <w:tcPr>
            <w:tcW w:type="dxa" w:w="2880"/>
          </w:tcPr>
          <w:p>
            <w:r>
              <w:t>მიზანმიმართული სწავლება; ან ფორმალური კომპეტენციის მიმოხილვა</w:t>
            </w:r>
          </w:p>
        </w:tc>
      </w:tr>
      <w:tr>
        <w:tc>
          <w:tcPr>
            <w:tcW w:type="dxa" w:w="2880"/>
          </w:tcPr>
          <w:p>
            <w:r>
              <w:t>უმოქმედობა — შეფასების გარეშე 24 თვე</w:t>
            </w:r>
          </w:p>
        </w:tc>
        <w:tc>
          <w:tcPr>
            <w:tcW w:type="dxa" w:w="2880"/>
          </w:tcPr>
          <w:p>
            <w:r>
              <w:t>შემდეგ დანიშვნამდე საჭიროა განახლების მოდული</w:t>
            </w:r>
          </w:p>
        </w:tc>
        <w:tc>
          <w:tcPr>
            <w:tcW w:type="dxa" w:w="2880"/>
          </w:tcPr>
          <w:p>
            <w:r>
              <w:t>განახლების დასრულება → აქტიური სტატუსის აღდგენა; დაუსრულებლობა → არააქტიური სტატუსი</w:t>
            </w:r>
          </w:p>
        </w:tc>
      </w:tr>
      <w:tr>
        <w:tc>
          <w:tcPr>
            <w:tcW w:type="dxa" w:w="2880"/>
          </w:tcPr>
          <w:p>
            <w:r>
              <w:t>ფორმალური კომპეტენციის მიმოხილვა</w:t>
            </w:r>
          </w:p>
        </w:tc>
        <w:tc>
          <w:tcPr>
            <w:tcW w:type="dxa" w:w="2880"/>
          </w:tcPr>
          <w:p>
            <w:r>
              <w:t>სრული მიმოხილვა SDC-ის თავმჯდომარის ან დელეგირებული შემფასებლის მიერ: ჩანაწერები, შეფასების ანგარიშები, უკუკავშირი, კალიბრაციის შედეგები</w:t>
            </w:r>
          </w:p>
        </w:tc>
        <w:tc>
          <w:tcPr>
            <w:tcW w:type="dxa" w:w="2880"/>
          </w:tcPr>
          <w:p>
            <w:r>
              <w:t>დადასტურება; შესრულების გაუმჯობესების გეგმა; შეჩერება; ან ამოღება შემფასებელთა რეესტრიდან</w:t>
            </w:r>
          </w:p>
        </w:tc>
      </w:tr>
    </w:tbl>
    <w:p>
      <w:r>
        <w:t>7.3 შემფასებელი, რომელიც ფორმალური კომპეტენციის მიმოხილვის საგანია, აგრძელებს აქტიური სტატუსის შენარჩუნებას, თუ მიმოხილვა არ განსაზღვრავს, რომ შეჩერება აუცილებელია მიმდინარე შეფასებების მთლიანობის დასაცავად. შეჩერება მიმოხილვის დროს წარმოადგენს პრევენციულ ზომას და არ არის არაკომპეტენტურობის დადგენა.</w:t>
      </w:r>
    </w:p>
    <w:p>
      <w:pPr>
        <w:pStyle w:val="Heading2"/>
      </w:pPr>
      <w:r>
        <w:t>შემფასებელთა რეესტრი და ამოღება</w:t>
      </w:r>
    </w:p>
    <w:p>
      <w:r>
        <w:t>8.1 ASF შემფასებელთა რეესტრი აღრიცხავს:</w:t>
      </w:r>
    </w:p>
    <w:p>
      <w:r>
        <w:t>(a) შემფასებლის სახელს, საკონტაქტო მონაცემებსა და პროფესიულ კვალიფიკაციებს;</w:t>
      </w:r>
    </w:p>
    <w:p>
      <w:r>
        <w:t>(b) შემფასებლის როლს (უფროსი ან ასოცირებული) და ნებისმიერ სფეროსთან დაკავშირებულ პირობებს;</w:t>
      </w:r>
    </w:p>
    <w:p>
      <w:r>
        <w:t>(c) დანიშვნის თარიღსა და მიმდინარე სტატუსს (აქტიური, არააქტიური, შეჩერებული, ამოღებული);</w:t>
      </w:r>
    </w:p>
    <w:p>
      <w:r>
        <w:t>(d) სწავლებისა და გამოცდის ჩანაწერებს;</w:t>
      </w:r>
    </w:p>
    <w:p>
      <w:r>
        <w:t>(e) შეფასებათა ისტორიას — მინიჭებული შეფასებები, თარიღები და შედეგები;</w:t>
      </w:r>
    </w:p>
    <w:p>
      <w:r>
        <w:t>(f) კალიბრაციის სავარჯიშოს ჩანაწერებს;</w:t>
      </w:r>
    </w:p>
    <w:p>
      <w:r>
        <w:t>(g) ფორმალური შესრულების ნებისმიერ ზომას.</w:t>
      </w:r>
    </w:p>
    <w:p>
      <w:r>
        <w:t>8.2 შემფასებელი რეესტრიდან ამოღებულია შემდეგ შემთხვევებში:</w:t>
      </w:r>
    </w:p>
    <w:p>
      <w:r>
        <w:t>(a) ნებაყოფლობითი გადადგომა წერილობითი შეტყობინებით ASF-ისთვის;</w:t>
      </w:r>
    </w:p>
    <w:p>
      <w:r>
        <w:t>(b) აქტიური სტატუსის შენარჩუნების ვერუზრუნველყოფა — წლიური განახლების ბრიფინგის დაუსრულებლობა ვადიდან 6 თვის განმავლობაში და 24-თვიანი არააქტიურობის შემდეგ საჭირო განახლების მოდულის დაუსრულებლობა;</w:t>
      </w:r>
    </w:p>
    <w:p>
      <w:r>
        <w:t>(c) ფორმალური კომპეტენციის მიმოხილვის შედეგად დადგენილი, რომ შემფასებელი აღარ არის კომპეტენტური ASF შეფასებების ჩასატარებლად;</w:t>
      </w:r>
    </w:p>
    <w:p>
      <w:r>
        <w:t>(d) მიუკერძოებლობის პოლიტიკის (ASF-GOV-003) შეგნებული დარღვევა, რაც მუდმივ ამოღებას მოითხოვს (იხ. ASF-GOV-003, §9.3);</w:t>
      </w:r>
    </w:p>
    <w:p>
      <w:r>
        <w:t>(e) კონფიდენციალურობის პოლიტიკის (ASF-GOV-004) სერიოზული დარღვევა, რის შედეგადაც დადგინდა, რომ შემდგომი ჩართულობა მიუღებელ რისკს წარმოადგენს;</w:t>
      </w:r>
    </w:p>
    <w:p>
      <w:r>
        <w:t>(f) ქცევა, რომელიც არ შეესაბამება ASF-ის პროფესიულ სტანდარტებს და, ASF-ის პრეზიდენტის შეხედულებით, ამოღებას მოითხოვს.</w:t>
      </w:r>
    </w:p>
    <w:p>
      <w:r>
        <w:t>8.3 ამოღების შესახებ შემფასებელს წერილობით ეცნობება მიზეზების მითითებით. შემფასებელს შეუძლია ამოღების გადაწყვეტილება გაასაჩივროს ASF-GOV-005-ის შესაბამისად 30 კალენდარული დღის განმავლობაში. სააპელაციო განხილვის შედეგამდე შემფასებელი გადადის შეჩერებულ სტატუსში.</w:t>
      </w:r>
    </w:p>
    <w:p>
      <w:r>
        <w:t>8.4 შემფასებელს, რომელიც ამოღებულია 8.2(b) პუნქტის (აქტიური სტატუსის შენარჩუნების ვერუზრუნველყოფა) საფუძველზე, შეუძლია შემფასებლის სტატუსზე ხელახლა განაცხადოს განახლების მოდულის დასრულებისა და გამოცდის ჩაბარების შემდეგ.</w:t>
      </w:r>
    </w:p>
    <w:p>
      <w:pPr>
        <w:pStyle w:val="Heading2"/>
      </w:pPr>
      <w:r>
        <w:t>ISQua EEA-სთან შესაბამისობა</w:t>
      </w:r>
    </w:p>
    <w:p>
      <w:r>
        <w:t>9.1 ეს პოლიტიკა შექმნილია იმისთვის, რომ დააკმაყოფილოს ISQua EEA Principle 5 (Surveyors) მოთხოვნები, რომლის მიხედვითაც აკრედიტაციის პროგრამას უნდა ჰქონდეს: შემფასებლებისთვის განსაზღვრული და გამოქვეყნებული კომპეტენციის ჩარჩო; შერჩევის პროცესი, რომელიც ამოწმებს შესაბამისობას; სწავლების პროგრამა, რომელიც შემფასებლებს აღჭურვავს საჭირო ცოდნითა და უნარებით; შესრულების მუდმივი მონიტორინგის სისტემა; და დამტკიცებულ შემფასებელთა რეესტრი. ASF ISQua EEA Crosswalk-ი (ASF-EV-004) მიუთითებს ამ პოლიტიკის დებულებებს შესაბამის EEA კრიტერიუმებზე.</w:t>
      </w:r>
    </w:p>
    <w:p>
      <w:pPr>
        <w:pStyle w:val="Heading2"/>
      </w:pPr>
      <w:r>
        <w:t>წყაროები</w:t>
      </w:r>
    </w:p>
    <w:p>
      <w:r>
        <w:t>[1] ISQua International Accreditation Programme (IAP). Principles for Standards. 6th Edition. ISQua External Evaluation Association, Dublin, Ireland, 2023.</w:t>
      </w:r>
    </w:p>
    <w:p>
      <w:r>
        <w:t>[2] Joint Commission International. JCI Accreditation Standards for Hospitals. 7th Edition. JCI, Oak Brook, IL, 2020. (Chapter: The Survey Process — Surveyor Qualifications)</w:t>
      </w:r>
    </w:p>
    <w:p>
      <w:r>
        <w:t>[3] Accreditation Canada. Qmentum Accreditation Program: Surveyor Competency and Training Framework. Ottawa, 2022.</w:t>
      </w:r>
    </w:p>
    <w:p>
      <w:r>
        <w:t>[4] Australian Council on Healthcare Standards (ACHS). EQuIP National Survey Assessor Standards and Training Framework. ACHS, Sydney, 2018.</w:t>
      </w:r>
    </w:p>
    <w:p>
      <w:r>
        <w:t>[5] International Organization for Standardization. ISO/IEC 17021-1:2015 — Conformity Assessment: Requirements for Bodies Providing Audit and Certification of Management Systems. §7 Resource Requirements (Personnel Competence). ISO, Geneva, 2015.</w:t>
      </w:r>
    </w:p>
    <w:p>
      <w:r>
        <w:t>[6] International Organization for Standardization. ISO 19011:2018 — Guidelines for Auditing Management Systems. ISO, Geneva, 2018.</w:t>
      </w:r>
    </w:p>
    <w:p>
      <w:r>
        <w:t>[7] Greenfield D, Pawsey M, Braithwaite J. What motivates professionals to engage in the accreditation of healthcare organisations? Int J Qual Health Care. 2011;23(1):8–14. doi:10.1093/intqhc/mzq067</w:t>
      </w:r>
    </w:p>
    <w:p>
      <w:r>
        <w:t>[8] Greenfield D, Braithwaite J. Health sector accreditation research: a systematic review. Int J Qual Health Care. 2008;20(3):172–183.</w:t>
      </w:r>
    </w:p>
    <w:p>
      <w:r>
        <w:t>[9] Shaw CD, Braithwaite J, Moldovan M, et al. Profiling health-care accreditation organisations: an international survey. Int J Qual Health Care. 2013;25(3):222–231.</w:t>
      </w:r>
    </w:p>
    <w:p>
      <w:r>
        <w:t>[10] HQACI. Surveyor Competency Policy. ISQua EEA Accredited Document, 2026.</w:t>
      </w:r>
    </w:p>
    <w:p>
      <w:r>
        <w:t>[11] World Health Organization. WHO Patient Safety Curriculum Guide: Multi-professional Edition. WHO, Geneva, 2011.</w:t>
      </w:r>
    </w:p>
    <w:p>
      <w:r>
        <w:t>[12] International Organization for Standardization. ISO/IEC 17011:2017 — Conformity Assessment: Requirements for Accreditation Bodies. §6.4 Assessors. ISO, Geneva, 2017.</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ASF-OPS-002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