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ASF-OPS-004</w:t>
            </w:r>
          </w:p>
          <w:p>
            <w:r>
              <w:t>აკრედიტაციის ნიშნის პოლიტიკა</w:t>
            </w:r>
          </w:p>
        </w:tc>
      </w:tr>
      <w:tr>
        <w:tc>
          <w:tcPr>
            <w:tcW w:type="dxa" w:w="2160"/>
          </w:tcPr>
          <w:p>
            <w:r>
              <w:t>დოკუმენტის კოდი</w:t>
            </w:r>
          </w:p>
        </w:tc>
        <w:tc>
          <w:tcPr>
            <w:tcW w:type="dxa" w:w="2160"/>
          </w:tcPr>
          <w:p>
            <w:r>
              <w:t>ASF-OPS-004</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ორგანიზაცია, რომელსაც უჭირავს ან აცხადებს ASF აკრედიტაციის სტატუსს, და ნებისმიერი მესამე მხარე, რომელიც იყენებს ASF აკრედიტაციის ნიშანს</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ASF-OPS-001 აკრედიტაციის გადაწყვეტილების ჩარჩო · ASF-OPS-003 აკრედიტაციის ციკლის პოლიტიკა · ASF-OPS-005 აკრედიტაციის შემდგომი ვალდებულებები · ASF-GOV-005 საჩივრებისა და სააპელაციო პროცედურა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ASF-OPS-004 V2.0 (2026-11-25)</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აკრედიტაციის ნიშნის პოლიტიკა</w:t>
      </w:r>
    </w:p>
    <w:p>
      <w:r>
        <w:t>ASF · ოპერაციული დოკუმენტები · ASF-OPS-004</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2024-12-12</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2025-02-01</w:t>
            </w:r>
          </w:p>
        </w:tc>
        <w:tc>
          <w:tcPr>
            <w:tcW w:type="dxa" w:w="2160"/>
          </w:tcPr>
          <w:p>
            <w:r>
              <w:t>პირველი გამოქვეყნებული ვერსია</w:t>
            </w:r>
          </w:p>
        </w:tc>
        <w:tc>
          <w:tcPr>
            <w:tcW w:type="dxa" w:w="2160"/>
          </w:tcPr>
          <w:p>
            <w:r>
              <w:t>Prof. G. Pkhakadze, ASF პრეზიდენტი</w:t>
            </w:r>
          </w:p>
        </w:tc>
      </w:tr>
      <w:tr>
        <w:tc>
          <w:tcPr>
            <w:tcW w:type="dxa" w:w="2160"/>
          </w:tcPr>
          <w:p>
            <w:r>
              <w:t>V2.0</w:t>
            </w:r>
          </w:p>
        </w:tc>
        <w:tc>
          <w:tcPr>
            <w:tcW w:type="dxa" w:w="2160"/>
          </w:tcPr>
          <w:p>
            <w:r>
              <w:t>2025-11-20</w:t>
            </w:r>
          </w:p>
        </w:tc>
        <w:tc>
          <w:tcPr>
            <w:tcW w:type="dxa" w:w="2160"/>
          </w:tcPr>
          <w:p>
            <w:r>
              <w:t>დაშვებული/აკრძალული გამოყენების 12-მწკრივიანი ცხრილი; 3-ეტაპიანი აღსრულების პროცედურა ფორმალიზდა</w:t>
            </w:r>
          </w:p>
        </w:tc>
        <w:tc>
          <w:tcPr>
            <w:tcW w:type="dxa" w:w="2160"/>
          </w:tcPr>
          <w:p>
            <w:r>
              <w:t>Prof. G. Pkhakadze, ASF პრეზიდენტი</w:t>
            </w:r>
          </w:p>
        </w:tc>
      </w:tr>
      <w:tr>
        <w:tc>
          <w:tcPr>
            <w:tcW w:type="dxa" w:w="2160"/>
          </w:tcPr>
          <w:p>
            <w:r>
              <w:t>V3.0</w:t>
            </w:r>
          </w:p>
        </w:tc>
        <w:tc>
          <w:tcPr>
            <w:tcW w:type="dxa" w:w="2160"/>
          </w:tcPr>
          <w:p>
            <w:r>
              <w:t>2026-09-30</w:t>
            </w:r>
          </w:p>
        </w:tc>
        <w:tc>
          <w:tcPr>
            <w:tcW w:type="dxa" w:w="2160"/>
          </w:tcPr>
          <w:p>
            <w:r>
              <w:t>დაემატა ვიზუალური იდენტობის 5-ელემენტიანი სპეციფიკაცია;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ASF აკრედიტაციის ნიშანი არის ASF აკრედიტაციის ხილული სიმბოლო. ის ადასტურებს პაციენტებს, მარეგულირებლებს, დამფინანსებლებსა და საზოგადოებას, რომ ჯანდაცვის დაწესებულება დამოუკიდებლად შეფასდა ASF-ის გამოქვეყნებული აკრედიტაციის სტანდარტების მიხედვით და აკმაყოფილებს ხარისხისა და უსაფრთხოების მოთხოვნილ დონეს. ნიშნის სანდოობა დამოკიდებულია იმაზე, რომ მისი გამოყენება მკაცრად შეიზღუდება იმ ორგანიზაციებით, რომლებსაც ამჟამად აქვთ მოქმედი აკრედიტაციის სტატუსი და იყენებენ ნიშანს მხოლოდ ამ პოლიტიკით დაშვებულ კონტექსტში და ფორმით.</w:t>
      </w:r>
    </w:p>
    <w:p>
      <w:r>
        <w:t>1.2 ეს პოლიტიკა განსაზღვრავს: პირობებს, რომელთა დროსაც შეიძლება გამოყენებულ იქნას ASF აკრედიტაციის ნიშანი; ფორმას, რომლითაც ის უნდა გამოჩნდეს; აკრედიტებული ორგანიზაციების ვალდებულებებს მის გამოყენებასთან დაკავშირებით; პროცესს ნიშნის მოსახსნელად, როცა აკრედიტაცია ვადაგასულია, შეჩერებულია ან გაუქმებულია; და ASF-ის მოწყობას შესაბამისობის მონიტორინგისა და აღსრულებისთვის.</w:t>
      </w:r>
    </w:p>
    <w:p>
      <w:r>
        <w:t>1.3 ASF აკრედიტაციის ნიშანი არის Accréditation Sans Frontières-ის რეგისტრირებული სასაქონლო ნიშანი. მისი გამოყენება არის ლიცენზია, რომელსაც ASF აძლევს აკრედიტებულ ორგანიზაციას მხოლოდ აკრედიტაციის პერიოდის განმავლობაში. ლიცენზია პირადია აკრედიტებული ორგანიზაციისა და აკრედიტებული დაწესებულებისთვის — ის არ არის გადასაცემი სხვა ორგანიზაციაზე, დაწესებულებაზე ან სუბიექტზე.</w:t>
      </w:r>
    </w:p>
    <w:p>
      <w:pPr>
        <w:pStyle w:val="Heading2"/>
      </w:pPr>
      <w:r>
        <w:t>აკრედიტაციის ნიშნის ლიცენზია</w:t>
      </w:r>
    </w:p>
    <w:p>
      <w:r>
        <w:t>2.1 აკრედიტაციის სერტიფიკატის გაცემისას ASF აკრედიტებულ ორგანიზაციას აძლევს არაექსკლუზიურ, არაგადასაცემ ლიცენზიას ASF აკრედიტაციის ნიშნის გამოსაყენებლად სერტიფიკატში დასახელებულ კონკრეტულ აკრედიტებულ დაწესებულებასთან დაკავშირებით. ლიცენზია ძალაში შედის აკრედიტაციის დაწყების თარიღიდან და ავტომატურად წყვეტს მოქმედებას აკრედიტაციის დასრულების თარიღზე, ორივე მხარის რაიმე დამატებითი ქმედების გარეშე.</w:t>
      </w:r>
    </w:p>
    <w:p>
      <w:r>
        <w:t>2.2 ლიცენზია ექვემდებარება ამ პოლიტიკაში მითითებულ პირობებს. ნიშნის ნებისმიერი გამოყენება ამ პირობების მიღმა წარმოადგენს ლიცენზიის და ASF-ის ინტელექტუალური საკუთრების უფლებების დარღვევას.</w:t>
      </w:r>
    </w:p>
    <w:p>
      <w:r>
        <w:t>2.3 ლიცენზია მოიცავს მხოლოდ აკრედიტაციის სერტიფიკატში დასახელებულ კონკრეტულ დაწესებულებას. თუ ორგანიზაცია რამდენიმე დაწესებულებას ფლობს, თითოეულმა მათგანმა უნდა ფლობდეს საკუთარ მოქმედ აკრედიტაციას და საკუთარ ლიცენზიას ნიშნის გამოფენამდე. ჯგუფური ან ქსელური აკრედიტაცია ASF სტანდარტებით არ არსებობს; თითოეული დაწესებულება ფასდება ინდივიდუალურად.</w:t>
      </w:r>
    </w:p>
    <w:p>
      <w:r>
        <w:t>2.4 აკრედიტაციის ნიშნის ლიცენზია განსაზღვრულია აკრედიტაციის სერტიფიკატთან ერთად გაცემულ ცალკე ლიცენზიის დოკუმენტში. ლიცენზიის დოკუმენტი მიუთითებს: აკრედიტებულ ორგანიზაციას; აკრედიტებული დაწესებულების სახელსა და მისამართს; ASF სტანდარტს, რომლის მიხედვითაც შეფასდა აკრედიტაცია; აკრედიტაციის პერიოდს; და ნიშნის დაშვებულ გამოყენებებს ამ პოლიტიკის შესაბამისად.</w:t>
      </w:r>
    </w:p>
    <w:p>
      <w:pPr>
        <w:pStyle w:val="Heading2"/>
      </w:pPr>
      <w:r>
        <w:t>დაშვებული და აკრძალული გამოყენება</w:t>
      </w:r>
    </w:p>
    <w:p>
      <w:r>
        <w:t>3.1 შემდეგი ცხრილი განსაზღვრავს კონტექსტებს, რომლებშიც ASF აკრედიტაციის ნიშანი შეიძლება ან არ შეიძლება გამოყენებულ იქნას:</w:t>
      </w:r>
    </w:p>
    <w:tbl>
      <w:tblPr>
        <w:tblW w:type="auto" w:w="0"/>
        <w:tblLook w:firstColumn="1" w:firstRow="1" w:lastColumn="0" w:lastRow="0" w:noHBand="0" w:noVBand="1" w:val="04A0"/>
      </w:tblPr>
      <w:tblGrid>
        <w:gridCol w:w="4320"/>
        <w:gridCol w:w="4320"/>
      </w:tblGrid>
      <w:tr>
        <w:tc>
          <w:tcPr>
            <w:tcW w:type="dxa" w:w="4320"/>
          </w:tcPr>
          <w:p>
            <w:r>
              <w:t>კონტექსტი</w:t>
            </w:r>
          </w:p>
        </w:tc>
        <w:tc>
          <w:tcPr>
            <w:tcW w:type="dxa" w:w="4320"/>
          </w:tcPr>
          <w:p>
            <w:r>
              <w:t>ASF აკრედიტაციის ნიშნის გამოყენება</w:t>
            </w:r>
          </w:p>
        </w:tc>
      </w:tr>
      <w:tr>
        <w:tc>
          <w:tcPr>
            <w:tcW w:type="dxa" w:w="4320"/>
          </w:tcPr>
          <w:p>
            <w:r>
              <w:t>დაწესებულების შესასვლელის და მიმღების ნიშნები</w:t>
            </w:r>
          </w:p>
        </w:tc>
        <w:tc>
          <w:tcPr>
            <w:tcW w:type="dxa" w:w="4320"/>
          </w:tcPr>
          <w:p>
            <w:r>
              <w:t>✓ დაშვებულია — აკრედიტაციის პერიოდში</w:t>
            </w:r>
          </w:p>
        </w:tc>
      </w:tr>
      <w:tr>
        <w:tc>
          <w:tcPr>
            <w:tcW w:type="dxa" w:w="4320"/>
          </w:tcPr>
          <w:p>
            <w:r>
              <w:t>დაწესებულების ვებსაიტი (ინსტიტუციური გვერდები)</w:t>
            </w:r>
          </w:p>
        </w:tc>
        <w:tc>
          <w:tcPr>
            <w:tcW w:type="dxa" w:w="4320"/>
          </w:tcPr>
          <w:p>
            <w:r>
              <w:t>✓ დაშვებულია — აკრედიტაციის პერიოდის თარიღების ჩვენებით</w:t>
            </w:r>
          </w:p>
        </w:tc>
      </w:tr>
      <w:tr>
        <w:tc>
          <w:tcPr>
            <w:tcW w:type="dxa" w:w="4320"/>
          </w:tcPr>
          <w:p>
            <w:r>
              <w:t>დაწესებულების ბლანკი და ოფიციალური მიმოწერა</w:t>
            </w:r>
          </w:p>
        </w:tc>
        <w:tc>
          <w:tcPr>
            <w:tcW w:type="dxa" w:w="4320"/>
          </w:tcPr>
          <w:p>
            <w:r>
              <w:t>✓ დაშვებულია — აკრედიტაციის პერიოდში</w:t>
            </w:r>
          </w:p>
        </w:tc>
      </w:tr>
      <w:tr>
        <w:tc>
          <w:tcPr>
            <w:tcW w:type="dxa" w:w="4320"/>
          </w:tcPr>
          <w:p>
            <w:r>
              <w:t>პაციენტებისთვის განკუთვნილი საინფორმაციო მასალები და ბროშურები</w:t>
            </w:r>
          </w:p>
        </w:tc>
        <w:tc>
          <w:tcPr>
            <w:tcW w:type="dxa" w:w="4320"/>
          </w:tcPr>
          <w:p>
            <w:r>
              <w:t>✓ დაშვებულია — განცხადებით: „Accredited by Accréditation Sans Frontières“</w:t>
            </w:r>
          </w:p>
        </w:tc>
      </w:tr>
      <w:tr>
        <w:tc>
          <w:tcPr>
            <w:tcW w:type="dxa" w:w="4320"/>
          </w:tcPr>
          <w:p>
            <w:r>
              <w:t>პრეს-რელიზები და მედიასთან კომუნიკაცია</w:t>
            </w:r>
          </w:p>
        </w:tc>
        <w:tc>
          <w:tcPr>
            <w:tcW w:type="dxa" w:w="4320"/>
          </w:tcPr>
          <w:p>
            <w:r>
              <w:t>✓ დაშვებულია — აკრედიტაციის პერიოდისა და სტანდარტის მითითებით</w:t>
            </w:r>
          </w:p>
        </w:tc>
      </w:tr>
      <w:tr>
        <w:tc>
          <w:tcPr>
            <w:tcW w:type="dxa" w:w="4320"/>
          </w:tcPr>
          <w:p>
            <w:r>
              <w:t>ვაკანსიების განცხადებები</w:t>
            </w:r>
          </w:p>
        </w:tc>
        <w:tc>
          <w:tcPr>
            <w:tcW w:type="dxa" w:w="4320"/>
          </w:tcPr>
          <w:p>
            <w:r>
              <w:t>✓ დაშვებულია — აკრედიტაციის პერიოდის მითითებით</w:t>
            </w:r>
          </w:p>
        </w:tc>
      </w:tr>
      <w:tr>
        <w:tc>
          <w:tcPr>
            <w:tcW w:type="dxa" w:w="4320"/>
          </w:tcPr>
          <w:p>
            <w:r>
              <w:t>აკრედიტაციის პერიოდის გასვლის ან ვადაგასვლის შემდეგ</w:t>
            </w:r>
          </w:p>
        </w:tc>
        <w:tc>
          <w:tcPr>
            <w:tcW w:type="dxa" w:w="4320"/>
          </w:tcPr>
          <w:p>
            <w:r>
              <w:t>✗ აკრძალულია — ნიშანი უნდა მოიხსნას 14 კალენდარული დღის განმავლობაში</w:t>
            </w:r>
          </w:p>
        </w:tc>
      </w:tr>
      <w:tr>
        <w:tc>
          <w:tcPr>
            <w:tcW w:type="dxa" w:w="4320"/>
          </w:tcPr>
          <w:p>
            <w:r>
              <w:t>შეჩერების დროს</w:t>
            </w:r>
          </w:p>
        </w:tc>
        <w:tc>
          <w:tcPr>
            <w:tcW w:type="dxa" w:w="4320"/>
          </w:tcPr>
          <w:p>
            <w:r>
              <w:t>✗ აკრძალულია — ნიშანი უნდა მოიხსნას შეჩერების შეტყობინებიდან 5 სამუშაო დღის განმავლობაში</w:t>
            </w:r>
          </w:p>
        </w:tc>
      </w:tr>
      <w:tr>
        <w:tc>
          <w:tcPr>
            <w:tcW w:type="dxa" w:w="4320"/>
          </w:tcPr>
          <w:p>
            <w:r>
              <w:t>გაუქმების შემდეგ</w:t>
            </w:r>
          </w:p>
        </w:tc>
        <w:tc>
          <w:tcPr>
            <w:tcW w:type="dxa" w:w="4320"/>
          </w:tcPr>
          <w:p>
            <w:r>
              <w:t>✗ აკრძალულია — ნიშანი უნდა მოიხსნას გაუქმების შეტყობინებიდან 5 სამუშაო დღის განმავლობაში</w:t>
            </w:r>
          </w:p>
        </w:tc>
      </w:tr>
      <w:tr>
        <w:tc>
          <w:tcPr>
            <w:tcW w:type="dxa" w:w="4320"/>
          </w:tcPr>
          <w:p>
            <w:r>
              <w:t>უფრო მაღალი სტატუსის მიმნიშვნელ კონტექსტში, ვიდრე მინიჭებულია</w:t>
            </w:r>
          </w:p>
        </w:tc>
        <w:tc>
          <w:tcPr>
            <w:tcW w:type="dxa" w:w="4320"/>
          </w:tcPr>
          <w:p>
            <w:r>
              <w:t>✗ აკრძალულია — მაგალითად, „სრული აკრედიტაციის“ გამოყენება, როცა მინიჭებულია პირობითი აკრედიტაცია</w:t>
            </w:r>
          </w:p>
        </w:tc>
      </w:tr>
      <w:tr>
        <w:tc>
          <w:tcPr>
            <w:tcW w:type="dxa" w:w="4320"/>
          </w:tcPr>
          <w:p>
            <w:r>
              <w:t>პროდუქტებისთვის, მომსახურებისთვის ან პერსონალისთვის, რომლებიც აკრედიტებული დაწესებულების ფარგლებში არ შედის</w:t>
            </w:r>
          </w:p>
        </w:tc>
        <w:tc>
          <w:tcPr>
            <w:tcW w:type="dxa" w:w="4320"/>
          </w:tcPr>
          <w:p>
            <w:r>
              <w:t>✗ აკრძალულია</w:t>
            </w:r>
          </w:p>
        </w:tc>
      </w:tr>
      <w:tr>
        <w:tc>
          <w:tcPr>
            <w:tcW w:type="dxa" w:w="4320"/>
          </w:tcPr>
          <w:p>
            <w:r>
              <w:t>ნიშნის შეცვლილი, დამახინჯებული ან სხვა ფერში გადაღებული ვერსიები</w:t>
            </w:r>
          </w:p>
        </w:tc>
        <w:tc>
          <w:tcPr>
            <w:tcW w:type="dxa" w:w="4320"/>
          </w:tcPr>
          <w:p>
            <w:r>
              <w:t>✗ აკრძალულია ყველა შემთხვევაში</w:t>
            </w:r>
          </w:p>
        </w:tc>
      </w:tr>
    </w:tbl>
    <w:p>
      <w:r>
        <w:t>3.2 ნიშნის ყველა დაშვებულ გამოყენებაში ნიშანი უნდა ახლდეს განცხადებას აკრედიტაციის პერიოდის მითითებით, ერთ-ერთი შემდეგი ფორმით:</w:t>
      </w:r>
    </w:p>
    <w:p>
      <w:r>
        <w:t>(a) „Accredited by Accréditation Sans Frontières [დაწყების წელი]–[დასრულების წელი]“; ან</w:t>
      </w:r>
    </w:p>
    <w:p>
      <w:r>
        <w:t>(b) „ASF Accredited [დაწყების წელი]–[დასრულების წელი]“; ან</w:t>
      </w:r>
    </w:p>
    <w:p>
      <w:r>
        <w:t>(c) QR კოდი ან ვებ-ბმული, რომელიც მაყურებელს მიმართავს დაწესებულების ჩანაწერზე ASF საჯარო რეესტრში france-asf.fr-ზე.</w:t>
      </w:r>
    </w:p>
    <w:p>
      <w:r>
        <w:t>3.3 თუ აკრედიტაციის გადაწყვეტილება იყო პირობითი აკრედიტაცია, განცხადება უნდა იყოს: „Conditionally Accredited by Accréditation Sans Frontières [წელი]“. შეუცვლელი „Accredited“ აღნიშვნა პირობითი აკრედიტაციისთვის არ გამოიყენება.</w:t>
      </w:r>
    </w:p>
    <w:p>
      <w:r>
        <w:t>3.4 აღიარების ჯილდოს (Recognition Award) მფლობელს არ აქვს ASF აკრედიტაციის ნიშნის გამოყენების ლიცენზია. აღიარების ჯილდოს მქონე ორგანიზაციებს შეუძლიათ კომუნიკაციაში აღნიშნონ „Recipient of the ASF Recognition Award [წელი]“, მაგრამ არ შეუძლიათ ASF აკრედიტაციის ნიშნის გამოყენება.</w:t>
      </w:r>
    </w:p>
    <w:p>
      <w:pPr>
        <w:pStyle w:val="Heading2"/>
      </w:pPr>
      <w:r>
        <w:t>ვიზუალური იდენტობის მოთხოვნები</w:t>
      </w:r>
    </w:p>
    <w:p>
      <w:r>
        <w:t>4.1 ASF აკრედიტაციის ნიშანი უნდა გამოიყენებოდეს ASF-ის მიერ მოწოდებული დამტკიცებული ფორმით. დამტკიცებული ნიშნის ფაილები (ვექტორულ და რასტრულ ფორმატებში) აკრედიტებულ ორგანიზაციას ლიცენზიის გაცემისას გადაეცემა. ვრცელდება შემდეგი მოთხოვნები:</w:t>
      </w:r>
    </w:p>
    <w:p>
      <w:r>
        <w:t>(a) ფერი — ნიშანი უნდა იყოს გამოსახული ASF-ის დამტკიცებულ ფერებში (მუქი ლურჯი #14335C და ოქროსფერი #C9A227) თეთრ ან ღია ფონზე; ან როგორც შებრუნებული ვერსია (თეთრი ნიშანი) მუქ ფონზე. ფერების შეცვლა არ არის დაშვებული.</w:t>
      </w:r>
    </w:p>
    <w:p>
      <w:r>
        <w:t>(b) მინიმალური ზომა — ნიშანი უნდა იყოს წარმოდგენილი მისი უმცირესი განზომილებით არანაკლებ 25 მმ ბეჭდურ მასალებში; არანაკლებ 80 პიქსელისა ციფრულ გარემოში.</w:t>
      </w:r>
    </w:p>
    <w:p>
      <w:r>
        <w:t>(c) თავისუფალი სივრცე — ნიშნის ყველა კიდის გარშემო უნდა შენარჩუნდეს თავისუფალი სივრცე, რომელიც უდრის ნიშნის სიტყვიერი ნაწილის ასო „A“-ს სიმაღლეს.</w:t>
      </w:r>
    </w:p>
    <w:p>
      <w:r>
        <w:t>(d) პროპორციები — ნიშანი არ უნდა იქნეს გაჭიმული, შეკუმშული ან დამახინჯებული. ის უნდა მასშტაბირდეს პროპორციულად.</w:t>
      </w:r>
    </w:p>
    <w:p>
      <w:r>
        <w:t>(e) მოდიფიკაცია — ნიშანი არანაირად არ უნდა შეიცვალოს: არცერთი ელემენტი არ უნდა დაემატოს, მოიხსნას ან გადანაწილდეს; ნიშნის საზღვრებში დამატებითი ტექსტი არ უნდა ჩაიდოს; არც ერთი ეფექტი (ჩრდილი, კონტური, გამჭვირვალობა, მობრუნება) არ უნდა იქნეს გამოყენებული.</w:t>
      </w:r>
    </w:p>
    <w:p>
      <w:r>
        <w:t>4.2 თუ აკრედიტებული ორგანიზაცია ნიშნის გამოყენებას აპირებს კონტექსტში, რომელიც ამ პოლიტიკით არ არის გათვალისწინებული — მაგალითად, არქიტექტურულ ინსტალაციაში, ერთობლივად გამოქვეყნებულ მასალაში, ან ვიდეო ან სამაუწყებლო მედიაში — მან ამ გამოყენებამდე ASF-ისგან წერილობითი თანხმობა უნდა მოითხოვოს.</w:t>
      </w:r>
    </w:p>
    <w:p>
      <w:r>
        <w:t>ASF ყველა აკრედიტებულ ორგანიზაციას ლიცენზიის გაცემისას აწვდის ვიზუალური იდენტობის სახელმძღვანელოსა და დამტკიცებული ნიშნის ფაილებს. სახელმძღვანელო მოიცავს შესაბამისი და არასათანადო გამოყენების სამუშაო მაგალითებს. მიმდინარე ვიზუალური იდენტობის სახელმძღვანელოს ასლი ხელმისაწვდომია ASF-ისგან მოთხოვნისთანავე.</w:t>
      </w:r>
    </w:p>
    <w:p>
      <w:pPr>
        <w:pStyle w:val="Heading2"/>
      </w:pPr>
      <w:r>
        <w:t>ნიშნის მოხსნა</w:t>
      </w:r>
    </w:p>
    <w:p>
      <w:r>
        <w:t>5.1 აკრედიტებული ორგანიზაცია პასუხისმგებელია ASF აკრედიტაციის ნიშნის მოხსნაზე ყველა კონტექსტიდან — ციფრული, ბეჭდური, ფიზიკური ნიშნები და სხვა მედია — როცა:</w:t>
      </w:r>
    </w:p>
    <w:p>
      <w:r>
        <w:t>(a) აკრედიტაციის პერიოდი ამოიწურება და განახლების სერტიფიკატი არ არის გაცემული — ნიშანი უნდა მოიხსნას ვადის გასვლის თარიღიდან 14 კალენდარული დღის განმავლობაში;</w:t>
      </w:r>
    </w:p>
    <w:p>
      <w:r>
        <w:t>(b) აკრედიტაცია შეჩერებულია — ნიშანი უნდა მოიხსნას შეჩერების შეტყობინებიდან 5 სამუშაო დღის განმავლობაში;</w:t>
      </w:r>
    </w:p>
    <w:p>
      <w:r>
        <w:t>(c) აკრედიტაცია გაუქმებულია — ნიშანი უნდა მოიხსნას გაუქმების შეტყობინებიდან 5 სამუშაო დღის განმავლობაში.</w:t>
      </w:r>
    </w:p>
    <w:p>
      <w:r>
        <w:t>5.2 თუ ფიზიკური ნიშანი (როგორიცაა დაფა ან შესასვლელის ეკრანი) მოთხოვნილ ვადაში ვერ მოიხსნება ორგანიზაციის კონტროლს მიღმა არსებული გარემოებების გამო — მაგალითად, შენობაში შესვლის შეზღუდვის გამო — ორგანიზაციამ ASF-ს წერილობით უნდა შეატყობინოს მოთხოვნილ ვადაში, მიზეზის ახსნით და კონკრეტული მოხსნის თარიღის დაფიქსირებით. ASF შეიძლება საკუთარი შეხედულებით მისცეს მოკლე გაგრძელება, იმ პირობით, რომ ნიშანი მოხსნამდე ფიზიკურად დაფარული იქნება.</w:t>
      </w:r>
    </w:p>
    <w:p>
      <w:r>
        <w:t>5.3 ნიშნის მოხსნისას ორგანიზაცია ASF-ს წერილობით (ელფოსტით ასეთ მისამართზე france-asf.fr-ზე) ატყობინებს, რომ ნიშანი მოხსნილია ყველა მატერიალური და ციფრული კონტექსტიდან. ეს დადასტურება ინახება როგორც კონტროლირებადი ჩანაწერი.</w:t>
      </w:r>
    </w:p>
    <w:p>
      <w:r>
        <w:t>5.4 ნიშნის დადგენილ ვადაში მოუხსნელობა წარმოადგენს ლიცენზიის დარღვევას და შეიძლება გამოიწვიოს 7-ე თავში მითითებული აღსრულების ზომები.</w:t>
      </w:r>
    </w:p>
    <w:p>
      <w:pPr>
        <w:pStyle w:val="Heading2"/>
      </w:pPr>
      <w:r>
        <w:t>ნიშნის გამოყენების მონიტორინგი</w:t>
      </w:r>
    </w:p>
    <w:p>
      <w:r>
        <w:t>6.1 ASF მუდმივად აკონტროლებს თავისი აკრედიტაციის ნიშნის გამოყენებას, მათ შორის:</w:t>
      </w:r>
    </w:p>
    <w:p>
      <w:r>
        <w:t>(a) აკრედიტებული ორგანიზაციების საჯარო მასალების (ვებსაიტი, ხელმისაწვდომი ნიშნები) ყოველწლიურ შემოწმებას, რათა დადასტურდეს, რომ ნიშანი გამოიყენება ამ პოლიტიკის შესაბამისად;</w:t>
      </w:r>
    </w:p>
    <w:p>
      <w:r>
        <w:t>(b) შემოწმებებს აკრედიტაციის ვადის გასვლის, შეჩერებისა თუ გაუქმების შემდეგ, რათა დადასტურდეს ნიშნის მოხსნა;</w:t>
      </w:r>
    </w:p>
    <w:p>
      <w:r>
        <w:t>(c) რეაგირებას საზოგადოების წევრების, პაციენტების ან სხვა მხარეების მიერ წარმოდგენილ შეტყობინებებზე, რომ ნიშანი გამოიყენება არასწორად ან უნებართვოდ.</w:t>
      </w:r>
    </w:p>
    <w:p>
      <w:r>
        <w:t>6.2 ASF ინარჩუნებს საჯარო რეესტრს france-asf.fr-ზე, რომელიც ნებისმიერ პირს საშუალებას აძლევს შეამოწმოს, აქვს თუ არა დასახელებულ დაწესებულებას ამჟამად მოქმედი ASF აკრედიტაცია და ამ აკრედიტაციის სტატუსი. რეესტრი განახლდება ნებისმიერი აკრედიტაციის გადაწყვეტილებიდან 5 სამუშაო დღეში (მინიჭება, განახლება, შეჩერება, გაუქმება ან ვადის გასვლა).</w:t>
      </w:r>
    </w:p>
    <w:p>
      <w:r>
        <w:t>6.3 თუ ASF ამოიცნობს ნიშნის შესაძლო არასწორ გამოყენებას — იქნება ეს აკრედიტებული ორგანიზაციის ან მესამე მხარის მხრიდან — ის იწყებს 7-ე თავში მითითებულ შესაბამისობის განხილვის პროცედურას.</w:t>
      </w:r>
    </w:p>
    <w:p>
      <w:pPr>
        <w:pStyle w:val="Heading2"/>
      </w:pPr>
      <w:r>
        <w:t>აღსრულება</w:t>
      </w:r>
    </w:p>
    <w:p>
      <w:r>
        <w:t>7.1 როცა ASF ამოიცნობს ან იღებს შეტყობინებას ASF აკრედიტაციის ნიშნის არასწორი გამოყენების შესახებ, შემდეგი პროცედურა მოქმედებს:</w:t>
      </w:r>
    </w:p>
    <w:p>
      <w:r>
        <w:t>(a) ეტაპი 1 — ფორმალური შეტყობინება: ASF წერილობით მიმართავს შესაბამის ორგანიზაციას, მიუთითებს კონკრეტულ არასწორ გამოყენებაზე, ასახელებს ამ პოლიტიკის შესაბამის პუნქტს და მოითხოვს არასწორი გამოყენების შეწყვეტას 10 კალენდარული დღის განმავლობაში;</w:t>
      </w:r>
    </w:p>
    <w:p>
      <w:r>
        <w:t>(b) ეტაპი 2 — შეუსაბამობა: თუ არასწორი გამოყენება არ შეწყდება ფორმალური შეტყობინებიდან 10 კალენდარული დღის განმავლობაში, ASF საკითხს ესკალაციას უკეთებს. აკრედიტებული ორგანიზაციის შემთხვევაში დარღვევა აღირიცხება აკრედიტაციის ჩანაწერში და შეიძლება განხილულ იქნას ADC-ის შემდეგ მიმოხილვაზე. ნებისმიერი ორგანიზაციის შემთხვევაში ASF შეიძლება მიმართოს სამართლებრივ ქმედებას თავისი ინტელექტუალური საკუთრების უფლებების აღსასრულებლად;</w:t>
      </w:r>
    </w:p>
    <w:p>
      <w:r>
        <w:t>(c) ეტაპი 3 — სამართლებრივი ქმედება: ASF იტოვებს უფლებას, მიმართოს სამართლებრივ ქმედებას — მათ შორის სასამართლო ბრძანების (injunction) და ზიანის ანაზღაურების მოთხოვნით — ნებისმიერი ორგანიზაციის წინააღმდეგ, რომელიც ასოებს ASF აკრედიტაციის ნიშანს უნებართვოდ ან მისი ლიცენზიის დარღვევით.</w:t>
      </w:r>
    </w:p>
    <w:p>
      <w:r>
        <w:t>7.2 როცა არასწორი გამოყენება ხორციელდება აკრედიტებული ორგანიზაციის მიერ, ASF ასევე განიხილავს, წარმოადგენს თუ არა ეს არასწორი გამოყენება აკრედიტაციის შემდგომი ვალდებულებების (ASF-OPS-005) დარღვევას და ამართლებს თუ არა შეჩერების ან გაუქმების გადაწყვეტილებას ASF-OPS-001-ის §4.7-ის შესაბამისად.</w:t>
      </w:r>
    </w:p>
    <w:p>
      <w:r>
        <w:t>7.3 ნიშნის ნებისმიერი მესამე მხარის მიერ არასწორი გამოყენების შესახებ პრეტენზია შეიძლება ASF-ს ეცნობოს france-asf.fr-ზე მითითებული საკონტაქტო მონაცემებით. ASF იძიებს ყველა შეტყობინებას და 20 კალენდარული დღის განმავლობაში პასუხობს შემტყობინებელს გატარებული ქმედებების შეჯამებით.</w:t>
      </w:r>
    </w:p>
    <w:p>
      <w:pPr>
        <w:pStyle w:val="Heading2"/>
      </w:pPr>
      <w:r>
        <w:t>ISQua EEA-სთან შესაბამისობა</w:t>
      </w:r>
    </w:p>
    <w:p>
      <w:r>
        <w:t>8.1 ეს პოლიტიკა მხარს უჭერს ISQua EEA Principle 10 (Accreditation Mark) მოთხოვნას, რომლის მიხედვითაც აკრედიტაციის პროგრამას უნდა ჰქონდეს დოკუმენტირებული მოთხოვნები აკრედიტაციის ნიშნის გამოყენებისა და დაცვისთვის, მათ შორის გამოყენების შეზღუდვები ვადის გასვლის, შეჩერებისა და გაუქმების შემდეგ.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International Accreditation Programme (IAP). Principles for Standards. 6th Edition. ISQua External Evaluation Association, Dublin, Ireland, 2023.</w:t>
      </w:r>
    </w:p>
    <w:p>
      <w:r>
        <w:t>[2] Joint Commission International. JCI Accreditation Standards for Hospitals. 7th Edition. JCI, Oak Brook, IL, 2020. (Chapter: Use of Accreditation Marks and Seals)</w:t>
      </w:r>
    </w:p>
    <w:p>
      <w:r>
        <w:t>[3] Accreditation Canada. Qmentum Accreditation Program: Accreditation Mark Usage Policy. Ottawa, 2022.</w:t>
      </w:r>
    </w:p>
    <w:p>
      <w:r>
        <w:t>[4] International Organization for Standardization. ISO/IEC 17021-1:2015 — Conformity Assessment: Requirements for Bodies Providing Audit and Certification of Management Systems. §8.4 Use of Certification Marks. ISO, Geneva, 2015.</w:t>
      </w:r>
    </w:p>
    <w:p>
      <w:r>
        <w:t>[5] International Organization for Standardization. ISO/IEC 17011:2017 — Conformity Assessment: Requirements for Accreditation Bodies. §7.6 Accreditation Symbols. ISO, Geneva, 2017.</w:t>
      </w:r>
    </w:p>
    <w:p>
      <w:r>
        <w:t>[6] World Intellectual Property Organization (WIPO). Collective and Certification Marks. WIPO Publication No. 894(E). Geneva, 2021.</w:t>
      </w:r>
    </w:p>
    <w:p>
      <w:r>
        <w:t>[7] Institut National de la Propriété Industrielle (INPI). Marques de certification — Guide pratique. INPI, Paris, 2022.</w:t>
      </w:r>
    </w:p>
    <w:p>
      <w:r>
        <w:t>[8] HQACI. Accreditation Mark Policy. ISQua EEA Accredited Document, 2026.</w:t>
      </w:r>
    </w:p>
    <w:p>
      <w:r>
        <w:t>[9] Greenfield D, Braithwaite J. Health sector accreditation research: a systematic review. Int J Qual Health Care. 2008;20(3):172–183.</w:t>
      </w:r>
    </w:p>
    <w:p>
      <w:r>
        <w:t>[10] Directive 2004/48/EC of the European Parliament and of the Council of 29 April 2004 on the Enforcement of Intellectual Property Rights. Official Journal of the European Union, L 157, 30 April 2004.</w:t>
      </w:r>
    </w:p>
    <w:p>
      <w:r>
        <w:t>[11] Australian Council on Healthcare Standards (ACHS). EQuIP National Accreditation Seal and Logo Policy. ACHS, Sydney, 2018.</w:t>
      </w:r>
    </w:p>
    <w:p>
      <w:r>
        <w:t>[12] Shaw CD, Braithwaite J, Moldovan M, et al. Profiling health-care accreditation organisations: an international survey. Int J Qual Health Care. 2013;25(3):222–231.</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ASF-OPS-004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