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ASF-OPS-006</w:t>
            </w:r>
          </w:p>
          <w:p>
            <w:r>
              <w:t>კვალიფიკაციისა და მოცულობის პოლიტიკა</w:t>
            </w:r>
          </w:p>
        </w:tc>
      </w:tr>
      <w:tr>
        <w:tc>
          <w:tcPr>
            <w:tcW w:type="dxa" w:w="2160"/>
          </w:tcPr>
          <w:p>
            <w:r>
              <w:t>დოკუმენტის კოდი</w:t>
            </w:r>
          </w:p>
        </w:tc>
        <w:tc>
          <w:tcPr>
            <w:tcW w:type="dxa" w:w="2160"/>
          </w:tcPr>
          <w:p>
            <w:r>
              <w:t>ASF-OPS-006</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ორგანიზაცია, რომელიც პირველად აცხადებს ASF აკრედიტაციას ან ითხოვს ხელახალ აკრედიტაციას</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ASF-OPS-001 აკრედიტაციის გადაწყვეტილების ჩარჩო · ASF-OPS-003 აკრედიტაციის ციკლის პოლიტიკა · ASF-OPS-005 აკრედიტაციის შემდგომი ვალდებულებები · ASF-GOV-001 სტანდარტების განვითარების მეთოდოლოგია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ASF-OPS-006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კვალიფიკაციისა და მოცულობის პოლიტიკა</w:t>
      </w:r>
    </w:p>
    <w:p>
      <w:r>
        <w:t>ASF · ოპერაციული დოკუმენტები · ASF-OPS-006</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2025-01-08</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2025-03-01</w:t>
            </w:r>
          </w:p>
        </w:tc>
        <w:tc>
          <w:tcPr>
            <w:tcW w:type="dxa" w:w="2160"/>
          </w:tcPr>
          <w:p>
            <w:r>
              <w:t>პირველი გამოქვეყნებული ვერსია</w:t>
            </w:r>
          </w:p>
        </w:tc>
        <w:tc>
          <w:tcPr>
            <w:tcW w:type="dxa" w:w="2160"/>
          </w:tcPr>
          <w:p>
            <w:r>
              <w:t>აკრედიტაციის გადაწყვეტილებათა კომიტეტი</w:t>
            </w:r>
          </w:p>
        </w:tc>
      </w:tr>
      <w:tr>
        <w:tc>
          <w:tcPr>
            <w:tcW w:type="dxa" w:w="2160"/>
          </w:tcPr>
          <w:p>
            <w:r>
              <w:t>V2.0</w:t>
            </w:r>
          </w:p>
        </w:tc>
        <w:tc>
          <w:tcPr>
            <w:tcW w:type="dxa" w:w="2160"/>
          </w:tcPr>
          <w:p>
            <w:r>
              <w:t>2026-01-15</w:t>
            </w:r>
          </w:p>
        </w:tc>
        <w:tc>
          <w:tcPr>
            <w:tcW w:type="dxa" w:w="2160"/>
          </w:tcPr>
          <w:p>
            <w:r>
              <w:t>დაემატა კვალიფიკაციის კრიტერიუმები დაწესებულების ტიპის მიხედვით; ფორმალიზდა 5 შეუსაბამობის პირობა</w:t>
            </w:r>
          </w:p>
        </w:tc>
        <w:tc>
          <w:tcPr>
            <w:tcW w:type="dxa" w:w="2160"/>
          </w:tcPr>
          <w:p>
            <w:r>
              <w:t>აკრედიტაციის გადაწყვეტილებათა კომიტეტი</w:t>
            </w:r>
          </w:p>
        </w:tc>
      </w:tr>
      <w:tr>
        <w:tc>
          <w:tcPr>
            <w:tcW w:type="dxa" w:w="2160"/>
          </w:tcPr>
          <w:p>
            <w:r>
              <w:t>V3.0</w:t>
            </w:r>
          </w:p>
        </w:tc>
        <w:tc>
          <w:tcPr>
            <w:tcW w:type="dxa" w:w="2160"/>
          </w:tcPr>
          <w:p>
            <w:r>
              <w:t>2026-09-30</w:t>
            </w:r>
          </w:p>
        </w:tc>
        <w:tc>
          <w:tcPr>
            <w:tcW w:type="dxa" w:w="2160"/>
          </w:tcPr>
          <w:p>
            <w:r>
              <w:t>7-მწკრივიანი დოკუმენტაციის ცხრილი; 90-დღიანი დამუშავების სამიზნე ვადა;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პოლიტიკა ადგენს კვალიფიკაციის კრიტერიუმებს, რომლებიც ჯანდაცვის დაწესებულებამ უნდა დააკმაყოფილოს ASF აკრედიტაციისთვის განაცხადის შეტანამდე, და ასევე ადგენს მოცულობის (scope) განსაზღვრის ჩარჩოს. მკაფიო კვალიფიკაციისა და მოცულობის მოთხოვნები იცავს ASF აკრედიტაციის პროგრამის მთლიანობას, რადგან უზრუნველყოფს, რომ აკრედიტაცია ითხოვება და გაიცემა მხოლოდ იმ დაწესებულებებისთვის, რომლებიც ოპერაციულად დამკვიდრებულები, კანონმდებლობის შესაბამისები და აკრედიტაციის პროცესში არსებითად მონაწილეობის უნარის მქონეები არიან.</w:t>
      </w:r>
    </w:p>
    <w:p>
      <w:r>
        <w:t>1.2 ASF აკრედიტაცია ღიაა მსოფლიოს ჯანდაცვის დაწესებულებებისთვის, მე-2 თავში მოცემული კვალიფიკაციის კრიტერიუმების და დაწესებულების ტიპისთვის შესაბამისი ASF აკრედიტაციის სტანდარტის ხელმისაწვდომობის პირობით.</w:t>
      </w:r>
    </w:p>
    <w:p>
      <w:pPr>
        <w:pStyle w:val="Heading2"/>
      </w:pPr>
      <w:r>
        <w:t>კვალიფიკაციის კრიტერიუმები</w:t>
      </w:r>
    </w:p>
    <w:p>
      <w:r>
        <w:t>2.1 ზოგადი კვალიფიკაცია — ყველა ტიპის დაწესებულება</w:t>
      </w:r>
    </w:p>
    <w:p>
      <w:r>
        <w:t>2.1.1 ASF აკრედიტაციისთვის კვალიფიცირებულია დაწესებულება, რომელიც განაცხადის შეტანის მომენტში:</w:t>
      </w:r>
    </w:p>
    <w:p>
      <w:r>
        <w:t>(a) არის კანონიერად დაფუძნებული თავის მოქმედების ქვეყანაში და ფლობს ყველა საჭირო ლიცენზიას, რეგისტრაციასა და სამარეგულირებელ უფლებამოსილებას მის მიერ მიწოდებული მომსახურებისთვის;</w:t>
      </w:r>
    </w:p>
    <w:p>
      <w:r>
        <w:t>(b) ფუნქციონირებს მინიმუმ ექვსი თვის განმავლობაში თავის მიმდინარე კონფიგურაციაში — ანუ უწევს კლინიკურ ან ჯანმრთელობასთან დაკავშირებულ მომსახურებას პაციენტებს ან კლიენტებს მიმდინარე ფართობიდან, მიმდინარე მენეჯმენტის ქვეშ;</w:t>
      </w:r>
    </w:p>
    <w:p>
      <w:r>
        <w:t>(c) აქვს ფიზიკური ფართობი, სადაც ხორციელდება კლინიკური ან ჯანმრთელობასთან დაკავშირებული მომსახურება — ASF ამჟამად არ აკრედიტებს მხოლოდ ვირტუალურ, მხოლოდ ტელემედიცინურ ან ფიქსირებული ბაზის გარეშე მუშაობად მომსახურებას;</w:t>
      </w:r>
    </w:p>
    <w:p>
      <w:r>
        <w:t>(d) აქვს იდენტიფიცირებადი ორგანიზაციული ხელმძღვანელობის სტრუქტურა — დასახელებული აღმასრულებელი დირექტორი (CEO) ან ეკვივალენტი და დასახელებული ხარისხის საკონტაქტო პირი, რომელიც პასუხისმგებელია ASF-თან აკრედიტაციის ურთიერთობაზე;</w:t>
      </w:r>
    </w:p>
    <w:p>
      <w:r>
        <w:t>(e) არ ექვემდებარება მიმდინარე მარეგულირებელ შეჩერებას, დახურვის შეტყობინებას ან ეკვივალენტურ აღსრულების ქმედებას, რომელიც არსებითად გავლენას მოახდენდა მომსახურების გაგრძელების უნარზე;</w:t>
      </w:r>
    </w:p>
    <w:p>
      <w:r>
        <w:t>(f) აქვს გამოსაყენებელი ASF აკრედიტაციის სტანდარტი — დაწესებულების ტიპი უნდა შეესაბამებოდეს ერთ-ერთ ASF სტანდარტს, რომელიც ამჟამად ხელმისაწვდომია შეფასებისთვის.</w:t>
      </w:r>
    </w:p>
    <w:p>
      <w:r>
        <w:t>2.2 დამატებითი კრიტერიუმები კონკრეტული დაწესებულების ტიპებისთვის</w:t>
      </w:r>
    </w:p>
    <w:p>
      <w:r>
        <w:t>2.2.1 საავადმყოფოს სტანდარტი: ზოგადი კრიტერიუმების გარდა, ASF საავადმყოფოს სტანდარტით შეფასებისთვის მიმართულმა დაწესებულებებმა უნდა: ფუნქციონირებდნენ მინიმუმ 20 სტაციონარული საწოლით უწყვეტ გამოყენებაში; უზრუნველყოფდნენ 24-საათიან გადაუდებელ ან მწვავე მოვლას; და ჰყავდეთ დასახელებული სამედიცინო დირექტორი.</w:t>
      </w:r>
    </w:p>
    <w:p>
      <w:r>
        <w:t>2.2.2 ამბულატორიული კლინიკის სტანდარტი: დაწესებულებებმა უნდა მიაწოდონ დაგეგმილი ამბულატორიული კლინიკური მომსახურება ფიქსირებული ფართობიდან. დღის ქირურგიის დაწესებულებები, რომლებიც არ გვთავაზობენ სტაციონარულ მოვლას ღამით, ფასდება ამბულატორიული სტანდარტით და არა საავადმყოფოს სტანდარტით.</w:t>
      </w:r>
    </w:p>
    <w:p>
      <w:r>
        <w:t>2.2.3 გრძელვადიანი მოვლის სტანდარტი: დაწესებულებებმა უნდა მიაწოდონ საცხოვრებელი ან ნახევრად საცხოვრებელი მოვლა ქრონიკული დაავადების, შეზღუდული შესაძლებლობის ან ასაკთან დაკავშირებული საჭიროებების მქონე პირებს, უწყვეტ ოპერაციაში მინიმუმ 10 მაცხოვრებლის ადგილით.</w:t>
      </w:r>
    </w:p>
    <w:p>
      <w:r>
        <w:t>2.2.4 Fitness and Wellness სტანდარტი: დაწესებულებები უნდა წარმოადგენდნენ კომერციულად მოქმედ ჯანმრთელობისა და კეთილდღეობის დაწესებულებებს, რომლებიც ფიქსირებული ფართობიდან უზრუნველყოფენ ზედამხედველობით ვარჯიშს, რეაბილიტაციას ან კეთილდღეობის მომსახურებას კვალიფიციური პროფესიული პერსონალით.</w:t>
      </w:r>
    </w:p>
    <w:p>
      <w:r>
        <w:t>2.3 შეუსაბამობის პირობები</w:t>
      </w:r>
    </w:p>
    <w:p>
      <w:r>
        <w:t>2.3.1 დაწესებულება არ არის კვალიფიცირებული ASF აკრედიტაციისთვის, თუ:</w:t>
      </w:r>
    </w:p>
    <w:p>
      <w:r>
        <w:t>(a) მას არ აქვს მოქმედი სამოქმედო ლიცენზია ან ეკვივალენტური უფლებამოსილება შესაბამისი ეროვნული ან ადგილობრივი მარეგულირებელი ორგანოსგან;</w:t>
      </w:r>
    </w:p>
    <w:p>
      <w:r>
        <w:t>(b) წინა 24 თვის განმავლობაში იგი ყოფილა ფორმალური მარეგულირებელი დახურვის, შეჩერების ან აღსრულების ქმედების საგანი, რომელიც პირდაპირ კავშირშია პაციენტის ან კლიენტის უსაფრთხოებასთან;</w:t>
      </w:r>
    </w:p>
    <w:p>
      <w:r>
        <w:t>(c) წინა 24 თვის განმავლობაში მას ჩამოერთვა ASF აკრედიტაცია (იხ. ASF-OPS-001, §4.7.4);</w:t>
      </w:r>
    </w:p>
    <w:p>
      <w:r>
        <w:t>(d) მისი მესაკუთრე ან მაკონტროლებელი ერთეული არის ASF კომიტეტის წევრი, შემფასებელი ან თანამშრომელი ASF-ის წინასწარი წერილობითი თანხმობისა და დოკუმენტირებული ინტერესთა კონფლიქტის მართვის გარეშე;</w:t>
      </w:r>
    </w:p>
    <w:p>
      <w:r>
        <w:t>(e) არ არსებობს მისი დაწესებულების ტიპისთვის გამოსაყენებელი ASF აკრედიტაციის სტანდარტი.</w:t>
      </w:r>
    </w:p>
    <w:p>
      <w:pPr>
        <w:pStyle w:val="Heading2"/>
      </w:pPr>
      <w:r>
        <w:t>აკრედიტაციის მოცულობა (scope)</w:t>
      </w:r>
    </w:p>
    <w:p>
      <w:r>
        <w:t>3.1 აკრედიტაციის მოცულობა (scope) ზუსტად განსაზღვრავს, რომელი საქმიანობა, მომსახურება, ფართობი და პოპულაცია ექცევა აკრედიტაციის შეფასების ფარგლებში. მოცულობა შეთანხმდება ASF-სა და განმცხადებელს შორის წინააპლიკაციურ ეტაპზე და მითითებულია აკრედიტაციის სერტიფიკატზე.</w:t>
      </w:r>
    </w:p>
    <w:p>
      <w:r>
        <w:t>3.2 მოცულობა ეხება ერთ ფიზიკურ დაწესებულებას ერთ მისამართზე. მრავალსაიტიანი აკრედიტაცია — რამდენიმე ადგილმდებარეობის დაფარვა ერთი სერტიფიკატით — არ არის ხელმისაწვდომი. თითოეულმა საიტმა თავისთავად უნდა მოითხოვოს და ცალკე შეფასდეს.</w:t>
      </w:r>
    </w:p>
    <w:p>
      <w:r>
        <w:t>3.3 მოცულობა უნდა შეესაბამებოდეს გამოსაყენებელ ASF აკრედიტაციის სტანდარტს. თუ დაწესებულება გვთავაზობს მომსახურებას, რომელიც ერთი ASF სტანდარტის მოცულობაში შედის და მომსახურებას, რომელიც მის გარეთაა, შეფასდება მხოლოდ მოცულობაში შემავალი მომსახურება. სერტიფიკატში მითითებულია კონკრეტული დაფარული მოცულობა.</w:t>
      </w:r>
    </w:p>
    <w:p>
      <w:r>
        <w:t>3.4 თუ დაწესებულება ერთ შენობაში ფლობს ქვეგანყოფილებებს ან დეპარტამენტებს, რომელთაც განსხვავებული მარეგულირებელი სტატუსი ან განსხვავებული ფიზიკური გარემო აქვთ, ASF და განმცხადებელი თანხმდებიან იმაზე, თუ როგორ მუშავდება ისინი მოცულობაში — ან შედიან ერთი შეფასების ფარგლებში, ან მკაფიოდ გამოირიცხებიან დოკუმენტირებული დასაბუთებით.</w:t>
      </w:r>
    </w:p>
    <w:p>
      <w:r>
        <w:t>3.5 მოცულობაში ნებისმიერი არსებითი ცვლილება აკრედიტაციის პერიოდში (მაგალითად, მომსახურების ახალი ხაზის დამატება) უნდა ეცნობოს ASF-ს ASF-OPS-005-ის §5-ის შესაბამისად და შესაძლოა მოითხოვოს დამატებითი შეფასება.</w:t>
      </w:r>
    </w:p>
    <w:p>
      <w:pPr>
        <w:pStyle w:val="Heading2"/>
      </w:pPr>
      <w:r>
        <w:t>განაცხადის პროცესი და საჭირო დოკუმენტაცია</w:t>
      </w:r>
    </w:p>
    <w:p>
      <w:r>
        <w:t>4.1 ორგანიზაციები, რომლებიც სურთ ASF აკრედიტაციისთვის განაცხადის შეტანას, ASF-ს წარუდგენენ ფორმალურ განაცხადს france-asf.fr-ზე ხელმისაწვდომი სტანდარტული განაცხადის ფორმით. განაცხადს თან უნდა ერთვოდეს შემდეგი დოკუმენტაცია:</w:t>
      </w:r>
    </w:p>
    <w:tbl>
      <w:tblPr>
        <w:tblW w:type="auto" w:w="0"/>
        <w:tblLook w:firstColumn="1" w:firstRow="1" w:lastColumn="0" w:lastRow="0" w:noHBand="0" w:noVBand="1" w:val="04A0"/>
      </w:tblPr>
      <w:tblGrid>
        <w:gridCol w:w="4320"/>
        <w:gridCol w:w="4320"/>
      </w:tblGrid>
      <w:tr>
        <w:tc>
          <w:tcPr>
            <w:tcW w:type="dxa" w:w="4320"/>
          </w:tcPr>
          <w:p>
            <w:r>
              <w:t>საჭირო დოკუმენტი / ინფორმაცია</w:t>
            </w:r>
          </w:p>
        </w:tc>
        <w:tc>
          <w:tcPr>
            <w:tcW w:type="dxa" w:w="4320"/>
          </w:tcPr>
          <w:p>
            <w:r>
              <w:t>დანიშნულება და შენიშვნები</w:t>
            </w:r>
          </w:p>
        </w:tc>
      </w:tr>
      <w:tr>
        <w:tc>
          <w:tcPr>
            <w:tcW w:type="dxa" w:w="4320"/>
          </w:tcPr>
          <w:p>
            <w:r>
              <w:t>შევსებული განაცხადის ფორმა</w:t>
            </w:r>
          </w:p>
        </w:tc>
        <w:tc>
          <w:tcPr>
            <w:tcW w:type="dxa" w:w="4320"/>
          </w:tcPr>
          <w:p>
            <w:r>
              <w:t>დაწესებულების სახელი, მისამართი, ტიპი, საკუთრება, შემოთავაზებული მომსახურება და დასახელებული საკონტაქტო პირები</w:t>
            </w:r>
          </w:p>
        </w:tc>
      </w:tr>
      <w:tr>
        <w:tc>
          <w:tcPr>
            <w:tcW w:type="dxa" w:w="4320"/>
          </w:tcPr>
          <w:p>
            <w:r>
              <w:t>მოქმედი სამოქმედო ლიცენზია ან რეგისტრაციის მოწმობა</w:t>
            </w:r>
          </w:p>
        </w:tc>
        <w:tc>
          <w:tcPr>
            <w:tcW w:type="dxa" w:w="4320"/>
          </w:tcPr>
          <w:p>
            <w:r>
              <w:t>მტკიცებულება, რომ დაწესებულება იურისდიქციაში კანონიერად ფუნქციონირებს</w:t>
            </w:r>
          </w:p>
        </w:tc>
      </w:tr>
      <w:tr>
        <w:tc>
          <w:tcPr>
            <w:tcW w:type="dxa" w:w="4320"/>
          </w:tcPr>
          <w:p>
            <w:r>
              <w:t>ორგანიზაციული სქემა</w:t>
            </w:r>
          </w:p>
        </w:tc>
        <w:tc>
          <w:tcPr>
            <w:tcW w:type="dxa" w:w="4320"/>
          </w:tcPr>
          <w:p>
            <w:r>
              <w:t>მიმდინარე მმართველობითი სტრუქტურა, რომელიც აჩვენებს CEO-ს, სამედიცინო დირექტორს (სადაც გამოსაყენებელია) და ხარისხის საკონტაქტო პირს</w:t>
            </w:r>
          </w:p>
        </w:tc>
      </w:tr>
      <w:tr>
        <w:tc>
          <w:tcPr>
            <w:tcW w:type="dxa" w:w="4320"/>
          </w:tcPr>
          <w:p>
            <w:r>
              <w:t>მომსახურების მოკლე აღწერა</w:t>
            </w:r>
          </w:p>
        </w:tc>
        <w:tc>
          <w:tcPr>
            <w:tcW w:type="dxa" w:w="4320"/>
          </w:tcPr>
          <w:p>
            <w:r>
              <w:t>კლინიკური მომსახურების შეჯამება, პაციენტთა მოცულობა (სავარაუდო) და პერსონალის დონე</w:t>
            </w:r>
          </w:p>
        </w:tc>
      </w:tr>
      <w:tr>
        <w:tc>
          <w:tcPr>
            <w:tcW w:type="dxa" w:w="4320"/>
          </w:tcPr>
          <w:p>
            <w:r>
              <w:t>თვითშეფასება (ან მზადყოფნის შეფასება)</w:t>
            </w:r>
          </w:p>
        </w:tc>
        <w:tc>
          <w:tcPr>
            <w:tcW w:type="dxa" w:w="4320"/>
          </w:tcPr>
          <w:p>
            <w:r>
              <w:t>განაცხადის ეტაპზე არასავალდებულო, თუმცა მკაცრად რეკომენდებული; ASF france-asf.fr-ზე გვთავაზობს თვითშეფასების ინსტრუმენტს</w:t>
            </w:r>
          </w:p>
        </w:tc>
      </w:tr>
      <w:tr>
        <w:tc>
          <w:tcPr>
            <w:tcW w:type="dxa" w:w="4320"/>
          </w:tcPr>
          <w:p>
            <w:r>
              <w:t>კვალიფიკაციის დეკლარაცია</w:t>
            </w:r>
          </w:p>
        </w:tc>
        <w:tc>
          <w:tcPr>
            <w:tcW w:type="dxa" w:w="4320"/>
          </w:tcPr>
          <w:p>
            <w:r>
              <w:t>CEO-ს მიერ ხელმოწერილი დეკლარაცია იმის შესახებ, რომ დაწესებულება აკმაყოფილებს მე-2 თავის ყველა კვალიფიკაციის კრიტერიუმს და არ აქვს გამოუცხადებელი შეუსაბამობის პირობები</w:t>
            </w:r>
          </w:p>
        </w:tc>
      </w:tr>
      <w:tr>
        <w:tc>
          <w:tcPr>
            <w:tcW w:type="dxa" w:w="4320"/>
          </w:tcPr>
          <w:p>
            <w:r>
              <w:t>განაცხადის მოსაკრებლის გადახდა</w:t>
            </w:r>
          </w:p>
        </w:tc>
        <w:tc>
          <w:tcPr>
            <w:tcW w:type="dxa" w:w="4320"/>
          </w:tcPr>
          <w:p>
            <w:r>
              <w:t>მოსაკრებლის ტარიფები გამოქვეყნებულია france-asf.fr-ზე; განაცხადი არ მუშავდება მოსაკრებლის მიღებამდე</w:t>
            </w:r>
          </w:p>
        </w:tc>
      </w:tr>
    </w:tbl>
    <w:p>
      <w:r>
        <w:t>4.2 ASF განაცხადს ამოწმებს სისრულისა და კვალიფიკაციის თვალსაზრისით სრული განაცხადისა და მოსაკრებლის მიღებიდან 15 სამუშაო დღის განმავლობაში. თუ საჭიროა დამატებითი ინფორმაცია, ASF მას წერილობით ითხოვს და 15-დღიანი ვადა თავიდან იწყება სრული ინფორმაციის მიღებიდან.</w:t>
      </w:r>
    </w:p>
    <w:p>
      <w:r>
        <w:t>4.3 განაცხადის მიღებისას ASF წერილობით ადასტურებს და გადადის შეფასების დაგეგმვაზე ASF-OPS-003-ის შესაბამისად. სრული განაცხადის მიღებიდან შეფასების თარიღამდე სამიზნე ვადაა 90 კალენდარული დღე, შემფასებლის ხელმისაწვდომობისა და დაწესებულების საოპერაციო კალენდრის გათვალისწინებით.</w:t>
      </w:r>
    </w:p>
    <w:p>
      <w:r>
        <w:t>4.4 თუ განაცხადი უარყოფილია — იმიტომ, რომ დაწესებულება არ აკმაყოფილებს კვალიფიკაციის კრიტერიუმებს, ან იმიტომ, რომ არ არსებობს გამოსაყენებელი სტანდარტი — ASF განმცხადებელს წერილობით ატყობინებს 15 სამუშაო დღეში, უარყოფის კონკრეტული მიზეზის(ების) მითითებით. განმცხადებელს შეუძლია უარყოფის გადაწყვეტილება გაასაჩივროს ASF-GOV-005-ის შესაბამისად.</w:t>
      </w:r>
    </w:p>
    <w:p>
      <w:pPr>
        <w:pStyle w:val="Heading2"/>
      </w:pPr>
      <w:r>
        <w:t>ISQua EEA-სთან შესაბამისობა</w:t>
      </w:r>
    </w:p>
    <w:p>
      <w:r>
        <w:t>5.1 ეს პოლიტიკა მხარს უჭერს ISQua EEA Principle 11 (Eligibility) მოთხოვნას, რომლის მიხედვითაც აკრედიტაციის პროგრამას უნდა ჰქონდეს დოკუმენტირებული, საჯაროდ ხელმისაწვდომი და თანმიმდევრულად გამოყენებადი კვალიფიკაციის კრიტერიუმები.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JCI Accreditation Standards for Hospitals. 7th Ed. JCI, Oak Brook, 2020.</w:t>
      </w:r>
    </w:p>
    <w:p>
      <w:r>
        <w:t>[3] Accreditation Canada. Qmentum Accreditation Program: Eligibility Policy. Ottawa, 2022.</w:t>
      </w:r>
    </w:p>
    <w:p>
      <w:r>
        <w:t>[4] ISO/IEC 17021-1:2015 — Conformity Assessment. §8.1 Application. ISO, Geneva, 2015.</w:t>
      </w:r>
    </w:p>
    <w:p>
      <w:r>
        <w:t>[5] HQACI. Eligibility and Scope Policy. ISQua EEA Accredited Document, 2026.</w:t>
      </w:r>
    </w:p>
    <w:p>
      <w:r>
        <w:t>[6] Shaw CD et al. Profiling health-care accreditation organisations. Int J Qual Health Care. 2013;25(3):222–231.</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ASF-OPS-006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