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tblPr>
      <w:tblGrid>
        <w:gridCol w:w="2160"/>
        <w:gridCol w:w="2160"/>
        <w:gridCol w:w="2160"/>
        <w:gridCol w:w="2160"/>
      </w:tblGrid>
      <w:tr>
        <w:tc>
          <w:tcPr>
            <w:tcW w:type="dxa" w:w="4320"/>
            <w:gridSpan w:val="2"/>
          </w:tcPr>
          <w:p>
            <w:r>
              <w:t>Accréditation Sans Frontières (ASF)</w:t>
            </w:r>
          </w:p>
          <w:p>
            <w:r>
              <w:t>ოპერაციული პოლიტიკა</w:t>
            </w:r>
          </w:p>
        </w:tc>
        <w:tc>
          <w:tcPr>
            <w:tcW w:type="dxa" w:w="4320"/>
            <w:gridSpan w:val="2"/>
          </w:tcPr>
          <w:p>
            <w:r>
              <w:t>ASF-OPS-008</w:t>
            </w:r>
          </w:p>
          <w:p>
            <w:r>
              <w:t>შემფასებლის ხარჯებისა და ანაზღაურების პოლიტიკა</w:t>
            </w:r>
          </w:p>
        </w:tc>
      </w:tr>
      <w:tr>
        <w:tc>
          <w:tcPr>
            <w:tcW w:type="dxa" w:w="2160"/>
          </w:tcPr>
          <w:p>
            <w:r>
              <w:t>დოკუმენტის კოდი</w:t>
            </w:r>
          </w:p>
        </w:tc>
        <w:tc>
          <w:tcPr>
            <w:tcW w:type="dxa" w:w="2160"/>
          </w:tcPr>
          <w:p>
            <w:r>
              <w:t>ASF-OPS-008</w:t>
            </w:r>
          </w:p>
        </w:tc>
        <w:tc>
          <w:tcPr>
            <w:tcW w:type="dxa" w:w="2160"/>
          </w:tcPr>
          <w:p>
            <w:r>
              <w:t>ვერსია</w:t>
            </w:r>
          </w:p>
        </w:tc>
        <w:tc>
          <w:tcPr>
            <w:tcW w:type="dxa" w:w="2160"/>
          </w:tcPr>
          <w:p>
            <w:r>
              <w:t>V3.0</w:t>
            </w:r>
          </w:p>
        </w:tc>
      </w:tr>
      <w:tr>
        <w:tc>
          <w:tcPr>
            <w:tcW w:type="dxa" w:w="2160"/>
          </w:tcPr>
          <w:p>
            <w:r>
              <w:t>სტატუსი</w:t>
            </w:r>
          </w:p>
        </w:tc>
        <w:tc>
          <w:tcPr>
            <w:tcW w:type="dxa" w:w="2160"/>
          </w:tcPr>
          <w:p>
            <w:r>
              <w:t>გამოქვეყნებული — ძალაშია 2026-09-30-დან</w:t>
            </w:r>
          </w:p>
        </w:tc>
        <w:tc>
          <w:tcPr>
            <w:tcW w:type="dxa" w:w="2160"/>
          </w:tcPr>
          <w:p>
            <w:r>
              <w:t>დაამტკიცა</w:t>
            </w:r>
          </w:p>
        </w:tc>
        <w:tc>
          <w:tcPr>
            <w:tcW w:type="dxa" w:w="2160"/>
          </w:tcPr>
          <w:p>
            <w:r>
              <w:t>Prof. Giorgi Pkhakadze, MD, MPH, PhD — პრეზიდენტი, Accréditation Sans Frontières</w:t>
            </w:r>
          </w:p>
        </w:tc>
      </w:tr>
      <w:tr>
        <w:tc>
          <w:tcPr>
            <w:tcW w:type="dxa" w:w="2160"/>
          </w:tcPr>
          <w:p>
            <w:r>
              <w:t>გამოიყენება</w:t>
            </w:r>
          </w:p>
        </w:tc>
        <w:tc>
          <w:tcPr>
            <w:tcW w:type="dxa" w:w="2160"/>
          </w:tcPr>
          <w:p>
            <w:r>
              <w:t>ASF-ის ყველა აკრედიტაციის შეფასება და ყველა აკრედიტაციის საფასურის მოწყობა</w:t>
            </w:r>
          </w:p>
        </w:tc>
        <w:tc>
          <w:tcPr>
            <w:tcW w:type="dxa" w:w="2160"/>
          </w:tcPr>
          <w:p>
            <w:r>
              <w:t xml:space="preserve"> </w:t>
            </w:r>
          </w:p>
        </w:tc>
        <w:tc>
          <w:tcPr>
            <w:tcW w:type="dxa" w:w="2160"/>
          </w:tcPr>
          <w:p>
            <w:r>
              <w:t xml:space="preserve"> </w:t>
            </w:r>
          </w:p>
        </w:tc>
      </w:tr>
      <w:tr>
        <w:tc>
          <w:tcPr>
            <w:tcW w:type="dxa" w:w="2160"/>
          </w:tcPr>
          <w:p>
            <w:r>
              <w:t>დაკავშირებული დოკუმენტები</w:t>
            </w:r>
          </w:p>
        </w:tc>
        <w:tc>
          <w:tcPr>
            <w:tcW w:type="dxa" w:w="2160"/>
          </w:tcPr>
          <w:p>
            <w:r>
              <w:t>ASF-OPS-002 შემფასებელთა კომპეტენციის პოლიტიკა · ASF-OPS-003 აკრედიტაციის ციკლის პოლიტიკა · ASF-OPS-006 კვალიფიკაციისა და მოცულობის პოლიტიკა · ASF-GOV-003 მიუკერძოებლობის პოლიტიკა</w:t>
            </w:r>
          </w:p>
        </w:tc>
        <w:tc>
          <w:tcPr>
            <w:tcW w:type="dxa" w:w="2160"/>
          </w:tcPr>
          <w:p>
            <w:r>
              <w:t xml:space="preserve"> </w:t>
            </w:r>
          </w:p>
        </w:tc>
        <w:tc>
          <w:tcPr>
            <w:tcW w:type="dxa" w:w="2160"/>
          </w:tcPr>
          <w:p>
            <w:r>
              <w:t xml:space="preserve"> </w:t>
            </w:r>
          </w:p>
        </w:tc>
      </w:tr>
      <w:tr>
        <w:tc>
          <w:tcPr>
            <w:tcW w:type="dxa" w:w="2160"/>
          </w:tcPr>
          <w:p>
            <w:r>
              <w:t>ცვლის</w:t>
            </w:r>
          </w:p>
        </w:tc>
        <w:tc>
          <w:tcPr>
            <w:tcW w:type="dxa" w:w="2160"/>
          </w:tcPr>
          <w:p>
            <w:r>
              <w:t>ASF-OPS-008 V2.0 (2026-09-30)</w:t>
            </w:r>
          </w:p>
        </w:tc>
        <w:tc>
          <w:tcPr>
            <w:tcW w:type="dxa" w:w="2160"/>
          </w:tcPr>
          <w:p>
            <w:r>
              <w:t xml:space="preserve"> </w:t>
            </w:r>
          </w:p>
        </w:tc>
        <w:tc>
          <w:tcPr>
            <w:tcW w:type="dxa" w:w="2160"/>
          </w:tcPr>
          <w:p>
            <w:r>
              <w:t xml:space="preserve"> </w:t>
            </w:r>
          </w:p>
        </w:tc>
      </w:tr>
      <w:tr>
        <w:tc>
          <w:tcPr>
            <w:tcW w:type="dxa" w:w="2160"/>
          </w:tcPr>
          <w:p>
            <w:r>
              <w:t>შემდეგი გადახედვა</w:t>
            </w:r>
          </w:p>
        </w:tc>
        <w:tc>
          <w:tcPr>
            <w:tcW w:type="dxa" w:w="2160"/>
          </w:tcPr>
          <w:p>
            <w:r>
              <w:t>2031 წლის სექტემბერი, ან ადრე — ტრიგერის შემთხვევაში</w:t>
            </w:r>
          </w:p>
        </w:tc>
        <w:tc>
          <w:tcPr>
            <w:tcW w:type="dxa" w:w="2160"/>
          </w:tcPr>
          <w:p>
            <w:r>
              <w:t xml:space="preserve"> </w:t>
            </w:r>
          </w:p>
        </w:tc>
        <w:tc>
          <w:tcPr>
            <w:tcW w:type="dxa" w:w="2160"/>
          </w:tcPr>
          <w:p>
            <w:r>
              <w:t xml:space="preserve"> </w:t>
            </w:r>
          </w:p>
        </w:tc>
      </w:tr>
    </w:tbl>
    <w:p>
      <w:pPr>
        <w:pStyle w:val="Title"/>
      </w:pPr>
      <w:r>
        <w:t>შემფასებლის ხარჯებისა და ანაზღაურების პოლიტიკა</w:t>
      </w:r>
    </w:p>
    <w:p>
      <w:r>
        <w:t>ASF · ოპერაციული დოკუმენტები · ASF-OPS-008</w:t>
      </w:r>
    </w:p>
    <w:p>
      <w:r>
        <w:t>ვერსია V3.0 · გამოქვეყნებულია 2026-09-30</w:t>
      </w:r>
    </w:p>
    <w:p>
      <w:r>
        <w:t>ძალაშია 2026-09-30-დან</w:t>
      </w:r>
    </w:p>
    <w:tbl>
      <w:tblPr>
        <w:tblW w:type="auto" w:w="0"/>
        <w:tblLook w:firstColumn="1" w:firstRow="1" w:lastColumn="0" w:lastRow="0" w:noHBand="0" w:noVBand="1" w:val="04A0"/>
      </w:tblPr>
      <w:tblGrid>
        <w:gridCol w:w="2160"/>
        <w:gridCol w:w="2160"/>
        <w:gridCol w:w="2160"/>
        <w:gridCol w:w="2160"/>
      </w:tblGrid>
      <w:tr>
        <w:tc>
          <w:tcPr>
            <w:tcW w:type="dxa" w:w="2160"/>
          </w:tcPr>
          <w:p>
            <w:r>
              <w:t>ვერსია</w:t>
            </w:r>
          </w:p>
        </w:tc>
        <w:tc>
          <w:tcPr>
            <w:tcW w:type="dxa" w:w="2160"/>
          </w:tcPr>
          <w:p>
            <w:r>
              <w:t>თარიღი</w:t>
            </w:r>
          </w:p>
        </w:tc>
        <w:tc>
          <w:tcPr>
            <w:tcW w:type="dxa" w:w="2160"/>
          </w:tcPr>
          <w:p>
            <w:r>
              <w:t>ცვლილების ხასიათი</w:t>
            </w:r>
          </w:p>
        </w:tc>
        <w:tc>
          <w:tcPr>
            <w:tcW w:type="dxa" w:w="2160"/>
          </w:tcPr>
          <w:p>
            <w:r>
              <w:t>დაამტკიცა</w:t>
            </w:r>
          </w:p>
        </w:tc>
      </w:tr>
      <w:tr>
        <w:tc>
          <w:tcPr>
            <w:tcW w:type="dxa" w:w="2160"/>
          </w:tcPr>
          <w:p>
            <w:r>
              <w:t>V0.1</w:t>
            </w:r>
          </w:p>
        </w:tc>
        <w:tc>
          <w:tcPr>
            <w:tcW w:type="dxa" w:w="2160"/>
          </w:tcPr>
          <w:p>
            <w:r>
              <w:t>2025-01-12</w:t>
            </w:r>
          </w:p>
        </w:tc>
        <w:tc>
          <w:tcPr>
            <w:tcW w:type="dxa" w:w="2160"/>
          </w:tcPr>
          <w:p>
            <w:r>
              <w:t>საწყისი პროექტი</w:t>
            </w:r>
          </w:p>
        </w:tc>
        <w:tc>
          <w:tcPr>
            <w:tcW w:type="dxa" w:w="2160"/>
          </w:tcPr>
          <w:p>
            <w:r>
              <w:t>—</w:t>
            </w:r>
          </w:p>
        </w:tc>
      </w:tr>
      <w:tr>
        <w:tc>
          <w:tcPr>
            <w:tcW w:type="dxa" w:w="2160"/>
          </w:tcPr>
          <w:p>
            <w:r>
              <w:t>V1.0</w:t>
            </w:r>
          </w:p>
        </w:tc>
        <w:tc>
          <w:tcPr>
            <w:tcW w:type="dxa" w:w="2160"/>
          </w:tcPr>
          <w:p>
            <w:r>
              <w:t>2025-03-01</w:t>
            </w:r>
          </w:p>
        </w:tc>
        <w:tc>
          <w:tcPr>
            <w:tcW w:type="dxa" w:w="2160"/>
          </w:tcPr>
          <w:p>
            <w:r>
              <w:t>პირველი გამოქვეყნებული ვერსია</w:t>
            </w:r>
          </w:p>
        </w:tc>
        <w:tc>
          <w:tcPr>
            <w:tcW w:type="dxa" w:w="2160"/>
          </w:tcPr>
          <w:p>
            <w:r>
              <w:t>Prof. G. Pkhakadze, ASF პრეზიდენტი</w:t>
            </w:r>
          </w:p>
        </w:tc>
      </w:tr>
      <w:tr>
        <w:tc>
          <w:tcPr>
            <w:tcW w:type="dxa" w:w="2160"/>
          </w:tcPr>
          <w:p>
            <w:r>
              <w:t>V2.0</w:t>
            </w:r>
          </w:p>
        </w:tc>
        <w:tc>
          <w:tcPr>
            <w:tcW w:type="dxa" w:w="2160"/>
          </w:tcPr>
          <w:p>
            <w:r>
              <w:t>2026-03-10</w:t>
            </w:r>
          </w:p>
        </w:tc>
        <w:tc>
          <w:tcPr>
            <w:tcW w:type="dxa" w:w="2160"/>
          </w:tcPr>
          <w:p>
            <w:r>
              <w:t>დაემატა 8-მწკრივიანი საფასურის სტრუქტურის ცხრილი; ფორმალიზდა 3-ეტაპიანი გადახდის გრაფიკი</w:t>
            </w:r>
          </w:p>
        </w:tc>
        <w:tc>
          <w:tcPr>
            <w:tcW w:type="dxa" w:w="2160"/>
          </w:tcPr>
          <w:p>
            <w:r>
              <w:t>Prof. G. Pkhakadze, ASF პრეზიდენტი</w:t>
            </w:r>
          </w:p>
        </w:tc>
      </w:tr>
      <w:tr>
        <w:tc>
          <w:tcPr>
            <w:tcW w:type="dxa" w:w="2160"/>
          </w:tcPr>
          <w:p>
            <w:r>
              <w:t>V3.0</w:t>
            </w:r>
          </w:p>
        </w:tc>
        <w:tc>
          <w:tcPr>
            <w:tcW w:type="dxa" w:w="2160"/>
          </w:tcPr>
          <w:p>
            <w:r>
              <w:t>2026-09-30</w:t>
            </w:r>
          </w:p>
        </w:tc>
        <w:tc>
          <w:tcPr>
            <w:tcW w:type="dxa" w:w="2160"/>
          </w:tcPr>
          <w:p>
            <w:r>
              <w:t>დაბალი და საშუალო შემოსავლის ქვეყნების შეღავათი; არაგადახდის ესკალაცია; უპირობო მიუკერძოებლობის წესი; დამტკიცდა ISQua EEA პაკეტისთვის</w:t>
            </w:r>
          </w:p>
        </w:tc>
        <w:tc>
          <w:tcPr>
            <w:tcW w:type="dxa" w:w="2160"/>
          </w:tcPr>
          <w:p>
            <w:r>
              <w:t>Prof. G. Pkhakadze, ASF პრეზიდენტი</w:t>
            </w:r>
          </w:p>
        </w:tc>
      </w:tr>
    </w:tbl>
    <w:p>
      <w:pPr>
        <w:pStyle w:val="Heading2"/>
      </w:pPr>
      <w:r>
        <w:t>მიზანი</w:t>
      </w:r>
    </w:p>
    <w:p>
      <w:r>
        <w:t>1.1 ეს პოლიტიკა ადგენს პრინციპებსა და მოთხოვნებს, რომლებიც არეგულირებს: ASF-ის მიერ აკრედიტაციის შეფასებებისა და დაკავშირებული მომსახურებისთვის დაწესებულ საფასურებს; შემფასებლის მგზავრობისა და საცხოვრებლის ხარჯების ანაზღაურებას; და ფინანსურ მოწყობას ASF-ს, განმცხადებლებს ან აკრედიტებულ ორგანიზაციებსა და შემფასებლებს შორის. ეს მოწყობა შექმნილია გამჭვირვალე და პროპორციული ფორმით და ისე, რომ შეინარჩუნოს აკრედიტაციის პროცესის მიუკერძოებლობა.</w:t>
      </w:r>
    </w:p>
    <w:p>
      <w:r>
        <w:t>1.2 ASF-ის საფასურის სტრუქტურა საჯაროდ ხელმისაწვდომია france-asf.fr-ზე და ყოველწლიურად იხილავს ASF-ის პრეზიდენტი. საფასურის ცვლილებები ძალაში შედის ყოველი კალენდარული წლის დასაწყისში და აკრედიტებულ ორგანიზაციებს ეცნობებათ ცვლილების ძალაში შესვლამდე არაუგვიანეს 90 დღისა.</w:t>
      </w:r>
    </w:p>
    <w:p>
      <w:pPr>
        <w:pStyle w:val="Heading2"/>
      </w:pPr>
      <w:r>
        <w:t>მიუკერძოებლობის დაცვა</w:t>
      </w:r>
    </w:p>
    <w:p>
      <w:r>
        <w:t>2.1 შემფასებლის არც ერთი საფასური, ანაზღაურება ან კომპენსაცია არ უკავშირდება აკრედიტაციის გადაწყვეტილების შედეგს. შემფასებლის საფასური ფიქსირებულია იმისდა მიუხედავად, არის თუ არა გადაწყვეტილება აკრედიტაცია, პირობითი აკრედიტაცია, აღიარების ჯილდო თუ არააკრედიტაცია. ეს უპირობო მოთხოვნაა; ნებისმიერი მოწყობა, რომელიც შემფასებლის გადახდას აკრედიტაციის შედეგს უკავშირებს, აკრძალულია და წარმოადგენს ASF-GOV-003-ის (მიუკერძოებლობის პოლიტიკა) დარღვევას.</w:t>
      </w:r>
    </w:p>
    <w:p>
      <w:r>
        <w:t>2.2 შემფასებლებს ასაქმებს და უხდის ASF, და არა უშუალოდ შესაფასებელი დაწესებულება. დაწესებულება იხდის ASF-ში; ASF იხდის შემფასებელს. დაწესებულებასა და ASF შემფასებელს შორის პირდაპირი ფინანსური მოწყობა აკრძალულია.</w:t>
      </w:r>
    </w:p>
    <w:p>
      <w:pPr>
        <w:pStyle w:val="Heading2"/>
      </w:pPr>
      <w:r>
        <w:t>შეფასების საფასურის სტრუქტურა</w:t>
      </w:r>
    </w:p>
    <w:p>
      <w:r>
        <w:t>3.1 ASF-ის შეფასების საფასური ეფუძნება დაწესებულების ტიპსა და საჭირო შეფასების დღეების რაოდენობას. მიმდინარე საფასურის ცხრილი გამოქვეყნებულია france-asf.fr-ზე. თითოეული დაწესებულების კატეგორიისთვის ორიენტირებული შეფასების დღეების საფუძველი ასეთია:</w:t>
      </w:r>
    </w:p>
    <w:tbl>
      <w:tblPr>
        <w:tblW w:type="auto" w:w="0"/>
        <w:tblLook w:firstColumn="1" w:firstRow="1" w:lastColumn="0" w:lastRow="0" w:noHBand="0" w:noVBand="1" w:val="04A0"/>
      </w:tblPr>
      <w:tblGrid>
        <w:gridCol w:w="2880"/>
        <w:gridCol w:w="2880"/>
        <w:gridCol w:w="2880"/>
      </w:tblGrid>
      <w:tr>
        <w:tc>
          <w:tcPr>
            <w:tcW w:type="dxa" w:w="2880"/>
          </w:tcPr>
          <w:p>
            <w:r>
              <w:t>დაწესებულების ზომა / ტიპი</w:t>
            </w:r>
          </w:p>
        </w:tc>
        <w:tc>
          <w:tcPr>
            <w:tcW w:type="dxa" w:w="2880"/>
          </w:tcPr>
          <w:p>
            <w:r>
              <w:t>შეფასების დღეები</w:t>
            </w:r>
          </w:p>
        </w:tc>
        <w:tc>
          <w:tcPr>
            <w:tcW w:type="dxa" w:w="2880"/>
          </w:tcPr>
          <w:p>
            <w:r>
              <w:t>ორიენტირებული შეფასების საფასური (მგზავრობის გარეშე)</w:t>
            </w:r>
          </w:p>
        </w:tc>
      </w:tr>
      <w:tr>
        <w:tc>
          <w:tcPr>
            <w:tcW w:type="dxa" w:w="2880"/>
          </w:tcPr>
          <w:p>
            <w:r>
              <w:t>ამბულატორიული კლინიკა / მცირე დაწესებულება (≤50 საწოლი ან ≤50 კონსულტაციის ოთახი)</w:t>
            </w:r>
          </w:p>
        </w:tc>
        <w:tc>
          <w:tcPr>
            <w:tcW w:type="dxa" w:w="2880"/>
          </w:tcPr>
          <w:p>
            <w:r>
              <w:t>2 შეფასების დღე</w:t>
            </w:r>
          </w:p>
        </w:tc>
        <w:tc>
          <w:tcPr>
            <w:tcW w:type="dxa" w:w="2880"/>
          </w:tcPr>
          <w:p>
            <w:r>
              <w:t>იხილეთ france-asf.fr-ზე</w:t>
            </w:r>
          </w:p>
        </w:tc>
      </w:tr>
      <w:tr>
        <w:tc>
          <w:tcPr>
            <w:tcW w:type="dxa" w:w="2880"/>
          </w:tcPr>
          <w:p>
            <w:r>
              <w:t>საავადმყოფო / საშუალო დაწესებულება (51–200 საწოლი)</w:t>
            </w:r>
          </w:p>
        </w:tc>
        <w:tc>
          <w:tcPr>
            <w:tcW w:type="dxa" w:w="2880"/>
          </w:tcPr>
          <w:p>
            <w:r>
              <w:t>3 შეფასების დღე</w:t>
            </w:r>
          </w:p>
        </w:tc>
        <w:tc>
          <w:tcPr>
            <w:tcW w:type="dxa" w:w="2880"/>
          </w:tcPr>
          <w:p>
            <w:r>
              <w:t>იხილეთ france-asf.fr-ზე</w:t>
            </w:r>
          </w:p>
        </w:tc>
      </w:tr>
      <w:tr>
        <w:tc>
          <w:tcPr>
            <w:tcW w:type="dxa" w:w="2880"/>
          </w:tcPr>
          <w:p>
            <w:r>
              <w:t>საავადმყოფო / დიდი დაწესებულება (&gt;200 საწოლი)</w:t>
            </w:r>
          </w:p>
        </w:tc>
        <w:tc>
          <w:tcPr>
            <w:tcW w:type="dxa" w:w="2880"/>
          </w:tcPr>
          <w:p>
            <w:r>
              <w:t>4 შეფასების დღე</w:t>
            </w:r>
          </w:p>
        </w:tc>
        <w:tc>
          <w:tcPr>
            <w:tcW w:type="dxa" w:w="2880"/>
          </w:tcPr>
          <w:p>
            <w:r>
              <w:t>იხილეთ france-asf.fr-ზე</w:t>
            </w:r>
          </w:p>
        </w:tc>
      </w:tr>
      <w:tr>
        <w:tc>
          <w:tcPr>
            <w:tcW w:type="dxa" w:w="2880"/>
          </w:tcPr>
          <w:p>
            <w:r>
              <w:t>გრძელვადიანი მოვლა (≤50 მაცხოვრებლის ადგილი)</w:t>
            </w:r>
          </w:p>
        </w:tc>
        <w:tc>
          <w:tcPr>
            <w:tcW w:type="dxa" w:w="2880"/>
          </w:tcPr>
          <w:p>
            <w:r>
              <w:t>2 შეფასების დღე</w:t>
            </w:r>
          </w:p>
        </w:tc>
        <w:tc>
          <w:tcPr>
            <w:tcW w:type="dxa" w:w="2880"/>
          </w:tcPr>
          <w:p>
            <w:r>
              <w:t>იხილეთ france-asf.fr-ზე</w:t>
            </w:r>
          </w:p>
        </w:tc>
      </w:tr>
      <w:tr>
        <w:tc>
          <w:tcPr>
            <w:tcW w:type="dxa" w:w="2880"/>
          </w:tcPr>
          <w:p>
            <w:r>
              <w:t>გრძელვადიანი მოვლა (&gt;50 მაცხოვრებლის ადგილი)</w:t>
            </w:r>
          </w:p>
        </w:tc>
        <w:tc>
          <w:tcPr>
            <w:tcW w:type="dxa" w:w="2880"/>
          </w:tcPr>
          <w:p>
            <w:r>
              <w:t>3 შეფასების დღე</w:t>
            </w:r>
          </w:p>
        </w:tc>
        <w:tc>
          <w:tcPr>
            <w:tcW w:type="dxa" w:w="2880"/>
          </w:tcPr>
          <w:p>
            <w:r>
              <w:t>იხილეთ france-asf.fr-ზე</w:t>
            </w:r>
          </w:p>
        </w:tc>
      </w:tr>
      <w:tr>
        <w:tc>
          <w:tcPr>
            <w:tcW w:type="dxa" w:w="2880"/>
          </w:tcPr>
          <w:p>
            <w:r>
              <w:t>Fitness and Wellness დაწესებულება</w:t>
            </w:r>
          </w:p>
        </w:tc>
        <w:tc>
          <w:tcPr>
            <w:tcW w:type="dxa" w:w="2880"/>
          </w:tcPr>
          <w:p>
            <w:r>
              <w:t>1–2 შეფასების დღე</w:t>
            </w:r>
          </w:p>
        </w:tc>
        <w:tc>
          <w:tcPr>
            <w:tcW w:type="dxa" w:w="2880"/>
          </w:tcPr>
          <w:p>
            <w:r>
              <w:t>იხილეთ france-asf.fr-ზე</w:t>
            </w:r>
          </w:p>
        </w:tc>
      </w:tr>
      <w:tr>
        <w:tc>
          <w:tcPr>
            <w:tcW w:type="dxa" w:w="2880"/>
          </w:tcPr>
          <w:p>
            <w:r>
              <w:t>შუალედური მიმოხილვა (დოკუმენტური, პირობითი აკრედიტაცია)</w:t>
            </w:r>
          </w:p>
        </w:tc>
        <w:tc>
          <w:tcPr>
            <w:tcW w:type="dxa" w:w="2880"/>
          </w:tcPr>
          <w:p>
            <w:r>
              <w:t>არ ეხება</w:t>
            </w:r>
          </w:p>
        </w:tc>
        <w:tc>
          <w:tcPr>
            <w:tcW w:type="dxa" w:w="2880"/>
          </w:tcPr>
          <w:p>
            <w:r>
              <w:t>შედის პირობითი პერიოდის საფასურში</w:t>
            </w:r>
          </w:p>
        </w:tc>
      </w:tr>
      <w:tr>
        <w:tc>
          <w:tcPr>
            <w:tcW w:type="dxa" w:w="2880"/>
          </w:tcPr>
          <w:p>
            <w:r>
              <w:t>მეთვალყურეობის ვიზიტი / რეაქტიული მონიტორინგის ვიზიტი</w:t>
            </w:r>
          </w:p>
        </w:tc>
        <w:tc>
          <w:tcPr>
            <w:tcW w:type="dxa" w:w="2880"/>
          </w:tcPr>
          <w:p>
            <w:r>
              <w:t>1 შეფასების დღე</w:t>
            </w:r>
          </w:p>
        </w:tc>
        <w:tc>
          <w:tcPr>
            <w:tcW w:type="dxa" w:w="2880"/>
          </w:tcPr>
          <w:p>
            <w:r>
              <w:t>ASF-ის შეხედულებით; შეიძლება იყოს ASF-ის ხარჯზე, თუ გამოწვეულია ASF-ის მხრიდან შეშფოთებით</w:t>
            </w:r>
          </w:p>
        </w:tc>
      </w:tr>
    </w:tbl>
    <w:p>
      <w:r>
        <w:t>3.2 შეფასების საფასური მოიცავს: შეფასების გუნდის მომზადებას; შეფასების ჩატარებას (მათ შორის შემფასებლის დროს, შეფასების კოორდინაციას და დოკუმენტების მიმოხილვას); შეფასების ანგარიშის მომზადებას; და ADC-ის სესიას. ის არ მოიცავს შემფასებლის მგზავრობისა და საცხოვრებლის ხარჯებს (იხ. მე-4 თავი) ან განაცხადის საფასურს.</w:t>
      </w:r>
    </w:p>
    <w:p>
      <w:r>
        <w:t>3.3 განაცხადის საფასური (იხდება განაცხადის შეტანისას, როგორც ამას ითხოვს ASF-OPS-006, §4.1(g)) არ ბრუნდება. ის ჩაითვლება მთლიანი შეფასების საფასურიდან შეფასების ჯავშნის დადასტურებისას.</w:t>
      </w:r>
    </w:p>
    <w:p>
      <w:r>
        <w:t>3.4 დაწესებულება, რომელიც დადასტურებული შეფასების ჯავშანს აუქმებს შეფასების თარიღამდე 30 კალენდარულ დღეზე ნაკლებ ვადაში, კარგავს უკვე გადახდილი შეფასების საფასურის 50%-ს. გაუქმებები შეფასების თარიღამდე 30 კალენდარულ დღეზე მეტი ხნით ადრე ექვემდებარება ადმინისტრაციულ საფასურს, რომელიც უდრის განაცხადის საფასურს; ავანსური გადახდის დანარჩენი ნაწილი უბრუნდება ან ეჩრდება გადაგეგმილ შეფასებას.</w:t>
      </w:r>
    </w:p>
    <w:p>
      <w:r>
        <w:t>3.5 დაბალი და საშუალო შემოსავლის ქვეყნების ორგანიზაციებისთვის (მსოფლიო ბანკის შემოსავლის ჯგუფის კლასიფიკაციის მიხედვით) ASF შეიძლება გამოიყენოს შეღავათიანი საფასურის ცხრილი. შეღავათები გამოიყენება ASF-ის შეხედულებით, ინდივიდუალურად და საჯაროდ არ ვრცელდება; ორგანიზაციებს შეუძლიათ განიხილონ შეღავათის მოთხოვნა ASF-თან პირდაპირ დაკავშირებით.</w:t>
      </w:r>
    </w:p>
    <w:p>
      <w:pPr>
        <w:pStyle w:val="Heading2"/>
      </w:pPr>
      <w:r>
        <w:t>შემფასებლის მგზავრობა და საცხოვრებელი</w:t>
      </w:r>
    </w:p>
    <w:p>
      <w:r>
        <w:t>4.1 შემფასებლის მგზავრობისა და საცხოვრებლის ხარჯები ეკისრება განმცხადებელს ან აკრედიტებულ ორგანიზაციას ფაქტობრივი ღირებულებით, შეფასების საფასურის დამატებით. მგზავრობისა და საცხოვრებლის მოწყობა შეესაბამება შემდეგ სტანდარტებს:</w:t>
      </w:r>
    </w:p>
    <w:p>
      <w:r>
        <w:t>(a) საჰაერო მგზავრობა — ეკონომ კლასი 6 საათამდე ხანგრძლივობის ფრენებზე; ბიზნეს კლასი შეიძლება დამტკიცდეს 6 საათზე მეტი ხანგრძლივობის ფრენებზე, როცა მთლიანი მგზავრობის დრო (მათ შორის გადაჯდომებით) აღემატება 8 საათს. ჯავშნდება ყველაზე იაფი ხელმისაწვდომი ტარიფი, რომელიც აკმაყოფილებს ამ კლასის მოთხოვნებს, მინიმუმ 7 დღით ადრე შეტყობინებით;</w:t>
      </w:r>
    </w:p>
    <w:p>
      <w:r>
        <w:t>(b) რკინიგზის მგზავრობა — სტანდარტული კლასი 3 საათამდე ხანგრძლივობის მგზავრობაზე; პირველი კლასი ან ეკვივალენტი შეიძლება გამოყენებულ იქნას 3 საათზე მეტი ხანგრძლივობის მგზავრობაზე, თუ ფასთა სხვაობა გონივრულია;</w:t>
      </w:r>
    </w:p>
    <w:p>
      <w:r>
        <w:t>(c) სახმელეთო ტრანსპორტი — ყველაზე ეფექტური კომბინაცია აეროპორტის ტრანსფერებს, ტაქსებსა და საზოგადოებრივ ტრანსპორტს შორის, უსაფრთხო და დროული მისვლის შესაბამისად. ავტომობილის ქირაობა გამოიყენება მხოლოდ მაშინ, როცა სხვა პრაქტიკული ვარიანტი არ არსებობს;</w:t>
      </w:r>
    </w:p>
    <w:p>
      <w:r>
        <w:t>(d) საცხოვრებელი — სტანდარტული ერთადგილიანი ბიზნეს სასტუმროს ნომერი შეფასების დაწესებულების სიახლოვეს, ადგილობრივი ბაზრის შესაბამისი ფასით. ძვირადღირებული სასტუმროები არ გამოიყენება;</w:t>
      </w:r>
    </w:p>
    <w:p>
      <w:r>
        <w:t>(e) კვება და დღიური ხარჯი — დღიური ფულადი დანამატი იმ ქვეყნის შესაბამისი განაკვეთით, სადაც ტარდება შეფასება, როგორც ეს გამოქვეყნებულია ASF შემფასებლის ხელშეკრულებაში. ალკოჰოლის ხარჯი არ ანაზღაურდება.</w:t>
      </w:r>
    </w:p>
    <w:p>
      <w:r>
        <w:t>4.2 ASF დაწესებულებას შეფასების ჯავშნის დადასტურებამდე აწვდის მგზავრობისა და საცხოვრებლის ხარჯების შეფასებას. შეფასება ეფუძნება წარდგენილი შეფასების პერიოდისთვის ყველაზე უახლეს ხელმისაწვდომ ტარიფებსა და სასტუმროების განაკვეთებს. დაწესებულება ჯავშნის დადასტურებამდე ადასტურებს შეფასებული ხარჯების მიღებას.</w:t>
      </w:r>
    </w:p>
    <w:p>
      <w:r>
        <w:t>4.3 თუ მგზავრობისა და საცხოვრებლის ხარჯები არსებითად აღემატება შეფასებას (20%-ზე მეტით) ASF-ის კონტროლს მიღმა არსებული გარემოებების გამო — მაგალითად, დაწესებულების მიერ მოთხოვნილი შეფასების თარიღის ცვლილების გამო — ASF დაწესებულებას აცნობებს დამატებითი ხარჯების გაწევამდე.</w:t>
      </w:r>
    </w:p>
    <w:p>
      <w:pPr>
        <w:pStyle w:val="Heading2"/>
      </w:pPr>
      <w:r>
        <w:t>გადახდის მოწყობა</w:t>
      </w:r>
    </w:p>
    <w:p>
      <w:r>
        <w:t>5.1 შეფასების საფასურის გადახდის გრაფიკი ასეთია:</w:t>
      </w:r>
    </w:p>
    <w:p>
      <w:r>
        <w:t>(a) განაცხადის საფასური — იხდება განაცხადის წარდგენისას (არ ბრუნდება);</w:t>
      </w:r>
    </w:p>
    <w:p>
      <w:r>
        <w:t>(b) შეფასების საფასურის 50% (განაცხადის საფასურის გამოკლებით) — ინვოისდება შეფასების ჯავშნის დადასტურებისას; იხდება ინვოისის თარიღიდან 15 კალენდარული დღის განმავლობაში;</w:t>
      </w:r>
    </w:p>
    <w:p>
      <w:r>
        <w:t>(c) შეფასების საფასურის დანარჩენი 50% პლუს მგზავრობისა და საცხოვრებლის ფაქტობრივი ხარჯები — ინვოისდება შეფასებიდან 10 სამუშაო დღის განმავლობაში; იხდება ინვოისის თარიღიდან 30 კალენდარული დღის განმავლობაში.</w:t>
      </w:r>
    </w:p>
    <w:p>
      <w:r>
        <w:t>5.2 თუ დაწესებულება ინვოისს დადგენილ ვადაში არ იხდის, ASF წერილობით შეახსენებს. თუ დავალიანება ვადის გასვლიდან 30 კალენდარულ დღეზე მეტ ხანს რჩება:</w:t>
      </w:r>
    </w:p>
    <w:p>
      <w:r>
        <w:t>(a) დაწესებულებისთვის ახალი შეფასებები არ დაინიშნება, სანამ გადასახდელი ბალანსი არ დაიფარება;</w:t>
      </w:r>
    </w:p>
    <w:p>
      <w:r>
        <w:t>(b) ASF შეიძლება შეაჩეროს აკრედიტაციის გადაწყვეტილება ან სერტიფიკატი, სანამ გადახდა არ მიიღება;</w:t>
      </w:r>
    </w:p>
    <w:p>
      <w:r>
        <w:t>(c) გახანგრძლივებული გადაუხდელობისთვის, რომელიც აღემატება 60 კალენდარულ დღეს, ASF შეიძლება ამას განიხილავდეს, როგორც აკრედიტაციის შემდგომი ვალდებულებების შეუსრულებლობას და დაიწყოს შეუსაბამობის პროცედურა ASF-OPS-005-ის §9-ის შესაბამისად.</w:t>
      </w:r>
    </w:p>
    <w:p>
      <w:r>
        <w:t>5.3 ყველა თანხა ინვოისდება ევროში (EUR), თუ ხელშეკრულებაში წერილობით სხვა ვალუტა არ არის შეთანხმებული. საბანკო გადარიცხვის საკომისიოს იხდის გადამხდელი ორგანიზაცია.</w:t>
      </w:r>
    </w:p>
    <w:p>
      <w:pPr>
        <w:pStyle w:val="Heading2"/>
      </w:pPr>
      <w:r>
        <w:t>ISQua EEA-სთან შესაბამისობა</w:t>
      </w:r>
    </w:p>
    <w:p>
      <w:r>
        <w:t>6.1 ეს პოლიტიკა მხარს უჭერს ISQua EEA Principle 4 (Independence) მოთხოვნას იმდენად, რამდენადაც ის ხელს უშლის შემფასებლის ანაზღაურების აკრედიტაციის შედეგებთან დაკავშირებას, და Principle 3 (Transparency) მოთხოვნას იმდენად, რამდენადაც საფასურის სტრუქტურა საჯაროდ ხელმისაწვდომია. ASF ISQua EEA Crosswalk-ი (ASF-EV-004) მიუთითებს ამ პოლიტიკის დებულებებზე შესაბამის EEA კრიტერიუმებზე.</w:t>
      </w:r>
    </w:p>
    <w:p>
      <w:pPr>
        <w:pStyle w:val="Heading2"/>
      </w:pPr>
      <w:r>
        <w:t>წყაროები</w:t>
      </w:r>
    </w:p>
    <w:p>
      <w:r>
        <w:t>[1] ISQua IAP. Principles for Standards. 6th Ed. ISQua EEA, Dublin, 2023.</w:t>
      </w:r>
    </w:p>
    <w:p>
      <w:r>
        <w:t>[2] ISO/IEC 17021-1:2015 — Conformity Assessment. §7.1 Financial Resources. ISO, Geneva, 2015.</w:t>
      </w:r>
    </w:p>
    <w:p>
      <w:r>
        <w:t>[3] JCI Accreditation Standards for Hospitals. 7th Ed. JCI, Oak Brook, 2020.</w:t>
      </w:r>
    </w:p>
    <w:p>
      <w:r>
        <w:t>[4] Accreditation Canada. Qmentum Accreditation Program: Fee Policy. Ottawa, 2022.</w:t>
      </w:r>
    </w:p>
    <w:p>
      <w:r>
        <w:t>[5] HQACI. Surveyor Costs and Expenses Policy. ISQua EEA Accredited Document, 2026.</w:t>
      </w:r>
    </w:p>
    <w:p>
      <w:r>
        <w:t>[6] World Bank. World Bank Country and Lending Groups 2026. World Bank, Washington DC, 2026.</w:t>
      </w:r>
    </w:p>
    <w:p>
      <w:r>
        <w:t>ფორმალური დამტკიცება</w:t>
      </w:r>
    </w:p>
    <w:tbl>
      <w:tblPr>
        <w:tblW w:type="auto" w:w="0"/>
        <w:tblLook w:firstColumn="1" w:firstRow="1" w:lastColumn="0" w:lastRow="0" w:noHBand="0" w:noVBand="1" w:val="04A0"/>
      </w:tblPr>
      <w:tblGrid>
        <w:gridCol w:w="4320"/>
        <w:gridCol w:w="4320"/>
      </w:tblGrid>
      <w:tr>
        <w:tc>
          <w:tcPr>
            <w:tcW w:type="dxa" w:w="4320"/>
          </w:tcPr>
          <w:p>
            <w:r>
              <w:t>ფორმალური დამტკიცება</w:t>
            </w:r>
          </w:p>
        </w:tc>
        <w:tc>
          <w:tcPr>
            <w:tcW w:type="dxa" w:w="4320"/>
          </w:tcPr>
          <w:p>
            <w:r>
              <w:t>ინფორმაცია</w:t>
            </w:r>
          </w:p>
        </w:tc>
      </w:tr>
      <w:tr>
        <w:tc>
          <w:tcPr>
            <w:tcW w:type="dxa" w:w="4320"/>
          </w:tcPr>
          <w:p>
            <w:r>
              <w:t>სახელი და თანამდებობა</w:t>
            </w:r>
          </w:p>
        </w:tc>
        <w:tc>
          <w:tcPr>
            <w:tcW w:type="dxa" w:w="4320"/>
          </w:tcPr>
          <w:p>
            <w:r>
              <w:t>Prof. Giorgi Pkhakadze, MD, MPH, PhD — პრეზიდენტი, Accréditation Sans Frontières</w:t>
            </w:r>
          </w:p>
        </w:tc>
      </w:tr>
      <w:tr>
        <w:tc>
          <w:tcPr>
            <w:tcW w:type="dxa" w:w="4320"/>
          </w:tcPr>
          <w:p>
            <w:r>
              <w:t>ხელმოწერა</w:t>
            </w:r>
          </w:p>
        </w:tc>
        <w:tc>
          <w:tcPr>
            <w:tcW w:type="dxa" w:w="4320"/>
          </w:tcPr>
          <w:p>
            <w:r/>
          </w:p>
        </w:tc>
      </w:tr>
      <w:tr>
        <w:tc>
          <w:tcPr>
            <w:tcW w:type="dxa" w:w="4320"/>
          </w:tcPr>
          <w:p>
            <w:r>
              <w:t>თარიღი</w:t>
            </w:r>
          </w:p>
        </w:tc>
        <w:tc>
          <w:tcPr>
            <w:tcW w:type="dxa" w:w="4320"/>
          </w:tcPr>
          <w:p>
            <w:r>
              <w:t>2026-09-30</w:t>
            </w:r>
          </w:p>
        </w:tc>
      </w:tr>
    </w:tbl>
    <w:p>
      <w:r>
        <w:t>დოკუმენტის კოდი: ASF-OPS-008 · ვერსია: V3.0 · ძალაშია: 2026-09-30 · შემდეგი გადახედვა: 2031 წლის სექტემბერი</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ompact">
    <w:name w:val="Compact"/>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