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ხარისხის მართვის სისტემა (QMS)</w:t>
            </w:r>
          </w:p>
        </w:tc>
        <w:tc>
          <w:tcPr>
            <w:tcW w:type="dxa" w:w="4320"/>
            <w:gridSpan w:val="2"/>
          </w:tcPr>
          <w:p>
            <w:r>
              <w:t>ASF-QMS-002</w:t>
            </w:r>
          </w:p>
          <w:p>
            <w:r>
              <w:t>მენეჯმენტის მიმოხილვის პროცედურა</w:t>
            </w:r>
          </w:p>
        </w:tc>
      </w:tr>
      <w:tr>
        <w:tc>
          <w:tcPr>
            <w:tcW w:type="dxa" w:w="2160"/>
          </w:tcPr>
          <w:p>
            <w:r>
              <w:t>დოკუმენტის კოდი</w:t>
            </w:r>
          </w:p>
        </w:tc>
        <w:tc>
          <w:tcPr>
            <w:tcW w:type="dxa" w:w="2160"/>
          </w:tcPr>
          <w:p>
            <w:r>
              <w:t>ASF-QMS-002</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ASF ხარისხის მართვის სისტემა; წლიური და საგანგებო მენეჯმენტის მიმოხილვის შეხვედრები</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ASF-QMS-001 შიდა აუდიტის პოლიტიკა · ASF-QMS-003 რისკების მართვის პოლიტიკა · ASF-GOV-001 სტანდარტების განვითარების მეთოდოლოგია · ASF-GOV-005 საჩივრებისა და სააპელაციო პროცედურა · ASF-OPS-001 აკრედიტაციის გადაწყვეტილების ჩარჩო</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ASF-QMS-002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მენეჯმენტის მიმოხილვის პროცედურა</w:t>
      </w:r>
    </w:p>
    <w:p>
      <w:r>
        <w:t>ASF · ხარისხის მართვის სისტემა · ASF-QMS-002</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2025-03-05</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2025-06-01</w:t>
            </w:r>
          </w:p>
        </w:tc>
        <w:tc>
          <w:tcPr>
            <w:tcW w:type="dxa" w:w="2160"/>
          </w:tcPr>
          <w:p>
            <w:r>
              <w:t>პირველი გამოქვეყნებული ვერსია</w:t>
            </w:r>
          </w:p>
        </w:tc>
        <w:tc>
          <w:tcPr>
            <w:tcW w:type="dxa" w:w="2160"/>
          </w:tcPr>
          <w:p>
            <w:r>
              <w:t>QMS კოორდინატორი</w:t>
            </w:r>
          </w:p>
        </w:tc>
      </w:tr>
      <w:tr>
        <w:tc>
          <w:tcPr>
            <w:tcW w:type="dxa" w:w="2160"/>
          </w:tcPr>
          <w:p>
            <w:r>
              <w:t>V2.0</w:t>
            </w:r>
          </w:p>
        </w:tc>
        <w:tc>
          <w:tcPr>
            <w:tcW w:type="dxa" w:w="2160"/>
          </w:tcPr>
          <w:p>
            <w:r>
              <w:t>2026-03-15</w:t>
            </w:r>
          </w:p>
        </w:tc>
        <w:tc>
          <w:tcPr>
            <w:tcW w:type="dxa" w:w="2160"/>
          </w:tcPr>
          <w:p>
            <w:r>
              <w:t>დაემატა 10-პუნქტიანი სავალდებულო მიმოხილვის შესატანების სია; ფორმალიზდა 5 საგანგებო მიმოხილვის ტრიგერი</w:t>
            </w:r>
          </w:p>
        </w:tc>
        <w:tc>
          <w:tcPr>
            <w:tcW w:type="dxa" w:w="2160"/>
          </w:tcPr>
          <w:p>
            <w:r>
              <w:t>QMS კოორდინატორი</w:t>
            </w:r>
          </w:p>
        </w:tc>
      </w:tr>
      <w:tr>
        <w:tc>
          <w:tcPr>
            <w:tcW w:type="dxa" w:w="2160"/>
          </w:tcPr>
          <w:p>
            <w:r>
              <w:t>V3.0</w:t>
            </w:r>
          </w:p>
        </w:tc>
        <w:tc>
          <w:tcPr>
            <w:tcW w:type="dxa" w:w="2160"/>
          </w:tcPr>
          <w:p>
            <w:r>
              <w:t>2026-09-30</w:t>
            </w:r>
          </w:p>
        </w:tc>
        <w:tc>
          <w:tcPr>
            <w:tcW w:type="dxa" w:w="2160"/>
          </w:tcPr>
          <w:p>
            <w:r>
              <w:t>6-კატეგორიანი გადაწყვეტილებების გამომავალი ცხრილი; დოკუმენტაციის ნაკრების მოთხოვნები;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მენეჯმენტის მიმოხილვა არის მექანიზმი, რომლითაც ASF-ის უმაღლესი ხელმძღვანელობა აფასებს ხარისხის მართვის სისტემის საერთო შესრულებას, აფასებს ASF-ის პოლიტიკებისა და პროცედურების ვარგისიანობას და იღებს სტრატეგიულ გადაწყვეტილებებს გაუმჯობესებების შესახებ. ის უზრუნველყოფს ფორმალურ მმართველობით კავშირს შიდა აუდიტის, რისკების მართვის, დაინტერესებული მხარეების უკუკავშირისა და საოპერაციო შესრულების შედეგებსა და იმ გადაწყვეტილებებს შორის, რომლებიც საჭიროა ASF-ის აკრედიტაციის პროგრამის მუდმივი გასაუმჯობესებლად.</w:t>
      </w:r>
    </w:p>
    <w:p>
      <w:r>
        <w:t>1.2 ეს პროცედურა ადგენს ASF-ის მენეჯმენტის მიმოხილვის შეხვედრების სიხშირეს, შესატანებს, გამომავალ შედეგებსა და მმართველობას, აგრეთვე ჩანაწერებს, რომლებიც უნდა შენარჩუნდეს მიმოხილვის მტკიცებულებად.</w:t>
      </w:r>
    </w:p>
    <w:p>
      <w:pPr>
        <w:pStyle w:val="Heading2"/>
      </w:pPr>
      <w:r>
        <w:t>სიხშირე</w:t>
      </w:r>
    </w:p>
    <w:p>
      <w:r>
        <w:t>2.1 წლიური მენეჯმენტის მიმოხილვა ტარდება კალენდარულ წელიწადში ერთხელ, თარიღით, რომელსაც ადგენს ASF-ის პრეზიდენტი. რეკომენდებული თარიღია წლის პირველი კვარტალი, რათა გაანალიზდეს წინა წლის საოპერაციო შესრულების მონაცემები.</w:t>
      </w:r>
    </w:p>
    <w:p>
      <w:r>
        <w:t>2.2 საგანგებო მენეჯმენტის მიმოხილვა ASF-ის პრეზიდენტს შეუძლია ნებისმიერ დროს მოიწვიოს, როცა:</w:t>
      </w:r>
    </w:p>
    <w:p>
      <w:r>
        <w:t>(a) შიდა აუდიტით (ASF-QMS-001) გამოვლინდება არსებითი შეუსაბამობა, რომელიც მოითხოვს სტრატეგიული დონის გადაწყვეტილებას;</w:t>
      </w:r>
    </w:p>
    <w:p>
      <w:r>
        <w:t>(b) მნიშვნელოვანი საჩივარი ან დაკმაყოფილებული სააპელაციო საკითხი ASF-ის პროცესებთან დაკავშირებით სისტემურ შეშფოთებას იწვევს (ASF-GOV-005);</w:t>
      </w:r>
    </w:p>
    <w:p>
      <w:r>
        <w:t>(c) წარმოიშობა არსებითი მიუკერძოებლობის შეშფოთება, რომელიც მოითხოვს ASF-GOV-003-ის ან ASF კომიტეტების შემადგენლობის გადახედვას;</w:t>
      </w:r>
    </w:p>
    <w:p>
      <w:r>
        <w:t>(d) შემოთავაზებულია არსებითი ცვლილება ASF-ის აკრედიტაციის პროგრამაში, სტანდარტების პორტფელში ან მმართველობით სტრუქტურაში;</w:t>
      </w:r>
    </w:p>
    <w:p>
      <w:r>
        <w:t>(e) ISQua EEA-ს, მარეგულირებელი ორგანოს ან თანატოლთა მიმოხილვის გარე უკუკავშირი გვირჩევს ASF-ის QMS-ის ცვლილებებს.</w:t>
      </w:r>
    </w:p>
    <w:p>
      <w:r>
        <w:t>2.3 საგანგებო მენეჯმენტის მიმოხილვა უნდა მოიწვიოს ტრიგერ-მოვლენიდან 20 სამუშაო დღეში. ის შემოიფარგლება კონკრეტული საკითხით, რომელმაც გამოიწვია იგი, მაგრამ შეიძლება გაფართოვდეს, თუ პრეზიდენტი დაადგენს, რომ საჭიროა უფრო ფართო მიმოხილვა.</w:t>
      </w:r>
    </w:p>
    <w:p>
      <w:pPr>
        <w:pStyle w:val="Heading2"/>
      </w:pPr>
      <w:r>
        <w:t>მონაწილეები</w:t>
      </w:r>
    </w:p>
    <w:p>
      <w:r>
        <w:t>3.1 წლიურ მენეჯმენტის მიმოხილვას ხელმძღვანელობს ASF-ის პრეზიდენტი. მონაწილეები არიან QMS კოორდინატორი, სტანდარტების განვითარების კომიტეტის (SDC) თავმჯდომარე, აკრედიტაციის გადაწყვეტილებათა კომიტეტის (ADC) თავმჯდომარე და ყველა სხვა პირი, რომლის ოპერაციული სფერო განიხილება. გარე მონაწილეები — მაგალითად, შემფასებლის წარმომადგენელი ან დაინტერესებული მხარის წარმომადგენელი — შეიძლება მოიწვიონ პრეზიდენტის შეხედულებით.</w:t>
      </w:r>
    </w:p>
    <w:p>
      <w:r>
        <w:t>3.2 წლიური მენეჯმენტის მიმოხილვის კვორუმისთვის საჭიროა ASF-ის პრეზიდენტის და მინიმუმ ორი დასახელებული კომიტეტის თავმჯდომარის დასწრება. თუ კვორუმი პირადად ვერ შედგება, მიმოხილვა შეიძლება ჩატარდეს ელექტრონულად, იმ პირობით, რომ ყველა მონაწილეს აქვს წვდომა დოკუმენტაციის სრულ ნაკრებზე შეხვედრამდე.</w:t>
      </w:r>
    </w:p>
    <w:p>
      <w:r>
        <w:t>3.3 QMS კოორდინატორი ასრულებს მიმოხილვის მდივნის ფუნქციას — ამზადებს დოკუმენტაციის ნაკრებს, აგზავნის დღის წესრიგს, აწარმოებს ოქმს და თვალყურს ადევნებს მიმოხილვის გადაწყვეტილებების შესრულებას.</w:t>
      </w:r>
    </w:p>
    <w:p>
      <w:pPr>
        <w:pStyle w:val="Heading2"/>
      </w:pPr>
      <w:r>
        <w:t>მიმოხილვის შესატანები</w:t>
      </w:r>
    </w:p>
    <w:p>
      <w:r>
        <w:t>4.1 QMS კოორდინატორი მენეჯმენტის მიმოხილვის შეხვედრისთვის ამზადებს სტრუქტურირებულ დოკუმენტაციის ნაკრებს. ნაკრები ყველა მონაწილეს ეგზავნება შეხვედრის თარიღამდე მინიმუმ 10 სამუშაო დღით ადრე. ნაკრებში უნდა შედიოდეს მონაცემები და ინფორმაცია თითოეული შემდეგი სავალდებულო შესატანის შესახებ:</w:t>
      </w:r>
    </w:p>
    <w:tbl>
      <w:tblPr>
        <w:tblW w:type="auto" w:w="0"/>
        <w:tblLook w:firstColumn="1" w:firstRow="1" w:lastColumn="0" w:lastRow="0" w:noHBand="0" w:noVBand="1" w:val="04A0"/>
      </w:tblPr>
      <w:tblGrid>
        <w:gridCol w:w="2880"/>
        <w:gridCol w:w="2880"/>
        <w:gridCol w:w="2880"/>
      </w:tblGrid>
      <w:tr>
        <w:tc>
          <w:tcPr>
            <w:tcW w:type="dxa" w:w="2880"/>
          </w:tcPr>
          <w:p>
            <w:r>
              <w:t>შესატანი</w:t>
            </w:r>
          </w:p>
        </w:tc>
        <w:tc>
          <w:tcPr>
            <w:tcW w:type="dxa" w:w="2880"/>
          </w:tcPr>
          <w:p>
            <w:r>
              <w:t>წყარო დოკუმენტი / მონაცემები</w:t>
            </w:r>
          </w:p>
        </w:tc>
        <w:tc>
          <w:tcPr>
            <w:tcW w:type="dxa" w:w="2880"/>
          </w:tcPr>
          <w:p>
            <w:r>
              <w:t>მინიმალური შინაარსი</w:t>
            </w:r>
          </w:p>
        </w:tc>
      </w:tr>
      <w:tr>
        <w:tc>
          <w:tcPr>
            <w:tcW w:type="dxa" w:w="2880"/>
          </w:tcPr>
          <w:p>
            <w:r>
              <w:t>შიდა აუდიტის შედეგები</w:t>
            </w:r>
          </w:p>
        </w:tc>
        <w:tc>
          <w:tcPr>
            <w:tcW w:type="dxa" w:w="2880"/>
          </w:tcPr>
          <w:p>
            <w:r>
              <w:t>ASF-QMS-001 აუდიტის ანგარიშები</w:t>
            </w:r>
          </w:p>
        </w:tc>
        <w:tc>
          <w:tcPr>
            <w:tcW w:type="dxa" w:w="2880"/>
          </w:tcPr>
          <w:p>
            <w:r>
              <w:t>წინა მენეჯმენტის მიმოხილვის შემდეგ დასრულებული ყველა აუდიტის ციკლის შეჯამება; ყველა ღია CAR და მათი სტატუსი; შეუსაბამობების მაჩვენებლის ტენდენცია</w:t>
            </w:r>
          </w:p>
        </w:tc>
      </w:tr>
      <w:tr>
        <w:tc>
          <w:tcPr>
            <w:tcW w:type="dxa" w:w="2880"/>
          </w:tcPr>
          <w:p>
            <w:r>
              <w:t>რისკების რეესტრის სტატუსი</w:t>
            </w:r>
          </w:p>
        </w:tc>
        <w:tc>
          <w:tcPr>
            <w:tcW w:type="dxa" w:w="2880"/>
          </w:tcPr>
          <w:p>
            <w:r>
              <w:t>ASF-QMS-003</w:t>
            </w:r>
          </w:p>
        </w:tc>
        <w:tc>
          <w:tcPr>
            <w:tcW w:type="dxa" w:w="2880"/>
          </w:tcPr>
          <w:p>
            <w:r>
              <w:t>განახლებული რისკების რეესტრი; წინა მიმოხილვიდან მოყოლებული ყველა რისკი, რომელიც მაღალ ან კრიტიკულ დონეზე იყო; რისკის დონეებისა და ნარჩენი რისკის დონეების ცვლილებები</w:t>
            </w:r>
          </w:p>
        </w:tc>
      </w:tr>
      <w:tr>
        <w:tc>
          <w:tcPr>
            <w:tcW w:type="dxa" w:w="2880"/>
          </w:tcPr>
          <w:p>
            <w:r>
              <w:t>საჩივრები და სააპელაციო საკითხები</w:t>
            </w:r>
          </w:p>
        </w:tc>
        <w:tc>
          <w:tcPr>
            <w:tcW w:type="dxa" w:w="2880"/>
          </w:tcPr>
          <w:p>
            <w:r>
              <w:t>ASF-GOV-005 საქმეების ჟურნალი</w:t>
            </w:r>
          </w:p>
        </w:tc>
        <w:tc>
          <w:tcPr>
            <w:tcW w:type="dxa" w:w="2880"/>
          </w:tcPr>
          <w:p>
            <w:r>
              <w:t>მიღებული საჩივრების რაოდენობა და ტიპი; დაკმაყოფილებული, ნაწილობრივ დაკმაყოფილებული ან უარყოფილი საჩივრების რაოდენობა; სისტემური დასკვნები; სააპელაციო შედეგები</w:t>
            </w:r>
          </w:p>
        </w:tc>
      </w:tr>
      <w:tr>
        <w:tc>
          <w:tcPr>
            <w:tcW w:type="dxa" w:w="2880"/>
          </w:tcPr>
          <w:p>
            <w:r>
              <w:t>აკრედიტაციის პროგრამის შესრულება</w:t>
            </w:r>
          </w:p>
        </w:tc>
        <w:tc>
          <w:tcPr>
            <w:tcW w:type="dxa" w:w="2880"/>
          </w:tcPr>
          <w:p>
            <w:r>
              <w:t>ADC ჩანაწერები; ASF-OPS-001</w:t>
            </w:r>
          </w:p>
        </w:tc>
        <w:tc>
          <w:tcPr>
            <w:tcW w:type="dxa" w:w="2880"/>
          </w:tcPr>
          <w:p>
            <w:r>
              <w:t>ჩატარებული შეფასებების რაოდენობა; გადაწყვეტილების ტიპები (აკრედიტაცია, პირობითი, აღიარების ჯილდო, არააკრედიტაცია); CAP-ის შესრულების მაჩვენებლები; ნებისმიერი შეჩერება ან გაუქმება</w:t>
            </w:r>
          </w:p>
        </w:tc>
      </w:tr>
      <w:tr>
        <w:tc>
          <w:tcPr>
            <w:tcW w:type="dxa" w:w="2880"/>
          </w:tcPr>
          <w:p>
            <w:r>
              <w:t>შემფასებელთა შესრულება</w:t>
            </w:r>
          </w:p>
        </w:tc>
        <w:tc>
          <w:tcPr>
            <w:tcW w:type="dxa" w:w="2880"/>
          </w:tcPr>
          <w:p>
            <w:r>
              <w:t>ASF-OPS-002 შესრულების ჟურნალი</w:t>
            </w:r>
          </w:p>
        </w:tc>
        <w:tc>
          <w:tcPr>
            <w:tcW w:type="dxa" w:w="2880"/>
          </w:tcPr>
          <w:p>
            <w:r>
              <w:t>კალიბრაციის სავარჯიშოს შედეგები; გააქტიურებული შესრულების მონიტორინგის ტრიგერები; გავლილი სწავლება</w:t>
            </w:r>
          </w:p>
        </w:tc>
      </w:tr>
      <w:tr>
        <w:tc>
          <w:tcPr>
            <w:tcW w:type="dxa" w:w="2880"/>
          </w:tcPr>
          <w:p>
            <w:r>
              <w:t>დაინტერესებული მხარეების უკუკავშირი</w:t>
            </w:r>
          </w:p>
        </w:tc>
        <w:tc>
          <w:tcPr>
            <w:tcW w:type="dxa" w:w="2880"/>
          </w:tcPr>
          <w:p>
            <w:r>
              <w:t>კმაყოფილების კვლევის შედეგები; კონსულტაციის პასუხები</w:t>
            </w:r>
          </w:p>
        </w:tc>
        <w:tc>
          <w:tcPr>
            <w:tcW w:type="dxa" w:w="2880"/>
          </w:tcPr>
          <w:p>
            <w:r>
              <w:t>აკრედიტაციის შემდგომი კმაყოფილების მიმოხილვის შედეგების შეჯამება; უკუკავშირი სტანდარტების კონსულტაციის პროცესებიდან</w:t>
            </w:r>
          </w:p>
        </w:tc>
      </w:tr>
      <w:tr>
        <w:tc>
          <w:tcPr>
            <w:tcW w:type="dxa" w:w="2880"/>
          </w:tcPr>
          <w:p>
            <w:r>
              <w:t>წინა მენეჯმენტის მიმოხილვის სტატუსი</w:t>
            </w:r>
          </w:p>
        </w:tc>
        <w:tc>
          <w:tcPr>
            <w:tcW w:type="dxa" w:w="2880"/>
          </w:tcPr>
          <w:p>
            <w:r>
              <w:t>ქმედებების ჟურნალი</w:t>
            </w:r>
          </w:p>
        </w:tc>
        <w:tc>
          <w:tcPr>
            <w:tcW w:type="dxa" w:w="2880"/>
          </w:tcPr>
          <w:p>
            <w:r>
              <w:t>წინა წლიურ მიმოხილვაზე შეთანხმებული თითოეული ქმედების პროგრესი; ღია ქმედებები და შესწორებული ვადები</w:t>
            </w:r>
          </w:p>
        </w:tc>
      </w:tr>
      <w:tr>
        <w:tc>
          <w:tcPr>
            <w:tcW w:type="dxa" w:w="2880"/>
          </w:tcPr>
          <w:p>
            <w:r>
              <w:t>კონტექსტის ცვლილებები</w:t>
            </w:r>
          </w:p>
        </w:tc>
        <w:tc>
          <w:tcPr>
            <w:tcW w:type="dxa" w:w="2880"/>
          </w:tcPr>
          <w:p>
            <w:r>
              <w:t>საჭიროებისამებრ</w:t>
            </w:r>
          </w:p>
        </w:tc>
        <w:tc>
          <w:tcPr>
            <w:tcW w:type="dxa" w:w="2880"/>
          </w:tcPr>
          <w:p>
            <w:r>
              <w:t>იურიდიული/მარეგულირებელი მოთხოვნების ცვლილებები; ISQua EEA კრიტერიუმების ცვლილებები; საოპერაციო გარემოს არსებითი ცვლილებები (მაგალითად, ახალი ბაზრები, სტანდარტის ახალი ტიპები)</w:t>
            </w:r>
          </w:p>
        </w:tc>
      </w:tr>
      <w:tr>
        <w:tc>
          <w:tcPr>
            <w:tcW w:type="dxa" w:w="2880"/>
          </w:tcPr>
          <w:p>
            <w:r>
              <w:t>ხარისხის მიზნებთან შესრულება</w:t>
            </w:r>
          </w:p>
        </w:tc>
        <w:tc>
          <w:tcPr>
            <w:tcW w:type="dxa" w:w="2880"/>
          </w:tcPr>
          <w:p>
            <w:r>
              <w:t>QMS კოორდინატორი</w:t>
            </w:r>
          </w:p>
        </w:tc>
        <w:tc>
          <w:tcPr>
            <w:tcW w:type="dxa" w:w="2880"/>
          </w:tcPr>
          <w:p>
            <w:r>
              <w:t>თითოეული ხარისხის მიზნის გაზომვის შედეგები, რომელიც დაყენებული იყო წინა მიმოხილვაზე</w:t>
            </w:r>
          </w:p>
        </w:tc>
      </w:tr>
      <w:tr>
        <w:tc>
          <w:tcPr>
            <w:tcW w:type="dxa" w:w="2880"/>
          </w:tcPr>
          <w:p>
            <w:r>
              <w:t>გაუმჯობესების რეკომენდაციები</w:t>
            </w:r>
          </w:p>
        </w:tc>
        <w:tc>
          <w:tcPr>
            <w:tcW w:type="dxa" w:w="2880"/>
          </w:tcPr>
          <w:p>
            <w:r>
              <w:t>ყველა მონაწილე</w:t>
            </w:r>
          </w:p>
        </w:tc>
        <w:tc>
          <w:tcPr>
            <w:tcW w:type="dxa" w:w="2880"/>
          </w:tcPr>
          <w:p>
            <w:r>
              <w:t>QMS კოორდინატორის, ADC-ის თავმჯდომარის, SDC-ის თავმჯდომარის ან ნებისმიერი თანამშრომლის მიერ წარდგენილი გაუმჯობესების წინადადებები</w:t>
            </w:r>
          </w:p>
        </w:tc>
      </w:tr>
    </w:tbl>
    <w:p>
      <w:r>
        <w:t>თუ სავალდებულო შესატანისთვის მონაცემები ჯერ არ არსებობს — მაგალითად, თუ მიმოხილვის პერიოდში კმაყოფილების კვლევა არ ჩატარებულა — დოკუმენტაციის ნაკრები აფიქსირებს ამას და ხსნის მიზეზს. შესატანის არარსებობა არ აფერხებს მენეჯმენტის მიმოხილვის ჩატარებას, მაგრამ უფსკრულის მიზეზი აღირიცხება ოქმში და შეთანხმდება ქმედება მის გადასაჭრელად.</w:t>
      </w:r>
    </w:p>
    <w:p>
      <w:pPr>
        <w:pStyle w:val="Heading2"/>
      </w:pPr>
      <w:r>
        <w:t>მიმოხილვის გამომავალი შედეგები და გადაწყვეტილებები</w:t>
      </w:r>
    </w:p>
    <w:p>
      <w:r>
        <w:t>5.1 მენეჯმენტის მიმოხილვა წარმოქმნის დოკუმენტირებულ გადაწყვეტილებებსა და ქმედებებს. მინიმალური სავალდებულო გამომავალი შედეგებია:</w:t>
      </w:r>
    </w:p>
    <w:tbl>
      <w:tblPr>
        <w:tblW w:type="auto" w:w="0"/>
        <w:tblLook w:firstColumn="1" w:firstRow="1" w:lastColumn="0" w:lastRow="0" w:noHBand="0" w:noVBand="1" w:val="04A0"/>
      </w:tblPr>
      <w:tblGrid>
        <w:gridCol w:w="2880"/>
        <w:gridCol w:w="2880"/>
        <w:gridCol w:w="2880"/>
      </w:tblGrid>
      <w:tr>
        <w:tc>
          <w:tcPr>
            <w:tcW w:type="dxa" w:w="2880"/>
          </w:tcPr>
          <w:p>
            <w:r>
              <w:t>გამომავალი კატეგორია</w:t>
            </w:r>
          </w:p>
        </w:tc>
        <w:tc>
          <w:tcPr>
            <w:tcW w:type="dxa" w:w="2880"/>
          </w:tcPr>
          <w:p>
            <w:r>
              <w:t>საჭირო გადაწყვეტილება / შედეგი</w:t>
            </w:r>
          </w:p>
        </w:tc>
        <w:tc>
          <w:tcPr>
            <w:tcW w:type="dxa" w:w="2880"/>
          </w:tcPr>
          <w:p>
            <w:r>
              <w:t>პასუხისმგებელი</w:t>
            </w:r>
          </w:p>
        </w:tc>
      </w:tr>
      <w:tr>
        <w:tc>
          <w:tcPr>
            <w:tcW w:type="dxa" w:w="2880"/>
          </w:tcPr>
          <w:p>
            <w:r>
              <w:t>QMS-ის ვარგისიანობა</w:t>
            </w:r>
          </w:p>
        </w:tc>
        <w:tc>
          <w:tcPr>
            <w:tcW w:type="dxa" w:w="2880"/>
          </w:tcPr>
          <w:p>
            <w:r>
              <w:t>განცხადება იმის შესახებ, რჩება თუ არა განხილული QMS ვარგისი, ადეკვატური და ეფექტური ASF-ის მიზნებისთვის</w:t>
            </w:r>
          </w:p>
        </w:tc>
        <w:tc>
          <w:tcPr>
            <w:tcW w:type="dxa" w:w="2880"/>
          </w:tcPr>
          <w:p>
            <w:r>
              <w:t>ASF-ის პრეზიდენტი</w:t>
            </w:r>
          </w:p>
        </w:tc>
      </w:tr>
      <w:tr>
        <w:tc>
          <w:tcPr>
            <w:tcW w:type="dxa" w:w="2880"/>
          </w:tcPr>
          <w:p>
            <w:r>
              <w:t>ხარისხის მიზნები</w:t>
            </w:r>
          </w:p>
        </w:tc>
        <w:tc>
          <w:tcPr>
            <w:tcW w:type="dxa" w:w="2880"/>
          </w:tcPr>
          <w:p>
            <w:r>
              <w:t>მომავალი მიმოხილვის პერიოდისთვის ხარისხის მიზნების დადგენა ან დადასტურება; თითოეული მიზანი უნდა იყოს კონკრეტული, გაზომვადი და დანიშნული პასუხისმგებელ პირზე</w:t>
            </w:r>
          </w:p>
        </w:tc>
        <w:tc>
          <w:tcPr>
            <w:tcW w:type="dxa" w:w="2880"/>
          </w:tcPr>
          <w:p>
            <w:r>
              <w:t>ASF-ის პრეზიდენტი + QMS კოორდინატორი</w:t>
            </w:r>
          </w:p>
        </w:tc>
      </w:tr>
      <w:tr>
        <w:tc>
          <w:tcPr>
            <w:tcW w:type="dxa" w:w="2880"/>
          </w:tcPr>
          <w:p>
            <w:r>
              <w:t>გაუმჯობესების ქმედებები</w:t>
            </w:r>
          </w:p>
        </w:tc>
        <w:tc>
          <w:tcPr>
            <w:tcW w:type="dxa" w:w="2880"/>
          </w:tcPr>
          <w:p>
            <w:r>
              <w:t>კონკრეტული ქმედებები შეუსაბამობების, რისკების, დაინტერესებული მხარეების უკუკავშირისა და შესრულების ხარვეზების მისამართად; თითოეული ქმედება დანიშნულია დასახელებულ პირზე ვადით</w:t>
            </w:r>
          </w:p>
        </w:tc>
        <w:tc>
          <w:tcPr>
            <w:tcW w:type="dxa" w:w="2880"/>
          </w:tcPr>
          <w:p>
            <w:r>
              <w:t>დანიშნულის მიხედვით</w:t>
            </w:r>
          </w:p>
        </w:tc>
      </w:tr>
      <w:tr>
        <w:tc>
          <w:tcPr>
            <w:tcW w:type="dxa" w:w="2880"/>
          </w:tcPr>
          <w:p>
            <w:r>
              <w:t>რესურსების გადაწყვეტილებები</w:t>
            </w:r>
          </w:p>
        </w:tc>
        <w:tc>
          <w:tcPr>
            <w:tcW w:type="dxa" w:w="2880"/>
          </w:tcPr>
          <w:p>
            <w:r>
              <w:t>გადაწყვეტილებები გაუმჯობესების ქმედებების განსახორციელებლად ან გამოვლენილი QMS ხარვეზების მისამართად საჭირო დამატებითი რესურსების შესახებ</w:t>
            </w:r>
          </w:p>
        </w:tc>
        <w:tc>
          <w:tcPr>
            <w:tcW w:type="dxa" w:w="2880"/>
          </w:tcPr>
          <w:p>
            <w:r>
              <w:t>ASF-ის პრეზიდენტი</w:t>
            </w:r>
          </w:p>
        </w:tc>
      </w:tr>
      <w:tr>
        <w:tc>
          <w:tcPr>
            <w:tcW w:type="dxa" w:w="2880"/>
          </w:tcPr>
          <w:p>
            <w:r>
              <w:t>პოლიტიკისა და დოკუმენტის განახლებები</w:t>
            </w:r>
          </w:p>
        </w:tc>
        <w:tc>
          <w:tcPr>
            <w:tcW w:type="dxa" w:w="2880"/>
          </w:tcPr>
          <w:p>
            <w:r>
              <w:t>ASF-ის მმართველობითი დოკუმენტების სია, რომლებიც უნდა გადაიხედოს ან შეიცვალოს შემდეგ მენეჯმენტის მიმოხილვამდე, აუდიტის შედეგების, რისკის ცვლილებების ან კონტექსტის ცვლილებების საფუძველზე</w:t>
            </w:r>
          </w:p>
        </w:tc>
        <w:tc>
          <w:tcPr>
            <w:tcW w:type="dxa" w:w="2880"/>
          </w:tcPr>
          <w:p>
            <w:r>
              <w:t>QMS კოორდინატორი</w:t>
            </w:r>
          </w:p>
        </w:tc>
      </w:tr>
      <w:tr>
        <w:tc>
          <w:tcPr>
            <w:tcW w:type="dxa" w:w="2880"/>
          </w:tcPr>
          <w:p>
            <w:r>
              <w:t>შემდგომი მიმოხილვის გრაფიკი</w:t>
            </w:r>
          </w:p>
        </w:tc>
        <w:tc>
          <w:tcPr>
            <w:tcW w:type="dxa" w:w="2880"/>
          </w:tcPr>
          <w:p>
            <w:r>
              <w:t>შემდეგი წლიური მენეჯმენტის მიმოხილვის თარიღი; საგანგებო მიმოხილვის ტრიგერები, თუ გამოსადეგია</w:t>
            </w:r>
          </w:p>
        </w:tc>
        <w:tc>
          <w:tcPr>
            <w:tcW w:type="dxa" w:w="2880"/>
          </w:tcPr>
          <w:p>
            <w:r>
              <w:t>ASF-ის პრეზიდენტი</w:t>
            </w:r>
          </w:p>
        </w:tc>
      </w:tr>
    </w:tbl>
    <w:p>
      <w:r>
        <w:t>5.2 ყველა გადაწყვეტილება და ქმედება აღირიცხება მენეჯმენტის მიმოხილვის ოქმში, რომელსაც QMS კოორდინატორი ადგენს შეხვედრიდან 5 სამუშაო დღეში და რომელსაც ASF-ის პრეზიდენტი ამტკიცებს შემდგომი 5 სამუშაო დღის განმავლობაში.</w:t>
      </w:r>
    </w:p>
    <w:p>
      <w:r>
        <w:t>5.3 დამტკიცებული ოქმი ეგზავნება ყველა მონაწილეს და ინახება როგორც QMS ჩანაწერი. ქმედებები შედის QMS კოორდინატორის მიერ წარმოებულ ქმედებების თვალყურის დევნების ჟურნალში, რომელიც განიხილება ყოველ მომდევნო საგანგებო მენეჯმენტის მიმოხილვაზე და შემდეგ წლიურ მიმოხილვაზე.</w:t>
      </w:r>
    </w:p>
    <w:p>
      <w:pPr>
        <w:pStyle w:val="Heading2"/>
      </w:pPr>
      <w:r>
        <w:t>ჩანაწერები</w:t>
      </w:r>
    </w:p>
    <w:p>
      <w:r>
        <w:t>6.1 შემდეგ ჩანაწერებს ინახავს QMS კოორდინატორი მინიმუმ 5 წლის განმავლობაში:</w:t>
      </w:r>
    </w:p>
    <w:p>
      <w:r>
        <w:t>(a) წინასწარი შეხვედრის დოკუმენტაციის ნაკრები თითოეული წლიური და საგანგებო მენეჯმენტის მიმოხილვისთვის;</w:t>
      </w:r>
    </w:p>
    <w:p>
      <w:r>
        <w:t>(b) თითოეული შეხვედრის დასწრების ჩანაწერი;</w:t>
      </w:r>
    </w:p>
    <w:p>
      <w:r>
        <w:t>(c) თითოეული შეხვედრის დამტკიცებული ოქმი;</w:t>
      </w:r>
    </w:p>
    <w:p>
      <w:r>
        <w:t>(d) ქმედებების ჟურნალი და თითოეული მიმოხილვაზე შეთანხმებული ქმედების სტატუსი.</w:t>
      </w:r>
    </w:p>
    <w:p>
      <w:pPr>
        <w:pStyle w:val="Heading2"/>
      </w:pPr>
      <w:r>
        <w:t>ISQua EEA-სთან შესაბამისობა</w:t>
      </w:r>
    </w:p>
    <w:p>
      <w:r>
        <w:t>7.1 ეს პროცედურა მხარს უჭერს ISQua EEA Principle 10 (Quality Management System) მოთხოვნას, რომლის მიხედვითაც აკრედიტაციის ორგანოს უნდა ჰქონდეს სისტემატური პროცესი თავისი QMS-ის შესრულების მიმოსახილავად და გაუმჯობესების შესახებ გადაწყვეტილებების მისაღებად. ASF ISQua EEA Crosswalk-ი (ASF-EV-004) მიუთითებს ამ პროცედურის დებულებებზე შესაბამის EEA კრიტერიუმებზე.</w:t>
      </w:r>
    </w:p>
    <w:p>
      <w:pPr>
        <w:pStyle w:val="Heading2"/>
      </w:pPr>
      <w:r>
        <w:t>წყაროები</w:t>
      </w:r>
    </w:p>
    <w:p>
      <w:r>
        <w:t>[1] ISQua IAP. Principles for Standards. 6th Ed. ISQua EEA, Dublin, 2023.</w:t>
      </w:r>
    </w:p>
    <w:p>
      <w:r>
        <w:t>[2] ISO 9001:2015 — Quality Management Systems: Requirements. §9.3 Management Review. ISO, Geneva, 2015.</w:t>
      </w:r>
    </w:p>
    <w:p>
      <w:r>
        <w:t>[3] ISO/IEC 17021-1:2015 — Conformity Assessment. §9.8 Management Reviews. ISO, Geneva, 2015.</w:t>
      </w:r>
    </w:p>
    <w:p>
      <w:r>
        <w:t>[4] ISO 19011:2018 — Guidelines for Auditing Management Systems. ISO, Geneva, 2018.</w:t>
      </w:r>
    </w:p>
    <w:p>
      <w:r>
        <w:t>[5] Accreditation Canada. Management Review Procedure. ISQua EEA Accredited Document, 2022.</w:t>
      </w:r>
    </w:p>
    <w:p>
      <w:r>
        <w:t>[6] HQACI. Management Review Procedure. ISQua EEA Accredited Document, 2026.</w:t>
      </w:r>
    </w:p>
    <w:p>
      <w:r>
        <w:t>[7] Shaw CD et al. Profiling health-care accreditation organisations. Int J Qual Health Care. 2013;25(3):222–231.</w:t>
      </w:r>
    </w:p>
    <w:p>
      <w:r>
        <w:t>[8] Greenfield D, Braithwaite J. Health sector accreditation research. Int J Qual Health Care. 2008;20(3):172–183.</w:t>
      </w:r>
    </w:p>
    <w:p>
      <w:r>
        <w:t>[9] Pomey MP et al. Accreditation: a tool for organisational change in hospitals? Int J Health Care Qual Assur. 2004;17(3):113–124.</w:t>
      </w:r>
    </w:p>
    <w:p>
      <w:r>
        <w:t>[10] European Foundation for Quality Management. EFQM Excellence Model 2020. EFQM, Brussels, 2019.</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ASF-QMS-002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