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BLD-SOP-006: Emergency release of blood before full compatibility</w:t>
      </w:r>
      <w:r/>
      <w:r/>
      <w:r/>
      <w:r/>
      <w:r/>
      <w:r/>
      <w:r/>
      <w:r/>
      <w:r/>
      <w:r/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სტანდარტული საოპერაციო პროცედურა</w:t>
            </w:r>
          </w:p>
          <w:p>
            <w:pPr>
              <w:pStyle w:val="Compact"/>
              <w:jc w:val="left"/>
            </w:pPr>
            <w:r>
              <w:t>Emergency release of blood before full compatibility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BLD-SOP-006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Standard 5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Standard operating procedures (SOPs)</w:t>
        </w:r>
      </w:hyperlink>
    </w:p>
    <w:p>
      <w:pPr>
        <w:pStyle w:val="BodyText"/>
      </w:pPr>
      <w:r>
        <w:t>სტანდარტული საოპერაციო პროცედურა (SOP) · BLD-SOP-006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5.9</w:t>
        </w:r>
      </w:hyperlink>
    </w:p>
    <w:p>
      <w:pPr>
        <w:pStyle w:val="BodyText"/>
      </w:pPr>
      <w:r>
        <w:t>მოკლედ</w:t>
      </w:r>
    </w:p>
    <w:p>
      <w:pPr>
        <w:numPr>
          <w:ilvl w:val="0"/>
          <w:numId w:val="1001"/>
        </w:numPr>
        <w:pStyle w:val="Compact"/>
      </w:pPr>
      <w:r>
        <w:t>გადაუდებელ გათავისუფლებას უფლებას აძლევს მხოლოდ დასახელებული უფროსი ექიმი.</w:t>
      </w:r>
    </w:p>
    <w:p>
      <w:pPr>
        <w:numPr>
          <w:ilvl w:val="0"/>
          <w:numId w:val="1001"/>
        </w:numPr>
        <w:pStyle w:val="Compact"/>
      </w:pPr>
      <w:r>
        <w:t>შემოწმებები, რომლებიც კვლავ უნდა ჩატარდეს, დაწერილია და სრულდება გათავისუფლებამდე.</w:t>
      </w:r>
    </w:p>
    <w:p>
      <w:pPr>
        <w:numPr>
          <w:ilvl w:val="0"/>
          <w:numId w:val="1001"/>
        </w:numPr>
        <w:pStyle w:val="Compact"/>
      </w:pPr>
      <w:r>
        <w:t>გათავისუფლება პაციენტისთვის ფიქსირდება მიზეზით.</w:t>
      </w:r>
    </w:p>
    <w:p>
      <w:pPr>
        <w:numPr>
          <w:ilvl w:val="0"/>
          <w:numId w:val="1001"/>
        </w:numPr>
        <w:pStyle w:val="Compact"/>
      </w:pPr>
      <w:r>
        <w:t>გამოუყენებელი ერთეულები დაბრუნდება და შემოწმდება პროცედურით დადგენილი წესით.</w:t>
      </w:r>
    </w:p>
    <w:p>
      <w:pPr>
        <w:numPr>
          <w:ilvl w:val="0"/>
          <w:numId w:val="1001"/>
        </w:numPr>
        <w:pStyle w:val="Compact"/>
      </w:pPr>
      <w:r>
        <w:t>დაუყოვნებლივ შეაჩერეთ საქმიანობა და გამოიძახეთ დახმარება, თუ: სისხლი გაიცა გადაუდებლად დასახელებული უფლებამოსილი პირის გარეშე ან პაციენტისთვის ჩანაწერის გარეშე.</w:t>
      </w:r>
    </w:p>
    <w:bookmarkStart w:id="24" w:name="purpose"/>
    <w:p>
      <w:pPr>
        <w:pStyle w:val="Heading2"/>
      </w:pPr>
      <w:r>
        <w:t>1. დანიშნულება</w:t>
      </w:r>
    </w:p>
    <w:p>
      <w:pPr>
        <w:pStyle w:val="FirstParagraph"/>
      </w:pPr>
      <w:r>
        <w:t>სისხლის უსაფრთხოდ გათავისუფლება გადაუდებელ შემთხვევაში, ყოველი გადაწყვეტილების დაფიქსირებით (5.9).</w:t>
      </w:r>
    </w:p>
    <w:bookmarkEnd w:id="24"/>
    <w:bookmarkStart w:id="25" w:name="scope"/>
    <w:p>
      <w:pPr>
        <w:pStyle w:val="Heading2"/>
      </w:pPr>
      <w:r>
        <w:t>2. მოქმედების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საავადმყოფოს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ადგილმდებარეობა</w:t>
            </w:r>
          </w:p>
        </w:tc>
        <w:tc>
          <w:tcPr/>
          <w:p>
            <w:pPr>
              <w:pStyle w:val="Compact"/>
              <w:jc w:val="left"/>
            </w:pPr>
            <w:r>
              <w:t>ობიექტის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 ჯერზე, როცა აღწერილი საქმიანობა სრულდება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>საქმიანობა, რომელსაც ფარავს სხვა დოკუმენტი, რომელიც ჩამოთვლილია მე-15 განყოფილებაში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5"/>
    <w:bookmarkStart w:id="26" w:name="definitions"/>
    <w:p>
      <w:pPr>
        <w:pStyle w:val="Heading2"/>
      </w:pPr>
      <w:r>
        <w:t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>ექიმი ან ექთანი, რომელიც ამ დროს უბნის პასუხისმგებელია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background"/>
    <w:p>
      <w:pPr>
        <w:pStyle w:val="Heading2"/>
      </w:pPr>
      <w:r>
        <w:t>4. ფონი</w:t>
      </w:r>
    </w:p>
    <w:p>
      <w:pPr>
        <w:pStyle w:val="FirstParagraph"/>
      </w:pPr>
      <w:r>
        <w:t>ზოგჯერ სისხლი ყველა ტესტის დასრულებამდე უნდა გათავისუფლდეს, რადგან პაციენტს სისხლდენა აქვს. ეს უსაფრთხოა მხოლოდ მაშინ, როცა წერილობითი პროცედურა განსაზღვრავს, ვის შეუძლია უფლების მიცემა, და ყოველი გათავისუფლება ფიქსირდება და განიხილება.</w:t>
      </w:r>
    </w:p>
    <w:bookmarkEnd w:id="27"/>
    <w:bookmarkStart w:id="28" w:name="responsibilities"/>
    <w:p>
      <w:pPr>
        <w:pStyle w:val="Heading2"/>
      </w:pPr>
      <w:r>
        <w:t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როლი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დასახელებული უფროსი ექიმი</w:t>
            </w:r>
          </w:p>
        </w:tc>
        <w:tc>
          <w:tcPr/>
          <w:p>
            <w:pPr>
              <w:pStyle w:val="Compact"/>
              <w:jc w:val="left"/>
            </w:pPr>
            <w:r>
              <w:t>ამტკიცებს გათავისუფლებას</w:t>
            </w:r>
          </w:p>
        </w:tc>
        <w:tc>
          <w:tcPr/>
          <w:p>
            <w:pPr>
              <w:pStyle w:val="Compact"/>
              <w:jc w:val="left"/>
            </w:pPr>
            <w:r>
              <w:t>ექიმი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სისხლის ბანკის ტექნიკოსი</w:t>
            </w:r>
          </w:p>
        </w:tc>
        <w:tc>
          <w:tcPr/>
          <w:p>
            <w:pPr>
              <w:pStyle w:val="Compact"/>
              <w:jc w:val="left"/>
            </w:pPr>
            <w:r>
              <w:t>ატარებს კვლავ საჭირო შემოწმებებს და ფიქსირებს მათ</w:t>
            </w:r>
          </w:p>
        </w:tc>
        <w:tc>
          <w:tcPr/>
          <w:p>
            <w:pPr>
              <w:pStyle w:val="Compact"/>
              <w:jc w:val="left"/>
            </w:pPr>
            <w:r>
              <w:t>ტექნიკოსი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materials-and-equipment"/>
    <w:p>
      <w:pPr>
        <w:pStyle w:val="Heading2"/>
      </w:pPr>
      <w:r>
        <w:t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ნივთი</w:t>
            </w:r>
          </w:p>
        </w:tc>
        <w:tc>
          <w:tcPr/>
          <w:p>
            <w:pPr>
              <w:pStyle w:val="Compact"/>
              <w:jc w:val="left"/>
            </w:pPr>
            <w:r>
              <w:t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მითითებული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მოწმდება გამოყენებამდე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9"/>
    <w:bookmarkStart w:id="30" w:name="safety"/>
    <w:p>
      <w:pPr>
        <w:pStyle w:val="Heading2"/>
      </w:pPr>
      <w:r>
        <w:t>7. უსაფრთხოება</w:t>
      </w:r>
    </w:p>
    <w:p>
      <w:pPr>
        <w:numPr>
          <w:ilvl w:val="0"/>
          <w:numId w:val="1002"/>
        </w:numPr>
        <w:pStyle w:val="Compact"/>
      </w:pPr>
      <w:r>
        <w:t>თუ პაციენტი პირდაპირ საფრთხის ქვეშაა, შეაჩერეთ საქმიანობა და გამოიძახეთ დახმარება. გადაუდებელი მოვლა არ გადადოთ დოკუმენტაციის შევსების გამო.</w:t>
      </w:r>
    </w:p>
    <w:bookmarkEnd w:id="30"/>
    <w:bookmarkStart w:id="31" w:name="before-you-start"/>
    <w:p>
      <w:pPr>
        <w:pStyle w:val="Heading2"/>
      </w:pPr>
      <w:r>
        <w:t>8. სანამ დაიწყებთ</w:t>
      </w:r>
    </w:p>
    <w:p>
      <w:pPr>
        <w:numPr>
          <w:ilvl w:val="0"/>
          <w:numId w:val="1003"/>
        </w:numPr>
        <w:pStyle w:val="Compact"/>
      </w:pPr>
      <w:r>
        <w:t>დარწმუნდით, რომ ამ დოკუმენტში მითითებული ფორმები და აღჭურვილობა ხელმისაწვდომი და მიმდინარეა.</w:t>
      </w:r>
    </w:p>
    <w:bookmarkEnd w:id="31"/>
    <w:bookmarkStart w:id="32" w:name="procedure"/>
    <w:p>
      <w:pPr>
        <w:pStyle w:val="Heading2"/>
      </w:pPr>
      <w:r>
        <w:t>9. პროცედურა</w:t>
      </w:r>
    </w:p>
    <w:p>
      <w:pPr>
        <w:pStyle w:val="FirstParagraph"/>
      </w:pPr>
      <w:r>
        <w:t>ნაბიჯი 1. უფლების მიცემა.</w:t>
      </w:r>
    </w:p>
    <w:p>
      <w:pPr>
        <w:numPr>
          <w:ilvl w:val="0"/>
          <w:numId w:val="1004"/>
        </w:numPr>
        <w:pStyle w:val="Compact"/>
      </w:pPr>
      <w:r>
        <w:t>დასახელებული უფროსი ექიმი უფლებას აძლევს წერილობით ან დადგენილი წესით, მიზეზის მითითებით (BLD-FRM-004).</w:t>
      </w:r>
    </w:p>
    <w:p>
      <w:pPr>
        <w:pStyle w:val="FirstParagraph"/>
      </w:pPr>
      <w:r>
        <w:rPr>
          <w:bCs/>
          <w:b/>
        </w:rPr>
        <w:t>მთავარი: დასახელებული და დაფიქსირებული.</w:t>
      </w:r>
      <w:r/>
      <w:r/>
    </w:p>
    <w:p>
      <w:pPr>
        <w:pStyle w:val="BodyText"/>
      </w:pPr>
      <w:r>
        <w:t>ნაბიჯი 2. შემოწმება.</w:t>
      </w:r>
    </w:p>
    <w:p>
      <w:pPr>
        <w:numPr>
          <w:ilvl w:val="0"/>
          <w:numId w:val="1005"/>
        </w:numPr>
        <w:pStyle w:val="Compact"/>
      </w:pPr>
      <w:r>
        <w:t>ჩაატარეთ კვლავ საჭირო შემოწმებები, მაგალითად ჯგუფისა და ნიმუშის შემოწმება, და დააფიქსირეთ ისინი.</w:t>
      </w:r>
    </w:p>
    <w:p>
      <w:pPr>
        <w:pStyle w:val="FirstParagraph"/>
      </w:pPr>
      <w:r>
        <w:rPr>
          <w:bCs/>
          <w:b/>
        </w:rPr>
        <w:t>მთავარი: ზოგიერთი შემოწმება კვლავ სრულდება.</w:t>
      </w:r>
      <w:r/>
      <w:r/>
    </w:p>
    <w:p>
      <w:pPr>
        <w:pStyle w:val="BodyText"/>
      </w:pPr>
      <w:r>
        <w:t>ნაბიჯი 3. ჩაწერა და დაბრუნება.</w:t>
      </w:r>
    </w:p>
    <w:p>
      <w:pPr>
        <w:numPr>
          <w:ilvl w:val="0"/>
          <w:numId w:val="1006"/>
        </w:numPr>
        <w:pStyle w:val="Compact"/>
      </w:pPr>
      <w:r>
        <w:t>დააფიქსირეთ პაციენტისთვის გათავისუფლება და დააბრუნეთ და შეამოწმეთ ნებისმიერი გამოუყენებელი ერთეული პროცედურით დადგენილი წესით.</w:t>
      </w:r>
    </w:p>
    <w:p>
      <w:pPr>
        <w:pStyle w:val="FirstParagraph"/>
      </w:pPr>
      <w:r>
        <w:rPr>
          <w:bCs/>
          <w:b/>
        </w:rPr>
        <w:t>მთავარი: ყოველი ერთეული აღრიცხულია.</w:t>
      </w:r>
      <w:r/>
      <w:r/>
    </w:p>
    <w:bookmarkEnd w:id="32"/>
    <w:bookmarkStart w:id="33" w:name="decision-points"/>
    <w:p>
      <w:pPr>
        <w:pStyle w:val="Heading2"/>
      </w:pPr>
      <w:r>
        <w:t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>ამ პროცედურაში გადაწყვეტილების წერტილები არ არის.</w:t>
      </w:r>
    </w:p>
    <w:bookmarkEnd w:id="33"/>
    <w:bookmarkStart w:id="34" w:name="special-situations"/>
    <w:p>
      <w:pPr>
        <w:pStyle w:val="Heading2"/>
      </w:pPr>
      <w:r>
        <w:t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არასამუშაო საათები</w:t>
            </w:r>
          </w:p>
        </w:tc>
        <w:tc>
          <w:tcPr/>
          <w:p>
            <w:pPr>
              <w:pStyle w:val="Compact"/>
              <w:jc w:val="left"/>
            </w:pPr>
            <w:r>
              <w:t>მიჰყევით იმავე ნაბიჯებს. გამოიყენეთ უბნის კედელზე მითითებული მორიგე საკონტაქტო პირი.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4"/>
    <w:bookmarkStart w:id="35" w:name="escalation"/>
    <w:p>
      <w:pPr>
        <w:pStyle w:val="Heading2"/>
      </w:pPr>
      <w:r>
        <w:t>12. ესკალაცია</w:t>
      </w:r>
    </w:p>
    <w:p>
      <w:pPr>
        <w:numPr>
          <w:ilvl w:val="0"/>
          <w:numId w:val="1008"/>
        </w:numPr>
        <w:pStyle w:val="Compact"/>
      </w:pPr>
      <w:r>
        <w:t>ყოველი სერიოზული პრობლემა დაუყოვნებლივ ეცნობება მორიგე კლინიკურ ხელმძღვანელს, ხოლო იმავე დღეს — კლინიკურ დირექტორს.</w:t>
      </w:r>
    </w:p>
    <w:bookmarkEnd w:id="35"/>
    <w:bookmarkStart w:id="36" w:name="monitoring"/>
    <w:p>
      <w:pPr>
        <w:pStyle w:val="Heading2"/>
      </w:pPr>
      <w:r>
        <w:t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სამიზნე 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გადაუდებელი გათავისუფლებები, დაფიქსირებული უფლებამოსილი პირითა და მიზეზით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>სისხლის ბანკის დირექტორი</w:t>
            </w:r>
          </w:p>
        </w:tc>
        <w:tc>
          <w:tcPr/>
          <w:p>
            <w:pPr>
              <w:pStyle w:val="Compact"/>
              <w:jc w:val="left"/>
            </w:pPr>
            <w:r>
              <w:t>ესკალაცია მმართველ ორგანოში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განხილული გადაუდებელი გათავისუფლებები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>ყოველკვარტალურად</w:t>
            </w:r>
          </w:p>
        </w:tc>
        <w:tc>
          <w:tcPr/>
          <w:p>
            <w:pPr>
              <w:pStyle w:val="Compact"/>
              <w:jc w:val="left"/>
            </w:pPr>
            <w:r>
              <w:t>სისხლის ბანკის დირექტორი</w:t>
            </w:r>
          </w:p>
        </w:tc>
        <w:tc>
          <w:tcPr/>
          <w:p>
            <w:pPr>
              <w:pStyle w:val="Compact"/>
              <w:jc w:val="left"/>
            </w:pPr>
            <w:r>
              <w:t>ესკალაცია მმართველ ორგანოში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6"/>
    <w:bookmarkStart w:id="37" w:name="records"/>
    <w:p>
      <w:pPr>
        <w:pStyle w:val="Heading2"/>
      </w:pPr>
      <w:r>
        <w:t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ამ დოკუმენტში მითითებული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>პაციენტის ჩანაწერი ან უბნის საქმე</w:t>
            </w:r>
          </w:p>
        </w:tc>
        <w:tc>
          <w:tcPr/>
          <w:p>
            <w:pPr>
              <w:pStyle w:val="Compact"/>
              <w:jc w:val="left"/>
            </w:pPr>
            <w:r>
              <w:t>ობიექტის ჩანაწერების წესით განსაზღვრული ვადა, წლებში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37"/>
    <w:bookmarkStart w:id="38" w:name="training"/>
    <w:p>
      <w:pPr>
        <w:pStyle w:val="Heading2"/>
      </w:pPr>
      <w:r>
        <w:t>15. ტრენინგი</w:t>
      </w:r>
    </w:p>
    <w:p>
      <w:pPr>
        <w:numPr>
          <w:ilvl w:val="0"/>
          <w:numId w:val="1009"/>
        </w:numPr>
        <w:pStyle w:val="Compact"/>
      </w:pPr>
      <w:r>
        <w:t>პერსონალი ამ დოკუმენტში ვარჯიშდება სამსახურში მიღებისას და ყოველ წელს ახლდება, დაფიქსირებული კომპეტენციის შემოწმებით.</w:t>
      </w:r>
    </w:p>
    <w:bookmarkEnd w:id="38"/>
    <w:bookmarkStart w:id="40" w:name="related-documents"/>
    <w:p>
      <w:pPr>
        <w:pStyle w:val="Heading2"/>
      </w:pPr>
      <w:r>
        <w:t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BLD-FRM-004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>Emergency release record</w:t>
            </w:r>
          </w:p>
        </w:tc>
        <w:tc>
          <w:tcPr/>
          <w:p>
            <w:pPr>
              <w:pStyle w:val="Compact"/>
              <w:jc w:val="left"/>
            </w:pPr>
            <w:r>
              <w:t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MED-01</w:t>
            </w:r>
          </w:p>
        </w:tc>
        <w:tc>
          <w:tcPr/>
          <w:p>
            <w:pPr>
              <w:pStyle w:val="Compact"/>
              <w:jc w:val="left"/>
            </w:pPr>
            <w:r>
              <w:t>Medical emergency protocol development</w:t>
            </w:r>
          </w:p>
        </w:tc>
        <w:tc>
          <w:tcPr/>
          <w:p>
            <w:pPr>
              <w:pStyle w:val="Compact"/>
              <w:jc w:val="left"/>
            </w:pPr>
            <w:r>
              <w:t>კურსი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0"/>
    <w:bookmarkStart w:id="41" w:name="evidence"/>
    <w:p>
      <w:pPr>
        <w:pStyle w:val="Heading2"/>
      </w:pPr>
      <w:r>
        <w:t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>დაფუძნებულია ევროპის საბჭოს სახელმძღვანელოზე Guide to the Preparation, Use and Quality Assurance of Blood Components.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Adapted.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Expert Committee consensus.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1"/>
    <w:bookmarkStart w:id="42" w:name="change-history"/>
    <w:p>
      <w:pPr>
        <w:pStyle w:val="Heading2"/>
      </w:pPr>
      <w:r>
        <w:t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42"/>
    <w:bookmarkStart w:id="44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10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10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p>
      <w:pPr>
        <w:pStyle w:val="FirstParagraph"/>
      </w:pPr>
      <w:hyperlink r:id="rId43">
        <w:r>
          <w:rPr>
            <w:rStyle w:val="Hyperlink"/>
          </w:rPr>
          <w:t xml:space="preserve">Download this document as PDF</w:t>
        </w:r>
      </w:hyperlink>
    </w:p>
    <w:bookmarkEnd w:id="44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39" Type="http://schemas.openxmlformats.org/officeDocument/2006/relationships/hyperlink" Target="/documents/bld-frm-004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5/" TargetMode="External"/><Relationship Id="rId23" Type="http://schemas.openxmlformats.org/officeDocument/2006/relationships/hyperlink" Target="/standards/standard-5/#c5-9" TargetMode="External"/><Relationship Id="rId43" Type="http://schemas.openxmlformats.org/officeDocument/2006/relationships/hyperlink" Target="https://france-asf.fr/wp-content/uploads/2026/10/bld-sop-006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39" Type="http://schemas.openxmlformats.org/officeDocument/2006/relationships/hyperlink" Target="/documents/bld-frm-004/" TargetMode="External"/><Relationship Id="rId22" Type="http://schemas.openxmlformats.org/officeDocument/2006/relationships/hyperlink" Target="/resources/sop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5/" TargetMode="External"/><Relationship Id="rId23" Type="http://schemas.openxmlformats.org/officeDocument/2006/relationships/hyperlink" Target="/standards/standard-5/#c5-9" TargetMode="External"/><Relationship Id="rId43" Type="http://schemas.openxmlformats.org/officeDocument/2006/relationships/hyperlink" Target="https://france-asf.fr/wp-content/uploads/2026/10/bld-sop-00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BLD-SOP-006: Emergency release of blood before full compatibility</dc:title>
  <dc:creator/>
  <cp:keywords/>
  <dcterms:created xsi:type="dcterms:W3CDTF">2026-10-28T21:34:11Z</dcterms:created>
  <dcterms:modified xsi:type="dcterms:W3CDTF">2026-10-28T21:34:11Z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