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CAN-POL-001: გულწრფელობის მოვალეობისა და გამჟღავნების პოლიტიკა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გულწრფელობის მოვალეობისა და გამჟღავნების პოლიტიკა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CAN-POL-001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CAN-POL-001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B2.14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როცა პაციენტი მოვლით ზიანდება, დაწესებულება ამის შესახებ პაციენტს და, საჭიროებისამებრ, მის ოჯახს დროულად ატყობინებს.</w:t>
      </w:r>
    </w:p>
    <w:p>
      <w:pPr>
        <w:numPr>
          <w:ilvl w:val="0"/>
          <w:numId w:val="1001"/>
        </w:numPr>
        <w:pStyle w:val="Compact"/>
      </w:pPr>
      <w:r>
        <w:t>გამჟღავნება განმარტავს, რა მოხდა, რა არის ცნობილი ამ ეტაპზე, რა გაკეთდება, და შეიცავს მკაფიო ბოდიშს.</w:t>
      </w:r>
    </w:p>
    <w:p>
      <w:pPr>
        <w:numPr>
          <w:ilvl w:val="0"/>
          <w:numId w:val="1001"/>
        </w:numPr>
        <w:pStyle w:val="Compact"/>
      </w:pPr>
      <w:r>
        <w:t>გამჟღავნება აღირიცხება, ხოლო წერილობითი შეჯამება მმართველი ორგანოს მიერ დადგენილ ვადაში მოჰყვება.</w:t>
      </w:r>
    </w:p>
    <w:p>
      <w:pPr>
        <w:numPr>
          <w:ilvl w:val="0"/>
          <w:numId w:val="1001"/>
        </w:numPr>
        <w:pStyle w:val="Compact"/>
      </w:pPr>
      <w:r>
        <w:t>მზრუნველობით დაზიანებულ თანამშრომლებს დახმარება ეძლევათ, და გამჟღავნება არასოდეს იგვიანებს დაწესებულების დასაცავად.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პაციენტს, რომელსაც მოვლამ ზიანი მიაყენა, არ ატყობინებენ, ან გამჟღავნება ხდება ბოდიშისა და შემდგომი ნაბიჯების აღწერის გარეშე.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პაციენტებსა და მათ ოჯახებს ღიად და დროულად ეცნობოთ, როცა მოვლით დაზიანდებიან, და მიიღონ ბოდიში და მკაფიო ინფორმაცია იმის შესახებ, რა მოხდება შემდეგ (B2.14).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ზიანი</w:t>
            </w:r>
          </w:p>
        </w:tc>
        <w:tc>
          <w:tcPr/>
          <w:p>
            <w:pPr>
              <w:pStyle w:val="Compact"/>
              <w:jc w:val="left"/>
            </w:pPr>
            <w:r>
              <w:t>ნებისმიერი უნებლიე ან მოულოდნელი ტრავმა ან ზიანი პაციენტისთვის, რომელიც გამოწვეულია მისი მოვლით და იწვევს ან შეიძლება გამოიწვიოს დამატებითი მკურნალობის, მოვლის დამატებითი დროის ან ხანგრძლივი შედეგის საჭიროება.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გამჟღავნება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საუბარი, რომელშიც დაწესებულება პაციენტს ან ოჯახს ატყობინებს, რა მოხდა და რას გააკეთებს.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ბოდიში</w:t>
            </w:r>
          </w:p>
        </w:tc>
        <w:tc>
          <w:tcPr/>
          <w:p>
            <w:pPr>
              <w:pStyle w:val="Compact"/>
              <w:jc w:val="left"/>
            </w:pPr>
            <w:r>
              <w:t>მკაფიო განცხადება, რომ დაწესებულება ბოდიშს იხდის იმის გამო, რომ ზიანი მოხდა. ეს არ არის იურიდიული პასუხისმგებლობის აღიარება და ამ მიზეზით არ იმალება.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კლინიცისტი, რომელსაც მოვლის ყველაზე პირდაპირი ცოდნა აქვს და რომელიც მენეჯერის მხარდაჭერით ხელმძღვანელობს გამჟღავნებას.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იმისთვის, რომ პაციენტებსა და მათ ოჯახებს ღიად და დროულად ეცნობოთ, როცა მოვლით დაზიანდებიან, და მიიღონ ბოდიში და მკაფიო ინფორმაცია იმის შესახებ, რა მოხდება შემდეგ (B2.14).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უზრუნველყოფს, რომ პოლიტიკას მიჰყვებიან, ყოველ კვარტალში ხელახლა იხილავს ყოველ გამჟღავნებას და ანგარიშს აბარებს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ხელმძღვანელობს გამჟღავნების საუბარს, ბოდიშს იხდის და წერს შეჯამებას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ან დეპარტამენტის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ეხმარება კლინიცისტს, ამზადებს შეხვედრას და აღრიცხავს გამჟღავნებას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ინახავს გამჟღავნების რეგისტრს და ამოწმებს ვადებს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დაადგინეთ.</w:t>
      </w:r>
    </w:p>
    <w:p>
      <w:pPr>
        <w:numPr>
          <w:ilvl w:val="0"/>
          <w:numId w:val="1004"/>
        </w:numPr>
        <w:pStyle w:val="Compact"/>
      </w:pPr>
      <w:r>
        <w:t>ინციდენტის მიმოხილვის ფარგლებში დაახარისხეთ ყოველი ინციდენტი, რომელმაც პაციენტს ზიანი მიაყენა.</w:t>
      </w:r>
    </w:p>
    <w:p>
      <w:pPr>
        <w:numPr>
          <w:ilvl w:val="0"/>
          <w:numId w:val="1004"/>
        </w:numPr>
        <w:pStyle w:val="Compact"/>
      </w:pPr>
      <w:r>
        <w:t>ნებისმიერი მძიმე ზიანის შემთხვევაში იმავე დღეს აცნობეთ კლინიკურ დირექტორს.</w:t>
      </w:r>
    </w:p>
    <w:p>
      <w:pPr>
        <w:pStyle w:val="FirstParagraph"/>
      </w:pPr>
      <w:r>
        <w:rPr>
          <w:bCs/>
          <w:b/>
        </w:rPr>
        <w:t>მთავარი დებულება: ზიანი გამოვლენილია.</w:t>
      </w:r>
      <w:r/>
      <w:r/>
    </w:p>
    <w:p>
      <w:pPr>
        <w:pStyle w:val="BodyText"/>
      </w:pPr>
      <w:r>
        <w:t>ეტაპი 2. დაგეგმეთ.</w:t>
      </w:r>
    </w:p>
    <w:p>
      <w:pPr>
        <w:numPr>
          <w:ilvl w:val="0"/>
          <w:numId w:val="1005"/>
        </w:numPr>
        <w:pStyle w:val="Compact"/>
      </w:pPr>
      <w:r>
        <w:t>დაასახელეთ პასუხისმგებელი კლინიცისტი და მენეჯერი, რომელიც მათ მხარს დაუჭერს.</w:t>
      </w:r>
    </w:p>
    <w:p>
      <w:pPr>
        <w:numPr>
          <w:ilvl w:val="0"/>
          <w:numId w:val="1005"/>
        </w:numPr>
        <w:pStyle w:val="Compact"/>
      </w:pPr>
      <w:r>
        <w:t>მოაწყვეთ კერძო შეხვედრა დროს, როცა პაციენტი და ოჯახი შეძლებს დასწრებას, საჭიროებისას თარჯიმნით.</w:t>
      </w:r>
    </w:p>
    <w:p>
      <w:pPr>
        <w:pStyle w:val="FirstParagraph"/>
      </w:pPr>
      <w:r>
        <w:rPr>
          <w:bCs/>
          <w:b/>
        </w:rPr>
        <w:t>მთავარი დებულება: შეხვედრა დაგეგმილია.</w:t>
      </w:r>
      <w:r/>
      <w:r/>
    </w:p>
    <w:p>
      <w:pPr>
        <w:pStyle w:val="BodyText"/>
      </w:pPr>
      <w:r>
        <w:t>ეტაპი 3. გაამჟღავნეთ.</w:t>
      </w:r>
    </w:p>
    <w:p>
      <w:pPr>
        <w:numPr>
          <w:ilvl w:val="0"/>
          <w:numId w:val="1006"/>
        </w:numPr>
        <w:pStyle w:val="Compact"/>
      </w:pPr>
      <w:r>
        <w:t>ახსენით, რა მოხდა, რა არის ცნობილი ამ ეტაპზე და რას გააკეთებს დაწესებულება შემდეგ.</w:t>
      </w:r>
    </w:p>
    <w:p>
      <w:pPr>
        <w:numPr>
          <w:ilvl w:val="0"/>
          <w:numId w:val="1006"/>
        </w:numPr>
        <w:pStyle w:val="Compact"/>
      </w:pPr>
      <w:r>
        <w:t>მიეცით მკაფიო, გულწრფელი ბოდიში და მოუწოდეთ შეკითხვებს.</w:t>
      </w:r>
    </w:p>
    <w:p>
      <w:pPr>
        <w:numPr>
          <w:ilvl w:val="0"/>
          <w:numId w:val="1006"/>
        </w:numPr>
        <w:pStyle w:val="Compact"/>
      </w:pPr>
      <w:r>
        <w:t>აღრიცხეთ თარიღი, დამსწრე პირები, ნათქვამი და დასმული კითხვები.</w:t>
      </w:r>
    </w:p>
    <w:p>
      <w:pPr>
        <w:pStyle w:val="FirstParagraph"/>
      </w:pPr>
      <w:r>
        <w:rPr>
          <w:bCs/>
          <w:b/>
        </w:rPr>
        <w:t>მთავარი დებულება: გამჟღავნება შესრულებულია და აღირიცხა.</w:t>
      </w:r>
      <w:r/>
      <w:r/>
    </w:p>
    <w:p>
      <w:pPr>
        <w:pStyle w:val="BodyText"/>
      </w:pPr>
      <w:r>
        <w:t>ეტაპი 4. დაწერეთ და მიჰყევით.</w:t>
      </w:r>
    </w:p>
    <w:p>
      <w:pPr>
        <w:numPr>
          <w:ilvl w:val="0"/>
          <w:numId w:val="1007"/>
        </w:numPr>
        <w:pStyle w:val="Compact"/>
      </w:pPr>
      <w:r>
        <w:t>მმართველი ორგანოს მიერ დადგენილ ვადაში, ნებისმიერ შემთხვევაში 10 სამუშაო დღეში, გაუგზავნეთ პაციენტს წერილობითი შეჯამება.</w:t>
      </w:r>
    </w:p>
    <w:p>
      <w:pPr>
        <w:numPr>
          <w:ilvl w:val="0"/>
          <w:numId w:val="1007"/>
        </w:numPr>
        <w:pStyle w:val="Compact"/>
      </w:pPr>
      <w:r>
        <w:t>შეჯამების თარიღი აღრიცხეთ გამჟღავნების რეგისტრში (CAN-REG-001). შემდეგ ხარისხის შეხვედრაზე განიხილეთ, რა ისწავლეთ.</w:t>
      </w:r>
    </w:p>
    <w:p>
      <w:pPr>
        <w:pStyle w:val="FirstParagraph"/>
      </w:pPr>
      <w:r>
        <w:rPr>
          <w:bCs/>
          <w:b/>
        </w:rPr>
        <w:t>მთავარი დებულება: შეჯამება გაიგზავნა და შემდგომი შემოწმება აღირიცხა.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ზიანის ინციდენტები გამჟღავნების ჩანაწერით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გამჟღავნებები დადგენილ ვადაში გაკეთდა</w:t>
            </w:r>
          </w:p>
        </w:tc>
        <w:tc>
          <w:tcPr/>
          <w:p>
            <w:pPr>
              <w:pStyle w:val="Compact"/>
              <w:jc w:val="left"/>
            </w:pPr>
            <w:r>
              <w:t>90% ან მეტი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განიხილეთ პროცესი ჩართულ მენეჯერებთან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გამჟღავნებები ბოდიშითა და შემდგომი ნაბიჯების აღწერით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ჩართული კლინიცისტების ხელახალი სწავლება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კლინიცისტები ინდუქციისას და ყოველ ორ წელიწადში გადიან სწავლებას ზიანისა და ბოდიშის კომუნიკაციაში.</w:t>
      </w:r>
    </w:p>
    <w:p>
      <w:pPr>
        <w:numPr>
          <w:ilvl w:val="0"/>
          <w:numId w:val="1010"/>
        </w:numPr>
        <w:pStyle w:val="Compact"/>
      </w:pPr>
      <w:r>
        <w:t>ზიანის მომტან მოვლენაში ჩართულ თანამშრომლებს დახმარება შესთავაზეს, და შეთავაზება აღირიცხა.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CAN-REG-001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ზიანის გამჟღავნების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TRM-SOP-001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მტკიცებულების გამჟღავნება პაციენტებისთვის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HH-POL-001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ხელის ჰიგიენის პოლიტიკა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4"/>
    <w:bookmarkStart w:id="47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6">
        <w:r>
          <w:rPr>
            <w:rStyle w:val="Hyperlink"/>
          </w:rPr>
          <w:t xml:space="preserve">Standard 2: Governance and Safety Culture</w:t>
        </w:r>
      </w:hyperlink>
    </w:p>
    <w:bookmarkEnd w:id="47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can-reg-001/" TargetMode="External"/><Relationship Id="rId41" Type="http://schemas.openxmlformats.org/officeDocument/2006/relationships/hyperlink" Target="/documents/hh-pol-001/" TargetMode="External"/><Relationship Id="rId40" Type="http://schemas.openxmlformats.org/officeDocument/2006/relationships/hyperlink" Target="/documents/trm-sop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14" TargetMode="External"/><Relationship Id="rId46" Type="http://schemas.openxmlformats.org/officeDocument/2006/relationships/hyperlink" Target="https://france-asf.fr/standards/standard-2/" TargetMode="External"/><Relationship Id="rId45" Type="http://schemas.openxmlformats.org/officeDocument/2006/relationships/hyperlink" Target="https://france-asf.fr/wp-content/uploads/2026/10/can-pol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an-reg-001/" TargetMode="External"/><Relationship Id="rId41" Type="http://schemas.openxmlformats.org/officeDocument/2006/relationships/hyperlink" Target="/documents/hh-pol-001/" TargetMode="External"/><Relationship Id="rId40" Type="http://schemas.openxmlformats.org/officeDocument/2006/relationships/hyperlink" Target="/documents/trm-sop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14" TargetMode="External"/><Relationship Id="rId46" Type="http://schemas.openxmlformats.org/officeDocument/2006/relationships/hyperlink" Target="https://france-asf.fr/standards/standard-2/" TargetMode="External"/><Relationship Id="rId45" Type="http://schemas.openxmlformats.org/officeDocument/2006/relationships/hyperlink" Target="https://france-asf.fr/wp-content/uploads/2026/10/can-pol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CAN-POL-001: Duty of candour and disclosure policy</dc:title>
  <dc:creator/>
  <cp:keywords/>
  <dcterms:created xsi:type="dcterms:W3CDTF">2026-10-28T21:34:25Z</dcterms:created>
  <dcterms:modified xsi:type="dcterms:W3CDTF">2026-10-28T21:34:25Z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