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CAN-REG-001: ზიანის გამჟღავნების რეგისტრი</w:t>
      </w:r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რეგისტრი</w:t>
            </w:r>
          </w:p>
          <w:p>
            <w:pPr>
              <w:pStyle w:val="Compact"/>
              <w:jc w:val="left"/>
            </w:pPr>
            <w:r>
              <w:t>ზიანის გამჟღავნების რეგისტრი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CAN-REG-001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 › </w:t>
      </w:r>
      <w:r/>
      <w:r/>
      <w:hyperlink r:id="rId21">
        <w:r>
          <w:rPr>
            <w:rStyle w:val="Hyperlink"/>
          </w:rPr>
          <w:t xml:space="preserve">Standard BASIS</w:t>
        </w:r>
      </w:hyperlink>
      <w:r/>
      <w:r/>
      <w:r/>
      <w:hyperlink r:id="rId22">
        <w:r>
          <w:rPr>
            <w:rStyle w:val="Hyperlink"/>
          </w:rPr>
          <w:t xml:space="preserve">Registers and logs</w:t>
        </w:r>
      </w:hyperlink>
    </w:p>
    <w:p>
      <w:pPr>
        <w:pStyle w:val="BodyText"/>
      </w:pPr>
      <w:r>
        <w:t>რეგისტრი · CAN-REG-001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B2.14</w:t>
        </w:r>
      </w:hyperlink>
    </w:p>
    <w:bookmarkStart w:id="24" w:name="purpose"/>
    <w:p>
      <w:pPr>
        <w:pStyle w:val="Heading2"/>
      </w:pPr>
      <w:r>
        <w:t>დანიშნულება</w:t>
      </w:r>
    </w:p>
    <w:p>
      <w:pPr>
        <w:pStyle w:val="FirstParagraph"/>
      </w:pPr>
      <w:r>
        <w:t>აღირიცხება ყოველი ზიანის ინციდენტი, რომელიც საჭიროებს გამჟღავნებას, გაკეთებული გამჟღავნება, გაგზავნილი წერილობითი შეჯამება და შემდგომი მოქმედებები. ეს არის მტკიცებულება იმისა, რომ პაციენტებს ღიად ეუბნებიან, როცა მათ ზიანი ადგებათ.</w:t>
      </w:r>
    </w:p>
    <w:bookmarkEnd w:id="24"/>
    <w:bookmarkStart w:id="25" w:name="how-to-complete"/>
    <w:p>
      <w:pPr>
        <w:pStyle w:val="Heading2"/>
      </w:pPr>
      <w:r>
        <w:t>როგორ შევავსოთ</w:t>
      </w:r>
    </w:p>
    <w:p>
      <w:pPr>
        <w:numPr>
          <w:ilvl w:val="0"/>
          <w:numId w:val="1001"/>
        </w:numPr>
        <w:pStyle w:val="Compact"/>
      </w:pPr>
      <w:r>
        <w:t>აღრიცხეთ ყოველი ზიანის ინციდენტი მისი კლასიფიკაციისას, პასუხისმგებელი ექიმისა და მხარდამჭერი მენეჯერის მითითებით.</w:t>
      </w:r>
    </w:p>
    <w:p>
      <w:pPr>
        <w:numPr>
          <w:ilvl w:val="0"/>
          <w:numId w:val="1001"/>
        </w:numPr>
        <w:pStyle w:val="Compact"/>
      </w:pPr>
      <w:r>
        <w:t>აღრიცხეთ გამჟღავნება: თარიღი, დამსწრე პირები და ის, რომ მოხდა ანგარიშის მიწოდება, შემდგომი ნაბიჯების განმარტება და ბოდიშის მოხდა.</w:t>
      </w:r>
    </w:p>
    <w:p>
      <w:pPr>
        <w:numPr>
          <w:ilvl w:val="0"/>
          <w:numId w:val="1001"/>
        </w:numPr>
        <w:pStyle w:val="Compact"/>
      </w:pPr>
      <w:r>
        <w:t>აღრიცხეთ წერილობითი შეჯამების გაგზავნის თარიღი და შეამოწმეთ იგი პოლიტიკაში დადგენილ ვადასთან.</w:t>
      </w:r>
    </w:p>
    <w:bookmarkEnd w:id="25"/>
    <w:bookmarkStart w:id="26" w:name="checks"/>
    <w:p>
      <w:pPr>
        <w:pStyle w:val="Heading2"/>
      </w:pPr>
      <w:r>
        <w:t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ზიანის ინციდენტი და მისი კლასიფიკაცია აღრიცხულია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 ექიმი და მხარდამჭერი მენეჯერი დასახელებულია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გამჟღავნების თარიღი, დამსწრე პირები, ბოდიში გადახდილია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წერილობითი შეჯამება გაგზავნილია დადგენილ ვადაში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შემდგომი მოქმედებები განხილულია ხარისხის შეხვედრაზე (თარიღი)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change-history"/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>ამ დოკუმენტთან ჯერ არ არის დაკავშირებული ელექტრონული კურსი.</w:t>
      </w:r>
    </w:p>
    <w:bookmarkEnd w:id="28"/>
    <w:bookmarkStart w:id="31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02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02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29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>დაკავშირებული სტანდარტი</w:t>
      </w:r>
    </w:p>
    <w:p>
      <w:pPr>
        <w:numPr>
          <w:ilvl w:val="0"/>
          <w:numId w:val="1003"/>
        </w:numPr>
        <w:pStyle w:val="Compact"/>
      </w:pPr>
      <w:hyperlink r:id="rId30">
        <w:r>
          <w:rPr>
            <w:rStyle w:val="Hyperlink"/>
          </w:rPr>
          <w:t xml:space="preserve">Standard 2: Governance and Safety Culture</w:t>
        </w:r>
      </w:hyperlink>
    </w:p>
    <w:bookmarkEnd w:id="31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resources/register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the-basis/" TargetMode="External"/><Relationship Id="rId23" Type="http://schemas.openxmlformats.org/officeDocument/2006/relationships/hyperlink" Target="/standards/the-basis/#cb2-14" TargetMode="External"/><Relationship Id="rId30" Type="http://schemas.openxmlformats.org/officeDocument/2006/relationships/hyperlink" Target="https://france-asf.fr/standards/standard-2/" TargetMode="External"/><Relationship Id="rId29" Type="http://schemas.openxmlformats.org/officeDocument/2006/relationships/hyperlink" Target="https://france-asf.fr/wp-content/uploads/2026/10/can-reg-001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register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the-basis/" TargetMode="External"/><Relationship Id="rId23" Type="http://schemas.openxmlformats.org/officeDocument/2006/relationships/hyperlink" Target="/standards/the-basis/#cb2-14" TargetMode="External"/><Relationship Id="rId30" Type="http://schemas.openxmlformats.org/officeDocument/2006/relationships/hyperlink" Target="https://france-asf.fr/standards/standard-2/" TargetMode="External"/><Relationship Id="rId29" Type="http://schemas.openxmlformats.org/officeDocument/2006/relationships/hyperlink" Target="https://france-asf.fr/wp-content/uploads/2026/10/can-reg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CAN-REG-001: Harm disclosure register</dc:title>
  <dc:creator/>
  <cp:keywords/>
  <dcterms:created xsi:type="dcterms:W3CDTF">2026-10-28T21:34:25Z</dcterms:created>
  <dcterms:modified xsi:type="dcterms:W3CDTF">2026-10-28T21:34:25Z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