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CAR-SOP-001: კარდიოლოგიური რისკის შეფასება გამოკვლევამდე ან პროცედურამდე</w:t>
      </w:r>
      <w:r/>
      <w:r/>
      <w:r/>
      <w:r/>
      <w:r/>
      <w:r/>
      <w:r/>
      <w:r/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სტანდარტული საოპერაციო პროცედურა</w:t>
            </w:r>
          </w:p>
          <w:p>
            <w:pPr>
              <w:pStyle w:val="Compact"/>
              <w:jc w:val="left"/>
            </w:pPr>
            <w:r>
              <w:t>კარდიოლოგიური რისკის შეფასება გამოკვლევამდე ან პროცედურამდე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CAR-SOP-001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56</w:t>
        </w:r>
      </w:hyperlink>
      <w:r>
        <w:t xml:space="preserve"> </w:t>
      </w:r>
      <w:r>
        <w:t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(SOP)</w:t>
        </w:r>
      </w:hyperlink>
    </w:p>
    <w:p>
      <w:pPr>
        <w:pStyle w:val="BodyText"/>
      </w:pPr>
      <w:r>
        <w:t>სტანდარტული საოპერაციო პროცედურა (SOP) · CAR-SOP-001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56.1</w:t>
        </w:r>
      </w:hyperlink>
    </w:p>
    <w:p>
      <w:pPr>
        <w:pStyle w:val="BodyText"/>
      </w:pPr>
      <w:r>
        <w:t>მოკლედ</w:t>
      </w:r>
    </w:p>
    <w:p>
      <w:pPr>
        <w:numPr>
          <w:ilvl w:val="0"/>
          <w:numId w:val="1001"/>
        </w:numPr>
        <w:pStyle w:val="Compact"/>
      </w:pPr>
      <w:r>
        <w:t>ყოველ პაციენტს, რომელიც კარდიოლოგიურ გამოკვლევაზე ან პროცედურაზეა მიმართული, აქვს დოკუმენტირებული კარდიოლოგიური რისკის შეფასება (CAR-FRM-001).</w:t>
      </w:r>
    </w:p>
    <w:p>
      <w:pPr>
        <w:numPr>
          <w:ilvl w:val="0"/>
          <w:numId w:val="1001"/>
        </w:numPr>
        <w:pStyle w:val="Compact"/>
      </w:pPr>
      <w:r>
        <w:t>შეფასება მოიცავს სიმპტომებს, მოსვენებულ მდგომარეობაში ჩატარებულ ეკგ-ს, კარდიოვასკულურ რისკ-ფაქტორებსა და დაგეგმილ პროცედურას.</w:t>
      </w:r>
    </w:p>
    <w:p>
      <w:pPr>
        <w:numPr>
          <w:ilvl w:val="0"/>
          <w:numId w:val="1001"/>
        </w:numPr>
        <w:pStyle w:val="Compact"/>
      </w:pPr>
      <w:r>
        <w:t>გადაწყვეტილება ჩატარების ან გადავადების შესახებ ფიქსირდება და ხელმოწერილია კარდიოლოგის მიერ.</w:t>
      </w:r>
    </w:p>
    <w:p>
      <w:pPr>
        <w:numPr>
          <w:ilvl w:val="0"/>
          <w:numId w:val="1001"/>
        </w:numPr>
        <w:pStyle w:val="Compact"/>
      </w:pPr>
      <w:r>
        <w:t>მაღალი რისკის პაციენტებს პროცედურამდე განიხილავს უფროსი კარდიოლოგი.</w:t>
      </w:r>
    </w:p>
    <w:p>
      <w:pPr>
        <w:numPr>
          <w:ilvl w:val="0"/>
          <w:numId w:val="1001"/>
        </w:numPr>
        <w:pStyle w:val="Compact"/>
      </w:pPr>
      <w:r>
        <w:t>დაუყოვნებლივ შეაჩერეთ საქმიანობა და გამოიძახეთ დახმარება, თუ: კარდიოლოგიური პროცედურა ტარდება ჩაწერილი რისკის შეფასებისა და გადაწყვეტილების გარეშე.</w:t>
      </w:r>
    </w:p>
    <w:bookmarkStart w:id="24" w:name="purpose"/>
    <w:p>
      <w:pPr>
        <w:pStyle w:val="Heading2"/>
      </w:pPr>
      <w:r>
        <w:t>1. მიზანი</w:t>
      </w:r>
    </w:p>
    <w:p>
      <w:pPr>
        <w:pStyle w:val="FirstParagraph"/>
      </w:pPr>
      <w:r>
        <w:t>იმისათვის, რომ კარდიოლოგიური გამოკვლევები და პროცედურები ჩატარდეს მხოლოდ ჩაწერილი რისკის შეფასებისა და გადაწყვეტილების შემდეგ (56.1).</w:t>
      </w:r>
    </w:p>
    <w:bookmarkEnd w:id="24"/>
    <w:bookmarkStart w:id="25" w:name="scope"/>
    <w:p>
      <w:pPr>
        <w:pStyle w:val="Heading2"/>
      </w:pPr>
      <w:r>
        <w:t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ყოველთვის, როცა სრულდება აღწერილი საქმიანობა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საქმიანობა, რომელსაც მოიცავს სხვა დოკუმენტი, ჩამოთვლილი მე-15 განყოფილებაში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definitions"/>
    <w:p>
      <w:pPr>
        <w:pStyle w:val="Heading2"/>
      </w:pPr>
      <w:r>
        <w:t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ექიმი ან ექთანი, რომელიც ამ დროს უძღვება უბანს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background"/>
    <w:p>
      <w:pPr>
        <w:pStyle w:val="Heading2"/>
      </w:pPr>
      <w:r>
        <w:t>4. საფუძვლები</w:t>
      </w:r>
    </w:p>
    <w:p>
      <w:pPr>
        <w:pStyle w:val="FirstParagraph"/>
      </w:pPr>
      <w:r>
        <w:t>იმისათვის, რომ კარდიოლოგიური გამოკვლევები და პროცედურები ჩატარდეს მხოლოდ ჩაწერილი რისკის შეფასებისა და გადაწყვეტილების შემდეგ (56.1).</w:t>
      </w:r>
    </w:p>
    <w:bookmarkEnd w:id="27"/>
    <w:bookmarkStart w:id="28" w:name="responsibilities"/>
    <w:p>
      <w:pPr>
        <w:pStyle w:val="Heading2"/>
      </w:pPr>
      <w:r>
        <w:t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როლი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კარდიოლოგი</w:t>
            </w:r>
          </w:p>
        </w:tc>
        <w:tc>
          <w:tcPr/>
          <w:p>
            <w:pPr>
              <w:pStyle w:val="Compact"/>
              <w:jc w:val="left"/>
            </w:pPr>
            <w:r>
              <w:t>ატარებს და ხელს აწერს რისკის შეფასებასა და გადაწყვეტილებას</w:t>
            </w:r>
          </w:p>
        </w:tc>
        <w:tc>
          <w:tcPr/>
          <w:p>
            <w:pPr>
              <w:pStyle w:val="Compact"/>
              <w:jc w:val="left"/>
            </w:pPr>
            <w:r>
              <w:t>კლინიკური ხელმძღვანელი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კარდიოლოგიური მედდა</w:t>
            </w:r>
          </w:p>
        </w:tc>
        <w:tc>
          <w:tcPr/>
          <w:p>
            <w:pPr>
              <w:pStyle w:val="Compact"/>
              <w:jc w:val="left"/>
            </w:pPr>
            <w:r>
              <w:t>ფიქსირებს ანამნეზს, ეკგ-სა და რისკ-ფაქტორებს</w:t>
            </w:r>
          </w:p>
        </w:tc>
        <w:tc>
          <w:tcPr/>
          <w:p>
            <w:pPr>
              <w:pStyle w:val="Compact"/>
              <w:jc w:val="left"/>
            </w:pPr>
            <w:r>
              <w:t>კარდიოლოგი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29" w:name="materials-and-equipment"/>
    <w:p>
      <w:pPr>
        <w:pStyle w:val="Heading2"/>
      </w:pPr>
      <w:r>
        <w:t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შემოწმებულია გამოყენებამდე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9"/>
    <w:bookmarkStart w:id="30" w:name="safety"/>
    <w:p>
      <w:pPr>
        <w:pStyle w:val="Heading2"/>
      </w:pPr>
      <w:r>
        <w:t>7. უსაფრთხოება</w:t>
      </w:r>
    </w:p>
    <w:p>
      <w:pPr>
        <w:numPr>
          <w:ilvl w:val="0"/>
          <w:numId w:val="1002"/>
        </w:numPr>
        <w:pStyle w:val="Compact"/>
      </w:pPr>
      <w:r>
        <w:t>თუ პაციენტი პირდაპირ საფრთხის ქვეშაა, შეაჩერეთ საქმიანობა და გამოიძახეთ დახმარება. გადაუდებელი მოვლა არ გადადოთ დოკუმენტაციის შევსების გამო.</w:t>
      </w:r>
    </w:p>
    <w:bookmarkEnd w:id="30"/>
    <w:bookmarkStart w:id="31" w:name="before-you-start"/>
    <w:p>
      <w:pPr>
        <w:pStyle w:val="Heading2"/>
      </w:pPr>
      <w:r>
        <w:t>8. დაწყებამდე</w:t>
      </w:r>
    </w:p>
    <w:p>
      <w:pPr>
        <w:numPr>
          <w:ilvl w:val="0"/>
          <w:numId w:val="1003"/>
        </w:numPr>
        <w:pStyle w:val="Compact"/>
      </w:pPr>
      <w:r>
        <w:t>დარწმუნდით, რომ ამ დოკუმენტში მითითებული ფორმები და აღჭურვილობა ხელმისაწვდომია და მიმდინარეა.</w:t>
      </w:r>
    </w:p>
    <w:bookmarkEnd w:id="31"/>
    <w:bookmarkStart w:id="32" w:name="procedure"/>
    <w:p>
      <w:pPr>
        <w:pStyle w:val="Heading2"/>
      </w:pPr>
      <w:r>
        <w:t>9. პროცედურა</w:t>
      </w:r>
    </w:p>
    <w:p>
      <w:pPr>
        <w:pStyle w:val="FirstParagraph"/>
      </w:pPr>
      <w:r>
        <w:t>ნაბიჯი 1. შეფასება.</w:t>
      </w:r>
    </w:p>
    <w:p>
      <w:pPr>
        <w:numPr>
          <w:ilvl w:val="0"/>
          <w:numId w:val="1004"/>
        </w:numPr>
        <w:pStyle w:val="Compact"/>
      </w:pPr>
      <w:r>
        <w:t>შეაფასეთ სიმპტომები, მოსვენებული ეკგ, რისკ-ფაქტორები და დაგეგმილი პროცედურა (CAR-FRM-001).</w:t>
      </w:r>
    </w:p>
    <w:p>
      <w:pPr>
        <w:pStyle w:val="FirstParagraph"/>
      </w:pPr>
      <w:r>
        <w:rPr>
          <w:bCs/>
          <w:b/>
        </w:rPr>
        <w:t>მთავარი: შეფასებულია.</w:t>
      </w:r>
      <w:r/>
      <w:r/>
    </w:p>
    <w:p>
      <w:pPr>
        <w:pStyle w:val="BodyText"/>
      </w:pPr>
      <w:r>
        <w:t>ნაბიჯი 2. გადაწყვეტა.</w:t>
      </w:r>
    </w:p>
    <w:p>
      <w:pPr>
        <w:numPr>
          <w:ilvl w:val="0"/>
          <w:numId w:val="1005"/>
        </w:numPr>
        <w:pStyle w:val="Compact"/>
      </w:pPr>
      <w:r>
        <w:t>გადაწყვიტეთ ჩატარება თუ გადავადება და დააფიქსირეთ მიზეზი.</w:t>
      </w:r>
    </w:p>
    <w:p>
      <w:pPr>
        <w:pStyle w:val="FirstParagraph"/>
      </w:pPr>
      <w:r>
        <w:rPr>
          <w:bCs/>
          <w:b/>
        </w:rPr>
        <w:t>მთავარი: გადაწყვეტილია.</w:t>
      </w:r>
      <w:r/>
      <w:r/>
    </w:p>
    <w:p>
      <w:pPr>
        <w:pStyle w:val="BodyText"/>
      </w:pPr>
      <w:r>
        <w:t>ნაბიჯი 3. მაღალი რისკის განხილვა.</w:t>
      </w:r>
    </w:p>
    <w:p>
      <w:pPr>
        <w:numPr>
          <w:ilvl w:val="0"/>
          <w:numId w:val="1006"/>
        </w:numPr>
        <w:pStyle w:val="Compact"/>
      </w:pPr>
      <w:r>
        <w:t>მაღალი რისკის პაციენტები მიმართეთ უფროს კარდიოლოგთან პროცედურამდე.</w:t>
      </w:r>
    </w:p>
    <w:p>
      <w:pPr>
        <w:pStyle w:val="FirstParagraph"/>
      </w:pPr>
      <w:r>
        <w:rPr>
          <w:bCs/>
          <w:b/>
        </w:rPr>
        <w:t>მთავარი: განხილულია.</w:t>
      </w:r>
      <w:r/>
      <w:r/>
    </w:p>
    <w:bookmarkEnd w:id="32"/>
    <w:bookmarkStart w:id="33" w:name="decision-points"/>
    <w:p>
      <w:pPr>
        <w:pStyle w:val="Heading2"/>
      </w:pPr>
      <w:r>
        <w:t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>ამ პროცედურაში გადაწყვეტილების წერტილები არ არის.</w:t>
      </w:r>
    </w:p>
    <w:bookmarkEnd w:id="33"/>
    <w:bookmarkStart w:id="34" w:name="special-situations"/>
    <w:p>
      <w:pPr>
        <w:pStyle w:val="Heading2"/>
      </w:pPr>
      <w:r>
        <w:t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მიჰყევით იგივე ნაბიჯებს. გამოიყენეთ უბნის კედელზე მითითებული მორიგე საკონტაქტო ინფორმაცია.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escalation"/>
    <w:p>
      <w:pPr>
        <w:pStyle w:val="Heading2"/>
      </w:pPr>
      <w:r>
        <w:t>12. ესკალაცია</w:t>
      </w:r>
    </w:p>
    <w:p>
      <w:pPr>
        <w:numPr>
          <w:ilvl w:val="0"/>
          <w:numId w:val="1008"/>
        </w:numPr>
        <w:pStyle w:val="Compact"/>
      </w:pPr>
      <w:r>
        <w:t>ყოველი სერიოზული პრობლემა დაუყოვნებლივ გადაეცემა მორიგე კლინიკურ ხელმძღვანელს, ხოლო იმავე დღეს — კლინიკურ დირექტორს.</w:t>
      </w:r>
    </w:p>
    <w:bookmarkEnd w:id="35"/>
    <w:bookmarkStart w:id="36" w:name="monitoring"/>
    <w:p>
      <w:pPr>
        <w:pStyle w:val="Heading2"/>
      </w:pPr>
      <w:r>
        <w:t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მიზნობრივი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პროცედურები, რომელთათვისაც თარიღამდე ხელმოწერილი რისკის შეფასებაა</w:t>
            </w:r>
          </w:p>
        </w:tc>
        <w:tc>
          <w:tcPr/>
          <w:p>
            <w:pPr>
              <w:pStyle w:val="Compact"/>
              <w:jc w:val="left"/>
            </w:pPr>
            <w:r>
              <w:t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გააუქმეთ პროცედურა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მაღალი რისკის პაციენტები, რომელთაც განიხილა უფროსმა კარდიოლოგმა</w:t>
            </w:r>
          </w:p>
        </w:tc>
        <w:tc>
          <w:tcPr/>
          <w:p>
            <w:pPr>
              <w:pStyle w:val="Compact"/>
              <w:jc w:val="left"/>
            </w:pPr>
            <w:r>
              <w:t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ესკალაცია საავადმყოფოს დირექტორთან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6"/>
    <w:bookmarkStart w:id="37" w:name="records"/>
    <w:p>
      <w:pPr>
        <w:pStyle w:val="Heading2"/>
      </w:pPr>
      <w:r>
        <w:t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პაციენტის ისტორია ან უბნის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ჩანაწერების პოლიტიკით დადგენილი პერიოდი, წლები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7"/>
    <w:bookmarkStart w:id="38" w:name="training"/>
    <w:p>
      <w:pPr>
        <w:pStyle w:val="Heading2"/>
      </w:pPr>
      <w:r>
        <w:t>15. სწავლება</w:t>
      </w:r>
    </w:p>
    <w:p>
      <w:pPr>
        <w:numPr>
          <w:ilvl w:val="0"/>
          <w:numId w:val="1009"/>
        </w:numPr>
        <w:pStyle w:val="Compact"/>
      </w:pPr>
      <w:r>
        <w:t>პერსონალი ამ დოკუმენტში ივარჯიშებს ჩართვისას და ყოველ წელს განახლდება, დაფიქსირებული კომპეტენციის შემოწმებით.</w:t>
      </w:r>
    </w:p>
    <w:bookmarkEnd w:id="38"/>
    <w:bookmarkStart w:id="41" w:name="related-documents"/>
    <w:p>
      <w:pPr>
        <w:pStyle w:val="Heading2"/>
      </w:pPr>
      <w:r>
        <w:t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ID</w:t>
            </w:r>
          </w:p>
        </w:tc>
        <w:tc>
          <w:tcPr/>
          <w:p>
            <w:pPr>
              <w:pStyle w:val="Compact"/>
              <w:jc w:val="left"/>
            </w:pPr>
            <w:r>
              <w:t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CAR-FRM-001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კარდიოლოგიური რისკის შეფასების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FW-PLN-001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კარდიოლოგიური და სამედიცინო გადაუდებელი გეგმა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>გეგმა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1"/>
    <w:bookmarkStart w:id="42" w:name="evidence"/>
    <w:p>
      <w:pPr>
        <w:pStyle w:val="Heading2"/>
      </w:pPr>
      <w:r>
        <w:t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2"/>
    <w:bookmarkStart w:id="43" w:name="change-history"/>
    <w:p>
      <w:pPr>
        <w:pStyle w:val="Heading2"/>
      </w:pPr>
      <w:r>
        <w:t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3"/>
    <w:bookmarkStart w:id="45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10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10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pStyle w:val="FirstParagraph"/>
      </w:pPr>
      <w:hyperlink r:id="rId44">
        <w:r>
          <w:rPr>
            <w:rStyle w:val="Hyperlink"/>
          </w:rPr>
          <w:t xml:space="preserve">ჩამოტვირთეთ ეს დოკუმენტი PDF ფორმატში</w:t>
        </w:r>
      </w:hyperlink>
    </w:p>
    <w:bookmarkEnd w:id="45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9" Type="http://schemas.openxmlformats.org/officeDocument/2006/relationships/hyperlink" Target="https://france-asf.fr/ka/documents/car-frm-001/" TargetMode="External"/><Relationship Id="rId40" Type="http://schemas.openxmlformats.org/officeDocument/2006/relationships/hyperlink" Target="https://france-asf.fr/ka/documents/fw-pln-001/" TargetMode="External"/><Relationship Id="rId22" Type="http://schemas.openxmlformats.org/officeDocument/2006/relationships/hyperlink" Target="https://france-asf.fr/ka/resources/sops/" TargetMode="External"/><Relationship Id="rId20" Type="http://schemas.openxmlformats.org/officeDocument/2006/relationships/hyperlink" Target="https://france-asf.fr/ka/standards/" TargetMode="External"/><Relationship Id="rId21" Type="http://schemas.openxmlformats.org/officeDocument/2006/relationships/hyperlink" Target="https://france-asf.fr/ka/standards/standard-56/" TargetMode="External"/><Relationship Id="rId23" Type="http://schemas.openxmlformats.org/officeDocument/2006/relationships/hyperlink" Target="https://france-asf.fr/ka/standards/standard-56/#c56-1" TargetMode="External"/><Relationship Id="rId44" Type="http://schemas.openxmlformats.org/officeDocument/2006/relationships/hyperlink" Target="https://france-asf.fr/wp-content/uploads/2026/11/car-sop-001-ka-4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39" Type="http://schemas.openxmlformats.org/officeDocument/2006/relationships/hyperlink" Target="/documents/car-frm-001/" TargetMode="External"/><Relationship Id="rId40" Type="http://schemas.openxmlformats.org/officeDocument/2006/relationships/hyperlink" Target="/documents/fw-pln-001/" TargetMode="External"/><Relationship Id="rId22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56/" TargetMode="External"/><Relationship Id="rId23" Type="http://schemas.openxmlformats.org/officeDocument/2006/relationships/hyperlink" Target="/standards/standard-56/#c56-1" TargetMode="External"/><Relationship Id="rId44" Type="http://schemas.openxmlformats.org/officeDocument/2006/relationships/hyperlink" Target="https://france-asf.fr/wp-content/uploads/2026/10/car-sop-0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CAR-SOP-001: Cardiac risk assessment before investigation or procedure</dc:title>
  <dc:creator/>
  <cp:keywords/>
  <dcterms:created xsi:type="dcterms:W3CDTF">2026-10-28T21:32:53Z</dcterms:created>
  <dcterms:modified xsi:type="dcterms:W3CDTF">2026-10-28T21:32:53Z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